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B8F8B90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0C2896" w14:textId="77777777" w:rsidR="00132EA9" w:rsidRPr="00DB58B5" w:rsidRDefault="00132EA9" w:rsidP="00C22A1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7DB96A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3EF6D2" w14:textId="77777777" w:rsidR="00132EA9" w:rsidRPr="00DB58B5" w:rsidRDefault="00C22A16" w:rsidP="00C22A16">
            <w:pPr>
              <w:jc w:val="right"/>
            </w:pPr>
            <w:r w:rsidRPr="00C22A16">
              <w:rPr>
                <w:sz w:val="40"/>
              </w:rPr>
              <w:t>ST</w:t>
            </w:r>
            <w:r>
              <w:t>/SG/AC.10/C.3/2020/70</w:t>
            </w:r>
          </w:p>
        </w:tc>
      </w:tr>
      <w:tr w:rsidR="00132EA9" w:rsidRPr="00DB58B5" w14:paraId="77B22CA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E9F2C6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DA08955" wp14:editId="42C16BF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135924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4F914B" w14:textId="77777777" w:rsidR="00132EA9" w:rsidRDefault="00C22A16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A85D492" w14:textId="77777777" w:rsidR="00C22A16" w:rsidRDefault="00C22A16" w:rsidP="00C22A16">
            <w:pPr>
              <w:spacing w:line="240" w:lineRule="exact"/>
            </w:pPr>
            <w:r>
              <w:t>7 septembre 2020</w:t>
            </w:r>
          </w:p>
          <w:p w14:paraId="3B38B537" w14:textId="77777777" w:rsidR="00C22A16" w:rsidRDefault="00C22A16" w:rsidP="00C22A16">
            <w:pPr>
              <w:spacing w:line="240" w:lineRule="exact"/>
            </w:pPr>
            <w:r>
              <w:t>Français</w:t>
            </w:r>
          </w:p>
          <w:p w14:paraId="098CC019" w14:textId="77777777" w:rsidR="00C22A16" w:rsidRPr="00DB58B5" w:rsidRDefault="00C22A16" w:rsidP="00C22A16">
            <w:pPr>
              <w:spacing w:line="240" w:lineRule="exact"/>
            </w:pPr>
            <w:r>
              <w:t>Original : anglais</w:t>
            </w:r>
          </w:p>
        </w:tc>
      </w:tr>
    </w:tbl>
    <w:p w14:paraId="096753D7" w14:textId="77777777" w:rsidR="00C22A16" w:rsidRPr="00CA0680" w:rsidRDefault="00C22A1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49342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49342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C0824DD" w14:textId="77777777" w:rsidR="00C22A16" w:rsidRPr="00CA0680" w:rsidRDefault="00C22A1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493426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3F7B103F" w14:textId="77777777" w:rsidR="00C22A16" w:rsidRDefault="00C22A16" w:rsidP="000305D3">
      <w:pPr>
        <w:spacing w:before="120"/>
        <w:rPr>
          <w:b/>
        </w:rPr>
      </w:pPr>
      <w:r w:rsidRPr="00A831FC">
        <w:rPr>
          <w:b/>
          <w:bCs/>
          <w:lang w:val="fr-FR"/>
        </w:rPr>
        <w:t>Cinquante-septième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6F2B122E" w14:textId="77777777" w:rsidR="00C22A16" w:rsidRDefault="00C22A16" w:rsidP="000305D3">
      <w:r>
        <w:t xml:space="preserve">Genève, </w:t>
      </w:r>
      <w:r w:rsidRPr="00A831FC">
        <w:rPr>
          <w:lang w:val="fr-FR"/>
        </w:rPr>
        <w:t>30 novembre-8 décembre 2020</w:t>
      </w:r>
    </w:p>
    <w:p w14:paraId="626571FC" w14:textId="77777777" w:rsidR="00C22A16" w:rsidRDefault="00C22A16" w:rsidP="000305D3">
      <w:r>
        <w:t xml:space="preserve">Point </w:t>
      </w:r>
      <w:r w:rsidRPr="00A831FC">
        <w:rPr>
          <w:lang w:val="fr-FR"/>
        </w:rPr>
        <w:t>3</w:t>
      </w:r>
      <w:r>
        <w:t xml:space="preserve"> de l</w:t>
      </w:r>
      <w:r w:rsidR="00493426">
        <w:t>’</w:t>
      </w:r>
      <w:r>
        <w:t>ordre du jour provisoire</w:t>
      </w:r>
    </w:p>
    <w:p w14:paraId="68D2B360" w14:textId="77777777" w:rsidR="00C22A16" w:rsidRPr="00C22A16" w:rsidRDefault="00C22A16" w:rsidP="00C22A16">
      <w:pPr>
        <w:rPr>
          <w:b/>
          <w:bCs/>
          <w:lang w:val="fr-FR"/>
        </w:rPr>
      </w:pPr>
      <w:r w:rsidRPr="00C22A16">
        <w:rPr>
          <w:b/>
          <w:bCs/>
          <w:lang w:val="fr-FR"/>
        </w:rPr>
        <w:t>Inscription, classement et emballage</w:t>
      </w:r>
    </w:p>
    <w:p w14:paraId="76385A1D" w14:textId="77777777" w:rsidR="00C22A16" w:rsidRPr="00A831FC" w:rsidRDefault="00C22A16" w:rsidP="00C22A16">
      <w:pPr>
        <w:pStyle w:val="HChG"/>
        <w:rPr>
          <w:lang w:val="fr-FR"/>
        </w:rPr>
      </w:pPr>
      <w:r w:rsidRPr="00A831FC">
        <w:rPr>
          <w:lang w:val="fr-FR"/>
        </w:rPr>
        <w:tab/>
      </w:r>
      <w:r w:rsidRPr="00A831FC">
        <w:rPr>
          <w:lang w:val="fr-FR"/>
        </w:rPr>
        <w:tab/>
        <w:t xml:space="preserve">Amendement au 5.1.2.2 </w:t>
      </w:r>
      <w:r>
        <w:rPr>
          <w:lang w:val="fr-FR"/>
        </w:rPr>
        <w:t>−</w:t>
      </w:r>
      <w:r w:rsidRPr="00A831FC">
        <w:rPr>
          <w:lang w:val="fr-FR"/>
        </w:rPr>
        <w:t xml:space="preserve"> Emploi du mot </w:t>
      </w:r>
      <w:r>
        <w:rPr>
          <w:lang w:val="fr-FR"/>
        </w:rPr>
        <w:t>« </w:t>
      </w:r>
      <w:r w:rsidRPr="00A831FC">
        <w:rPr>
          <w:lang w:val="fr-FR"/>
        </w:rPr>
        <w:t>colis</w:t>
      </w:r>
      <w:r>
        <w:rPr>
          <w:lang w:val="fr-FR"/>
        </w:rPr>
        <w:t> »</w:t>
      </w:r>
    </w:p>
    <w:p w14:paraId="6AE60E7B" w14:textId="77777777" w:rsidR="00C22A16" w:rsidRPr="00A831FC" w:rsidRDefault="00C22A16" w:rsidP="00C22A16">
      <w:pPr>
        <w:pStyle w:val="H1G"/>
        <w:rPr>
          <w:lang w:val="fr-FR"/>
        </w:rPr>
      </w:pPr>
      <w:r w:rsidRPr="00A831FC">
        <w:rPr>
          <w:lang w:val="fr-FR"/>
        </w:rPr>
        <w:tab/>
      </w:r>
      <w:r w:rsidRPr="00A831FC">
        <w:rPr>
          <w:lang w:val="fr-FR"/>
        </w:rPr>
        <w:tab/>
        <w:t>Communication de l</w:t>
      </w:r>
      <w:r w:rsidR="00493426">
        <w:rPr>
          <w:lang w:val="fr-FR"/>
        </w:rPr>
        <w:t>’</w:t>
      </w:r>
      <w:r w:rsidRPr="00A831FC">
        <w:rPr>
          <w:lang w:val="fr-FR"/>
        </w:rPr>
        <w:t>expert de l</w:t>
      </w:r>
      <w:r w:rsidR="00493426">
        <w:rPr>
          <w:lang w:val="fr-FR"/>
        </w:rPr>
        <w:t>’</w:t>
      </w:r>
      <w:r w:rsidRPr="00A831FC">
        <w:rPr>
          <w:lang w:val="fr-FR"/>
        </w:rPr>
        <w:t>Autriche</w:t>
      </w:r>
      <w:r w:rsidRPr="00C22A1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6C67FF2" w14:textId="77777777" w:rsidR="00C22A16" w:rsidRPr="00A831FC" w:rsidRDefault="00C22A16" w:rsidP="00C22A16">
      <w:pPr>
        <w:pStyle w:val="HChG"/>
        <w:rPr>
          <w:lang w:val="fr-FR"/>
        </w:rPr>
      </w:pPr>
      <w:r w:rsidRPr="00A831FC">
        <w:rPr>
          <w:lang w:val="fr-FR"/>
        </w:rPr>
        <w:tab/>
      </w:r>
      <w:r w:rsidRPr="00A831FC">
        <w:rPr>
          <w:lang w:val="fr-FR"/>
        </w:rPr>
        <w:tab/>
        <w:t>Introduction</w:t>
      </w:r>
    </w:p>
    <w:p w14:paraId="582712BF" w14:textId="77777777" w:rsidR="00C22A16" w:rsidRPr="00A831FC" w:rsidRDefault="00C22A16" w:rsidP="00C22A16">
      <w:pPr>
        <w:pStyle w:val="SingleTxtG"/>
        <w:rPr>
          <w:lang w:val="fr-FR"/>
        </w:rPr>
      </w:pPr>
      <w:r w:rsidRPr="00A831FC">
        <w:rPr>
          <w:lang w:val="fr-FR"/>
        </w:rPr>
        <w:t>1.</w:t>
      </w:r>
      <w:r w:rsidRPr="00A831FC">
        <w:rPr>
          <w:lang w:val="fr-FR"/>
        </w:rPr>
        <w:tab/>
        <w:t>Dans le cadre de la comparaison des versions anglaise, française et allemande de l</w:t>
      </w:r>
      <w:r w:rsidR="00493426">
        <w:rPr>
          <w:lang w:val="fr-FR"/>
        </w:rPr>
        <w:t>’</w:t>
      </w:r>
      <w:r w:rsidRPr="00A831FC">
        <w:rPr>
          <w:lang w:val="fr-FR"/>
        </w:rPr>
        <w:t>ADR, du RID et de l</w:t>
      </w:r>
      <w:r w:rsidR="00493426">
        <w:rPr>
          <w:lang w:val="fr-FR"/>
        </w:rPr>
        <w:t>’</w:t>
      </w:r>
      <w:r w:rsidRPr="00A831FC">
        <w:rPr>
          <w:lang w:val="fr-FR"/>
        </w:rPr>
        <w:t>ADN, une incohérence dans l</w:t>
      </w:r>
      <w:r w:rsidR="00493426">
        <w:rPr>
          <w:lang w:val="fr-FR"/>
        </w:rPr>
        <w:t>’</w:t>
      </w:r>
      <w:r w:rsidRPr="00A831FC">
        <w:rPr>
          <w:lang w:val="fr-FR"/>
        </w:rPr>
        <w:t xml:space="preserve">utilisation des mots </w:t>
      </w:r>
      <w:r>
        <w:rPr>
          <w:lang w:val="fr-FR"/>
        </w:rPr>
        <w:t>« </w:t>
      </w:r>
      <w:r w:rsidRPr="00A831FC">
        <w:rPr>
          <w:lang w:val="fr-FR"/>
        </w:rPr>
        <w:t>colis</w:t>
      </w:r>
      <w:r>
        <w:rPr>
          <w:lang w:val="fr-FR"/>
        </w:rPr>
        <w:t> »</w:t>
      </w:r>
      <w:r w:rsidRPr="00A831FC">
        <w:rPr>
          <w:lang w:val="fr-FR"/>
        </w:rPr>
        <w:t xml:space="preserve"> (package) et </w:t>
      </w:r>
      <w:r>
        <w:rPr>
          <w:lang w:val="fr-FR"/>
        </w:rPr>
        <w:t>« </w:t>
      </w:r>
      <w:r w:rsidRPr="00A831FC">
        <w:rPr>
          <w:lang w:val="fr-FR"/>
        </w:rPr>
        <w:t>emballage</w:t>
      </w:r>
      <w:r>
        <w:rPr>
          <w:lang w:val="fr-FR"/>
        </w:rPr>
        <w:t> »</w:t>
      </w:r>
      <w:r w:rsidRPr="00A831FC">
        <w:rPr>
          <w:lang w:val="fr-FR"/>
        </w:rPr>
        <w:t xml:space="preserve"> (packaging) est apparue.</w:t>
      </w:r>
    </w:p>
    <w:p w14:paraId="6E070D30" w14:textId="77777777" w:rsidR="00C22A16" w:rsidRPr="00A831FC" w:rsidRDefault="00C22A16" w:rsidP="00C22A16">
      <w:pPr>
        <w:pStyle w:val="SingleTxtG"/>
        <w:rPr>
          <w:lang w:val="fr-FR"/>
        </w:rPr>
      </w:pPr>
      <w:r w:rsidRPr="00A831FC">
        <w:rPr>
          <w:lang w:val="fr-FR"/>
        </w:rPr>
        <w:t>2.</w:t>
      </w:r>
      <w:r w:rsidRPr="00A831FC">
        <w:rPr>
          <w:lang w:val="fr-FR"/>
        </w:rPr>
        <w:tab/>
        <w:t>Le 5.1.2.2 du Règlement type pour le transport des marchandises dangereuses (vingt et unième édition révisée) est libellé comme suit</w:t>
      </w:r>
      <w:r>
        <w:rPr>
          <w:lang w:val="fr-FR"/>
        </w:rPr>
        <w:t> </w:t>
      </w:r>
      <w:r w:rsidRPr="00A831FC">
        <w:rPr>
          <w:lang w:val="fr-FR"/>
        </w:rPr>
        <w:t>:</w:t>
      </w:r>
    </w:p>
    <w:p w14:paraId="1F91E88B" w14:textId="77777777" w:rsidR="00C22A16" w:rsidRPr="00A831FC" w:rsidRDefault="00C22A16" w:rsidP="00C22A16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A831FC">
        <w:rPr>
          <w:lang w:val="fr-FR"/>
        </w:rPr>
        <w:t xml:space="preserve">Chaque colis de marchandises dangereuses contenu dans un suremballage doit être conforme à toutes les dispositions applicables du présent Règlement. La marque </w:t>
      </w:r>
      <w:r>
        <w:rPr>
          <w:lang w:val="fr-FR"/>
        </w:rPr>
        <w:t>“</w:t>
      </w:r>
      <w:r w:rsidRPr="00A831FC">
        <w:rPr>
          <w:lang w:val="fr-FR"/>
        </w:rPr>
        <w:t>suremballage</w:t>
      </w:r>
      <w:r>
        <w:rPr>
          <w:lang w:val="fr-FR"/>
        </w:rPr>
        <w:t>”</w:t>
      </w:r>
      <w:r w:rsidRPr="00A831FC">
        <w:rPr>
          <w:lang w:val="fr-FR"/>
        </w:rPr>
        <w:t xml:space="preserve"> est une indication de conformité à la présente prescription. La</w:t>
      </w:r>
      <w:r>
        <w:rPr>
          <w:lang w:val="fr-FR"/>
        </w:rPr>
        <w:t> </w:t>
      </w:r>
      <w:r w:rsidRPr="00A831FC">
        <w:rPr>
          <w:lang w:val="fr-FR"/>
        </w:rPr>
        <w:t>fonction prévue de chaque colis ne doit pas être compromise par le suremballage.</w:t>
      </w:r>
      <w:r>
        <w:rPr>
          <w:lang w:val="fr-FR"/>
        </w:rPr>
        <w:t> ».</w:t>
      </w:r>
    </w:p>
    <w:p w14:paraId="3B92EAF2" w14:textId="77777777" w:rsidR="00C22A16" w:rsidRPr="00A831FC" w:rsidRDefault="00C22A16" w:rsidP="00C22A16">
      <w:pPr>
        <w:pStyle w:val="SingleTxtG"/>
        <w:rPr>
          <w:lang w:val="fr-FR"/>
        </w:rPr>
      </w:pPr>
      <w:r w:rsidRPr="00A831FC">
        <w:rPr>
          <w:lang w:val="fr-FR"/>
        </w:rPr>
        <w:t>3.</w:t>
      </w:r>
      <w:r w:rsidRPr="00A831FC">
        <w:rPr>
          <w:lang w:val="fr-FR"/>
        </w:rPr>
        <w:tab/>
      </w:r>
      <w:r>
        <w:rPr>
          <w:lang w:val="fr-FR"/>
        </w:rPr>
        <w:t>Le</w:t>
      </w:r>
      <w:r w:rsidRPr="00A831FC">
        <w:rPr>
          <w:lang w:val="fr-FR"/>
        </w:rPr>
        <w:t xml:space="preserve"> mot </w:t>
      </w:r>
      <w:r>
        <w:rPr>
          <w:lang w:val="fr-FR"/>
        </w:rPr>
        <w:t>« </w:t>
      </w:r>
      <w:r w:rsidRPr="00A831FC">
        <w:rPr>
          <w:lang w:val="fr-FR"/>
        </w:rPr>
        <w:t>colis</w:t>
      </w:r>
      <w:r>
        <w:rPr>
          <w:lang w:val="fr-FR"/>
        </w:rPr>
        <w:t> »</w:t>
      </w:r>
      <w:r w:rsidRPr="00A831FC">
        <w:rPr>
          <w:lang w:val="fr-FR"/>
        </w:rPr>
        <w:t xml:space="preserve"> est employé deux fois</w:t>
      </w:r>
      <w:r>
        <w:rPr>
          <w:lang w:val="fr-FR"/>
        </w:rPr>
        <w:t xml:space="preserve"> dans ce paragraphe</w:t>
      </w:r>
      <w:r w:rsidRPr="00A831FC">
        <w:rPr>
          <w:lang w:val="fr-FR"/>
        </w:rPr>
        <w:t>. L</w:t>
      </w:r>
      <w:r w:rsidR="00493426">
        <w:rPr>
          <w:lang w:val="fr-FR"/>
        </w:rPr>
        <w:t>’</w:t>
      </w:r>
      <w:r w:rsidRPr="00A831FC">
        <w:rPr>
          <w:lang w:val="fr-FR"/>
        </w:rPr>
        <w:t>Autriche attire l</w:t>
      </w:r>
      <w:r w:rsidR="00493426">
        <w:rPr>
          <w:lang w:val="fr-FR"/>
        </w:rPr>
        <w:t>’</w:t>
      </w:r>
      <w:r w:rsidRPr="00A831FC">
        <w:rPr>
          <w:lang w:val="fr-FR"/>
        </w:rPr>
        <w:t xml:space="preserve">attention du Sous-Comité sur la seconde occurrence de ce mot, dans la phrase </w:t>
      </w:r>
      <w:r>
        <w:rPr>
          <w:lang w:val="fr-FR"/>
        </w:rPr>
        <w:t>« </w:t>
      </w:r>
      <w:r w:rsidRPr="00A831FC">
        <w:rPr>
          <w:lang w:val="fr-FR"/>
        </w:rPr>
        <w:t>La</w:t>
      </w:r>
      <w:r w:rsidR="00134718">
        <w:rPr>
          <w:lang w:val="fr-FR"/>
        </w:rPr>
        <w:t> </w:t>
      </w:r>
      <w:r w:rsidRPr="00A831FC">
        <w:rPr>
          <w:lang w:val="fr-FR"/>
        </w:rPr>
        <w:t>fonction prévue de chaque colis ne doit pas être compromise par le suremballage</w:t>
      </w:r>
      <w:r>
        <w:rPr>
          <w:lang w:val="fr-FR"/>
        </w:rPr>
        <w:t> »</w:t>
      </w:r>
      <w:r w:rsidRPr="00A831FC">
        <w:rPr>
          <w:lang w:val="fr-FR"/>
        </w:rPr>
        <w:t>.</w:t>
      </w:r>
    </w:p>
    <w:p w14:paraId="0E4C2693" w14:textId="77777777" w:rsidR="00C22A16" w:rsidRPr="00A831FC" w:rsidRDefault="00C22A16" w:rsidP="00C22A16">
      <w:pPr>
        <w:pStyle w:val="SingleTxtG"/>
        <w:rPr>
          <w:lang w:val="fr-FR"/>
        </w:rPr>
      </w:pPr>
      <w:r w:rsidRPr="00A831FC">
        <w:rPr>
          <w:lang w:val="fr-FR"/>
        </w:rPr>
        <w:t>4.</w:t>
      </w:r>
      <w:r w:rsidRPr="00A831FC">
        <w:rPr>
          <w:lang w:val="fr-FR"/>
        </w:rPr>
        <w:tab/>
        <w:t>La fonction prévue d</w:t>
      </w:r>
      <w:r w:rsidR="00493426">
        <w:rPr>
          <w:lang w:val="fr-FR"/>
        </w:rPr>
        <w:t>’</w:t>
      </w:r>
      <w:r w:rsidRPr="00A831FC">
        <w:rPr>
          <w:lang w:val="fr-FR"/>
        </w:rPr>
        <w:t>un colis n</w:t>
      </w:r>
      <w:r w:rsidR="00493426">
        <w:rPr>
          <w:lang w:val="fr-FR"/>
        </w:rPr>
        <w:t>’</w:t>
      </w:r>
      <w:r w:rsidRPr="00A831FC">
        <w:rPr>
          <w:lang w:val="fr-FR"/>
        </w:rPr>
        <w:t>est pas définie au 4.1.1. Cependant, la fonction prévue d</w:t>
      </w:r>
      <w:r w:rsidR="00493426">
        <w:rPr>
          <w:lang w:val="fr-FR"/>
        </w:rPr>
        <w:t>’</w:t>
      </w:r>
      <w:r w:rsidRPr="00A831FC">
        <w:rPr>
          <w:lang w:val="fr-FR"/>
        </w:rPr>
        <w:t>un emballage est de fonctionner conformément aux dispositions du 4.1.1. Ainsi, il est notamment prévu au 4.1.1.1 qu</w:t>
      </w:r>
      <w:r w:rsidR="00493426">
        <w:rPr>
          <w:lang w:val="fr-FR"/>
        </w:rPr>
        <w:t>’</w:t>
      </w:r>
      <w:r w:rsidRPr="00A831FC">
        <w:rPr>
          <w:lang w:val="fr-FR"/>
        </w:rPr>
        <w:t>un emballage doit être suffisamment solide pour résister aux chocs et aux sollicitations habituelles en cours de transport.</w:t>
      </w:r>
    </w:p>
    <w:p w14:paraId="1A709505" w14:textId="77777777" w:rsidR="00C22A16" w:rsidRPr="00A831FC" w:rsidRDefault="00C22A16" w:rsidP="00C22A16">
      <w:pPr>
        <w:pStyle w:val="SingleTxtG"/>
        <w:rPr>
          <w:lang w:val="fr-FR"/>
        </w:rPr>
      </w:pPr>
      <w:r w:rsidRPr="00A831FC">
        <w:rPr>
          <w:lang w:val="fr-FR"/>
        </w:rPr>
        <w:t>5.</w:t>
      </w:r>
      <w:r w:rsidRPr="00A831FC">
        <w:rPr>
          <w:lang w:val="fr-FR"/>
        </w:rPr>
        <w:tab/>
        <w:t xml:space="preserve">Un emballage peut donc avoir une </w:t>
      </w:r>
      <w:r>
        <w:rPr>
          <w:lang w:val="fr-FR"/>
        </w:rPr>
        <w:t>« </w:t>
      </w:r>
      <w:r w:rsidRPr="00A831FC">
        <w:rPr>
          <w:lang w:val="fr-FR"/>
        </w:rPr>
        <w:t>fonction prévue</w:t>
      </w:r>
      <w:r>
        <w:rPr>
          <w:lang w:val="fr-FR"/>
        </w:rPr>
        <w:t> »</w:t>
      </w:r>
      <w:r w:rsidRPr="00A831FC">
        <w:rPr>
          <w:lang w:val="fr-FR"/>
        </w:rPr>
        <w:t>. Toutefois, le colis, qui est le produit final de l</w:t>
      </w:r>
      <w:r w:rsidR="00493426">
        <w:rPr>
          <w:lang w:val="fr-FR"/>
        </w:rPr>
        <w:t>’</w:t>
      </w:r>
      <w:r w:rsidRPr="00A831FC">
        <w:rPr>
          <w:lang w:val="fr-FR"/>
        </w:rPr>
        <w:t>opération d</w:t>
      </w:r>
      <w:r w:rsidR="00493426">
        <w:rPr>
          <w:lang w:val="fr-FR"/>
        </w:rPr>
        <w:t>’</w:t>
      </w:r>
      <w:r w:rsidRPr="00A831FC">
        <w:rPr>
          <w:lang w:val="fr-FR"/>
        </w:rPr>
        <w:t>emballage prêt pour le transport, composé de l</w:t>
      </w:r>
      <w:r w:rsidR="00493426">
        <w:rPr>
          <w:lang w:val="fr-FR"/>
        </w:rPr>
        <w:t>’</w:t>
      </w:r>
      <w:r w:rsidRPr="00A831FC">
        <w:rPr>
          <w:lang w:val="fr-FR"/>
        </w:rPr>
        <w:t>emballage proprement dit et de son contenu (conformément à la définition donnée au 1.2.1), n</w:t>
      </w:r>
      <w:r w:rsidR="00493426">
        <w:rPr>
          <w:lang w:val="fr-FR"/>
        </w:rPr>
        <w:t>’</w:t>
      </w:r>
      <w:r w:rsidRPr="00A831FC">
        <w:rPr>
          <w:lang w:val="fr-FR"/>
        </w:rPr>
        <w:t>a pas de fonction prévue. L</w:t>
      </w:r>
      <w:r w:rsidR="00493426">
        <w:rPr>
          <w:lang w:val="fr-FR"/>
        </w:rPr>
        <w:t>’</w:t>
      </w:r>
      <w:r w:rsidRPr="00A831FC">
        <w:rPr>
          <w:lang w:val="fr-FR"/>
        </w:rPr>
        <w:t>Autriche considère que le 5.1.2.2 doit être modifié pour tenir compte de cette réalité.</w:t>
      </w:r>
    </w:p>
    <w:p w14:paraId="6C119C75" w14:textId="77777777" w:rsidR="00C22A16" w:rsidRDefault="00C22A16" w:rsidP="00C22A16">
      <w:pPr>
        <w:pStyle w:val="SingleTxtG"/>
      </w:pPr>
      <w:r w:rsidRPr="00A831FC">
        <w:rPr>
          <w:lang w:val="fr-FR"/>
        </w:rPr>
        <w:lastRenderedPageBreak/>
        <w:t>6.</w:t>
      </w:r>
      <w:r w:rsidRPr="00A831FC">
        <w:rPr>
          <w:lang w:val="fr-FR"/>
        </w:rPr>
        <w:tab/>
        <w:t>La proposition ci-après vise à préciser les dispositions du Règlement type, ce qui améliorera la sécurité juridique étant donné que la réglementation modale est fondée sur le Règlement.</w:t>
      </w:r>
    </w:p>
    <w:p w14:paraId="7AAC24D1" w14:textId="77777777" w:rsidR="00C22A16" w:rsidRPr="00A831FC" w:rsidRDefault="00C22A16" w:rsidP="00C22A16">
      <w:pPr>
        <w:pStyle w:val="HChG"/>
        <w:rPr>
          <w:lang w:val="fr-FR"/>
        </w:rPr>
      </w:pPr>
      <w:r w:rsidRPr="00A831FC">
        <w:rPr>
          <w:lang w:val="fr-FR"/>
        </w:rPr>
        <w:tab/>
      </w:r>
      <w:r w:rsidRPr="00A831FC">
        <w:rPr>
          <w:lang w:val="fr-FR"/>
        </w:rPr>
        <w:tab/>
        <w:t>Proposition</w:t>
      </w:r>
    </w:p>
    <w:p w14:paraId="390D70EB" w14:textId="77777777" w:rsidR="00C22A16" w:rsidRPr="00A831FC" w:rsidRDefault="00C22A16" w:rsidP="00C22A16">
      <w:pPr>
        <w:pStyle w:val="SingleTxtG"/>
        <w:rPr>
          <w:lang w:val="fr-FR"/>
        </w:rPr>
      </w:pPr>
      <w:r w:rsidRPr="00A831FC">
        <w:rPr>
          <w:lang w:val="fr-FR"/>
        </w:rPr>
        <w:t>7.</w:t>
      </w:r>
      <w:r w:rsidRPr="00A831FC">
        <w:rPr>
          <w:lang w:val="fr-FR"/>
        </w:rPr>
        <w:tab/>
        <w:t>Paragraphe 5.1.2.2, lire</w:t>
      </w:r>
      <w:r>
        <w:rPr>
          <w:lang w:val="fr-FR"/>
        </w:rPr>
        <w:t> </w:t>
      </w:r>
      <w:r w:rsidRPr="00A831FC">
        <w:rPr>
          <w:lang w:val="fr-FR"/>
        </w:rPr>
        <w:t>:</w:t>
      </w:r>
    </w:p>
    <w:p w14:paraId="53B1BF1C" w14:textId="77777777" w:rsidR="00446FE5" w:rsidRDefault="00C22A16" w:rsidP="00C22A16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A831FC">
        <w:rPr>
          <w:lang w:val="fr-FR"/>
        </w:rPr>
        <w:t xml:space="preserve">Chaque colis de marchandises dangereuses contenu dans un suremballage doit être conforme à toutes les dispositions applicables du présent Règlement. La marque </w:t>
      </w:r>
      <w:r>
        <w:rPr>
          <w:lang w:val="fr-FR"/>
        </w:rPr>
        <w:t>“</w:t>
      </w:r>
      <w:r w:rsidRPr="00A831FC">
        <w:rPr>
          <w:lang w:val="fr-FR"/>
        </w:rPr>
        <w:t>suremballage</w:t>
      </w:r>
      <w:r>
        <w:rPr>
          <w:lang w:val="fr-FR"/>
        </w:rPr>
        <w:t>”</w:t>
      </w:r>
      <w:r w:rsidRPr="00A831FC">
        <w:rPr>
          <w:lang w:val="fr-FR"/>
        </w:rPr>
        <w:t xml:space="preserve"> est une indication de conformité à la présente prescription. La</w:t>
      </w:r>
      <w:r>
        <w:rPr>
          <w:lang w:val="fr-FR"/>
        </w:rPr>
        <w:t> </w:t>
      </w:r>
      <w:r w:rsidRPr="00A831FC">
        <w:rPr>
          <w:lang w:val="fr-FR"/>
        </w:rPr>
        <w:t xml:space="preserve">fonction prévue de chaque </w:t>
      </w:r>
      <w:r w:rsidRPr="00A831FC">
        <w:rPr>
          <w:b/>
          <w:bCs/>
          <w:u w:val="single"/>
          <w:lang w:val="fr-FR"/>
        </w:rPr>
        <w:t>emballage</w:t>
      </w:r>
      <w:r w:rsidRPr="00A831FC">
        <w:rPr>
          <w:lang w:val="fr-FR"/>
        </w:rPr>
        <w:t xml:space="preserve"> ne doit pas être compromise par le suremballage.</w:t>
      </w:r>
      <w:r>
        <w:rPr>
          <w:lang w:val="fr-FR"/>
        </w:rPr>
        <w:t> ».</w:t>
      </w:r>
    </w:p>
    <w:p w14:paraId="64FD89E9" w14:textId="77777777" w:rsidR="00C22A16" w:rsidRPr="00C22A16" w:rsidRDefault="00C22A16" w:rsidP="00C22A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2A16" w:rsidRPr="00C22A16" w:rsidSect="00C22A1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37AD2" w14:textId="77777777" w:rsidR="00E32F86" w:rsidRDefault="00E32F86" w:rsidP="00F95C08">
      <w:pPr>
        <w:spacing w:line="240" w:lineRule="auto"/>
      </w:pPr>
    </w:p>
  </w:endnote>
  <w:endnote w:type="continuationSeparator" w:id="0">
    <w:p w14:paraId="25D73788" w14:textId="77777777" w:rsidR="00E32F86" w:rsidRPr="00AC3823" w:rsidRDefault="00E32F86" w:rsidP="00AC3823">
      <w:pPr>
        <w:pStyle w:val="Footer"/>
      </w:pPr>
    </w:p>
  </w:endnote>
  <w:endnote w:type="continuationNotice" w:id="1">
    <w:p w14:paraId="06D08874" w14:textId="77777777" w:rsidR="00E32F86" w:rsidRDefault="00E32F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BD23" w14:textId="77777777" w:rsidR="00C22A16" w:rsidRPr="00C22A16" w:rsidRDefault="00C22A16" w:rsidP="00C22A16">
    <w:pPr>
      <w:pStyle w:val="Footer"/>
      <w:tabs>
        <w:tab w:val="right" w:pos="9638"/>
      </w:tabs>
    </w:pPr>
    <w:r w:rsidRPr="00C22A16">
      <w:rPr>
        <w:b/>
        <w:sz w:val="18"/>
      </w:rPr>
      <w:fldChar w:fldCharType="begin"/>
    </w:r>
    <w:r w:rsidRPr="00C22A16">
      <w:rPr>
        <w:b/>
        <w:sz w:val="18"/>
      </w:rPr>
      <w:instrText xml:space="preserve"> PAGE  \* MERGEFORMAT </w:instrText>
    </w:r>
    <w:r w:rsidRPr="00C22A16">
      <w:rPr>
        <w:b/>
        <w:sz w:val="18"/>
      </w:rPr>
      <w:fldChar w:fldCharType="separate"/>
    </w:r>
    <w:r w:rsidRPr="00C22A16">
      <w:rPr>
        <w:b/>
        <w:noProof/>
        <w:sz w:val="18"/>
      </w:rPr>
      <w:t>2</w:t>
    </w:r>
    <w:r w:rsidRPr="00C22A16">
      <w:rPr>
        <w:b/>
        <w:sz w:val="18"/>
      </w:rPr>
      <w:fldChar w:fldCharType="end"/>
    </w:r>
    <w:r>
      <w:rPr>
        <w:b/>
        <w:sz w:val="18"/>
      </w:rPr>
      <w:tab/>
    </w:r>
    <w:r>
      <w:t>GE.20-11583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D0A5" w14:textId="77777777" w:rsidR="00C22A16" w:rsidRPr="00C22A16" w:rsidRDefault="00C22A16" w:rsidP="00C22A16">
    <w:pPr>
      <w:pStyle w:val="Footer"/>
      <w:tabs>
        <w:tab w:val="right" w:pos="9638"/>
      </w:tabs>
      <w:rPr>
        <w:b/>
        <w:sz w:val="18"/>
      </w:rPr>
    </w:pPr>
    <w:r>
      <w:t>GE.20-11583</w:t>
    </w:r>
    <w:r>
      <w:tab/>
    </w:r>
    <w:r w:rsidRPr="00C22A16">
      <w:rPr>
        <w:b/>
        <w:sz w:val="18"/>
      </w:rPr>
      <w:fldChar w:fldCharType="begin"/>
    </w:r>
    <w:r w:rsidRPr="00C22A16">
      <w:rPr>
        <w:b/>
        <w:sz w:val="18"/>
      </w:rPr>
      <w:instrText xml:space="preserve"> PAGE  \* MERGEFORMAT </w:instrText>
    </w:r>
    <w:r w:rsidRPr="00C22A16">
      <w:rPr>
        <w:b/>
        <w:sz w:val="18"/>
      </w:rPr>
      <w:fldChar w:fldCharType="separate"/>
    </w:r>
    <w:r w:rsidRPr="00C22A16">
      <w:rPr>
        <w:b/>
        <w:noProof/>
        <w:sz w:val="18"/>
      </w:rPr>
      <w:t>3</w:t>
    </w:r>
    <w:r w:rsidRPr="00C22A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0A02" w14:textId="77777777" w:rsidR="0068456F" w:rsidRPr="00C22A16" w:rsidRDefault="00C22A16" w:rsidP="00C22A1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2F0F7A" wp14:editId="46717D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11583  (</w:t>
    </w:r>
    <w:proofErr w:type="gramEnd"/>
    <w:r>
      <w:rPr>
        <w:sz w:val="20"/>
      </w:rPr>
      <w:t>F)</w:t>
    </w:r>
    <w:r w:rsidR="00493426">
      <w:rPr>
        <w:sz w:val="20"/>
      </w:rPr>
      <w:t xml:space="preserve">    131020    141020</w:t>
    </w:r>
    <w:r>
      <w:rPr>
        <w:sz w:val="20"/>
      </w:rPr>
      <w:br/>
    </w:r>
    <w:r w:rsidRPr="00C22A16">
      <w:rPr>
        <w:rFonts w:ascii="C39T30Lfz" w:hAnsi="C39T30Lfz"/>
        <w:sz w:val="56"/>
      </w:rPr>
      <w:t></w:t>
    </w:r>
    <w:r w:rsidRPr="00C22A16">
      <w:rPr>
        <w:rFonts w:ascii="C39T30Lfz" w:hAnsi="C39T30Lfz"/>
        <w:sz w:val="56"/>
      </w:rPr>
      <w:t></w:t>
    </w:r>
    <w:r w:rsidRPr="00C22A16">
      <w:rPr>
        <w:rFonts w:ascii="C39T30Lfz" w:hAnsi="C39T30Lfz"/>
        <w:sz w:val="56"/>
      </w:rPr>
      <w:t></w:t>
    </w:r>
    <w:r w:rsidRPr="00C22A16">
      <w:rPr>
        <w:rFonts w:ascii="C39T30Lfz" w:hAnsi="C39T30Lfz"/>
        <w:sz w:val="56"/>
      </w:rPr>
      <w:t></w:t>
    </w:r>
    <w:r w:rsidRPr="00C22A16">
      <w:rPr>
        <w:rFonts w:ascii="C39T30Lfz" w:hAnsi="C39T30Lfz"/>
        <w:sz w:val="56"/>
      </w:rPr>
      <w:t></w:t>
    </w:r>
    <w:r w:rsidRPr="00C22A16">
      <w:rPr>
        <w:rFonts w:ascii="C39T30Lfz" w:hAnsi="C39T30Lfz"/>
        <w:sz w:val="56"/>
      </w:rPr>
      <w:t></w:t>
    </w:r>
    <w:r w:rsidRPr="00C22A16">
      <w:rPr>
        <w:rFonts w:ascii="C39T30Lfz" w:hAnsi="C39T30Lfz"/>
        <w:sz w:val="56"/>
      </w:rPr>
      <w:t></w:t>
    </w:r>
    <w:r w:rsidRPr="00C22A16">
      <w:rPr>
        <w:rFonts w:ascii="C39T30Lfz" w:hAnsi="C39T30Lfz"/>
        <w:sz w:val="56"/>
      </w:rPr>
      <w:t></w:t>
    </w:r>
    <w:r w:rsidRPr="00C22A1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AED802E" wp14:editId="545B0D6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3774" w14:textId="77777777" w:rsidR="00E32F86" w:rsidRPr="00AC3823" w:rsidRDefault="00E32F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F3C232" w14:textId="77777777" w:rsidR="00E32F86" w:rsidRPr="00AC3823" w:rsidRDefault="00E32F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77C36F" w14:textId="77777777" w:rsidR="00E32F86" w:rsidRPr="00AC3823" w:rsidRDefault="00E32F86">
      <w:pPr>
        <w:spacing w:line="240" w:lineRule="auto"/>
        <w:rPr>
          <w:sz w:val="2"/>
          <w:szCs w:val="2"/>
        </w:rPr>
      </w:pPr>
    </w:p>
  </w:footnote>
  <w:footnote w:id="2">
    <w:p w14:paraId="441DCDBB" w14:textId="77777777" w:rsidR="00C22A16" w:rsidRPr="00C22A16" w:rsidRDefault="00C22A16">
      <w:pPr>
        <w:pStyle w:val="FootnoteText"/>
      </w:pPr>
      <w:r>
        <w:rPr>
          <w:rStyle w:val="FootnoteReference"/>
        </w:rPr>
        <w:tab/>
      </w:r>
      <w:r w:rsidRPr="00C22A1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508D7">
        <w:rPr>
          <w:lang w:val="fr-FR"/>
        </w:rPr>
        <w:t>Sous-programme 2 du budget-programme pour 2020 (A/74/6 (Sect. 20)) et informations complémentaires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6677" w14:textId="57B1C4C2" w:rsidR="00C22A16" w:rsidRPr="00C22A16" w:rsidRDefault="00545F77">
    <w:pPr>
      <w:pStyle w:val="Header"/>
    </w:pPr>
    <w:fldSimple w:instr=" TITLE  \* MERGEFORMAT ">
      <w:r>
        <w:t>ST/SG/AC.10/C.3/2020/70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800A" w14:textId="08B09D6F" w:rsidR="00C22A16" w:rsidRPr="00C22A16" w:rsidRDefault="00545F77" w:rsidP="00C22A16">
    <w:pPr>
      <w:pStyle w:val="Header"/>
      <w:jc w:val="right"/>
    </w:pPr>
    <w:fldSimple w:instr=" TITLE  \* MERGEFORMAT ">
      <w:r>
        <w:t>ST/SG/AC.10/C.3/2020/70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86"/>
    <w:rsid w:val="00017F94"/>
    <w:rsid w:val="00023842"/>
    <w:rsid w:val="000305D3"/>
    <w:rsid w:val="000334F9"/>
    <w:rsid w:val="0007796D"/>
    <w:rsid w:val="000B7790"/>
    <w:rsid w:val="00111F2F"/>
    <w:rsid w:val="00132EA9"/>
    <w:rsid w:val="00134718"/>
    <w:rsid w:val="0014365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93426"/>
    <w:rsid w:val="004E468C"/>
    <w:rsid w:val="00545F77"/>
    <w:rsid w:val="005505B7"/>
    <w:rsid w:val="00573BE5"/>
    <w:rsid w:val="00584DC4"/>
    <w:rsid w:val="00586ED3"/>
    <w:rsid w:val="00596AA9"/>
    <w:rsid w:val="005F5AB2"/>
    <w:rsid w:val="0068456F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AE5B63"/>
    <w:rsid w:val="00B00181"/>
    <w:rsid w:val="00B00B0D"/>
    <w:rsid w:val="00B765F7"/>
    <w:rsid w:val="00BA0CA9"/>
    <w:rsid w:val="00C02897"/>
    <w:rsid w:val="00C22A16"/>
    <w:rsid w:val="00D3439C"/>
    <w:rsid w:val="00DB1831"/>
    <w:rsid w:val="00DD3BFD"/>
    <w:rsid w:val="00DF6678"/>
    <w:rsid w:val="00E32F86"/>
    <w:rsid w:val="00EF2E22"/>
    <w:rsid w:val="00F01738"/>
    <w:rsid w:val="00F660DF"/>
    <w:rsid w:val="00F730C8"/>
    <w:rsid w:val="00F92FD9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538C1"/>
  <w15:docId w15:val="{A4B0B80F-6B09-4B41-9029-F45A5590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5407B-F34E-41DB-B9D4-CAAABB4D1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01D74-EB85-43BB-996A-C0F029548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1873D-8C23-48CC-96DA-5FEB63216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ST/SG/AC.10/C.3/2020/70</dc:title>
  <dc:subject/>
  <dc:creator>Julien OKRZESIK</dc:creator>
  <cp:keywords/>
  <cp:lastModifiedBy>Laurence Berthet</cp:lastModifiedBy>
  <cp:revision>2</cp:revision>
  <cp:lastPrinted>2020-10-14T07:48:00Z</cp:lastPrinted>
  <dcterms:created xsi:type="dcterms:W3CDTF">2020-10-14T11:29:00Z</dcterms:created>
  <dcterms:modified xsi:type="dcterms:W3CDTF">2020-10-14T11:29:00Z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