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F6B05" w:rsidRPr="001F6B05" w14:paraId="23A7B6DD" w14:textId="77777777" w:rsidTr="00F01738">
        <w:trPr>
          <w:trHeight w:hRule="exact" w:val="851"/>
        </w:trPr>
        <w:tc>
          <w:tcPr>
            <w:tcW w:w="1276" w:type="dxa"/>
            <w:tcBorders>
              <w:bottom w:val="single" w:sz="4" w:space="0" w:color="auto"/>
            </w:tcBorders>
          </w:tcPr>
          <w:p w14:paraId="6AA9AD72" w14:textId="77777777" w:rsidR="00132EA9" w:rsidRPr="001F6B05" w:rsidRDefault="00132EA9" w:rsidP="00DD7021">
            <w:pPr>
              <w:rPr>
                <w:color w:val="000000" w:themeColor="text1"/>
              </w:rPr>
            </w:pPr>
            <w:bookmarkStart w:id="0" w:name="_GoBack"/>
            <w:bookmarkEnd w:id="0"/>
          </w:p>
        </w:tc>
        <w:tc>
          <w:tcPr>
            <w:tcW w:w="2268" w:type="dxa"/>
            <w:tcBorders>
              <w:bottom w:val="single" w:sz="4" w:space="0" w:color="auto"/>
            </w:tcBorders>
            <w:vAlign w:val="bottom"/>
          </w:tcPr>
          <w:p w14:paraId="0A6FE255" w14:textId="77777777" w:rsidR="00132EA9" w:rsidRPr="001F6B05" w:rsidRDefault="00132EA9" w:rsidP="00F01738">
            <w:pPr>
              <w:spacing w:after="80" w:line="300" w:lineRule="exact"/>
              <w:rPr>
                <w:color w:val="000000" w:themeColor="text1"/>
                <w:sz w:val="28"/>
              </w:rPr>
            </w:pPr>
            <w:r w:rsidRPr="001F6B05">
              <w:rPr>
                <w:color w:val="000000" w:themeColor="text1"/>
                <w:sz w:val="28"/>
              </w:rPr>
              <w:t>Nations Unies</w:t>
            </w:r>
          </w:p>
        </w:tc>
        <w:tc>
          <w:tcPr>
            <w:tcW w:w="6095" w:type="dxa"/>
            <w:gridSpan w:val="2"/>
            <w:tcBorders>
              <w:bottom w:val="single" w:sz="4" w:space="0" w:color="auto"/>
            </w:tcBorders>
            <w:vAlign w:val="bottom"/>
          </w:tcPr>
          <w:p w14:paraId="014A8A49" w14:textId="77777777" w:rsidR="00132EA9" w:rsidRPr="001F6B05" w:rsidRDefault="00DD7021" w:rsidP="00DD7021">
            <w:pPr>
              <w:jc w:val="right"/>
              <w:rPr>
                <w:color w:val="000000" w:themeColor="text1"/>
              </w:rPr>
            </w:pPr>
            <w:r w:rsidRPr="001F6B05">
              <w:rPr>
                <w:color w:val="000000" w:themeColor="text1"/>
                <w:sz w:val="40"/>
              </w:rPr>
              <w:t>ST</w:t>
            </w:r>
            <w:r w:rsidRPr="001F6B05">
              <w:rPr>
                <w:color w:val="000000" w:themeColor="text1"/>
              </w:rPr>
              <w:t>/SG/AC.10/C.3/2020/69</w:t>
            </w:r>
          </w:p>
        </w:tc>
      </w:tr>
      <w:tr w:rsidR="001F6B05" w:rsidRPr="001F6B05" w14:paraId="1C310B0D" w14:textId="77777777" w:rsidTr="00F01738">
        <w:trPr>
          <w:trHeight w:hRule="exact" w:val="2835"/>
        </w:trPr>
        <w:tc>
          <w:tcPr>
            <w:tcW w:w="1276" w:type="dxa"/>
            <w:tcBorders>
              <w:top w:val="single" w:sz="4" w:space="0" w:color="auto"/>
              <w:bottom w:val="single" w:sz="12" w:space="0" w:color="auto"/>
            </w:tcBorders>
          </w:tcPr>
          <w:p w14:paraId="741EF36E" w14:textId="77777777" w:rsidR="00132EA9" w:rsidRPr="001F6B05" w:rsidRDefault="00132EA9" w:rsidP="00F01738">
            <w:pPr>
              <w:spacing w:before="120"/>
              <w:jc w:val="center"/>
              <w:rPr>
                <w:color w:val="000000" w:themeColor="text1"/>
              </w:rPr>
            </w:pPr>
            <w:r w:rsidRPr="001F6B05">
              <w:rPr>
                <w:noProof/>
                <w:color w:val="000000" w:themeColor="text1"/>
                <w:lang w:eastAsia="fr-CH"/>
              </w:rPr>
              <w:drawing>
                <wp:inline distT="0" distB="0" distL="0" distR="0" wp14:anchorId="1E456CC7" wp14:editId="686AE2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26DC2AD" w14:textId="77777777" w:rsidR="00132EA9" w:rsidRPr="001F6B05" w:rsidRDefault="00132EA9" w:rsidP="00F01738">
            <w:pPr>
              <w:spacing w:before="120" w:line="420" w:lineRule="exact"/>
              <w:rPr>
                <w:b/>
                <w:color w:val="000000" w:themeColor="text1"/>
                <w:sz w:val="40"/>
                <w:szCs w:val="40"/>
              </w:rPr>
            </w:pPr>
            <w:r w:rsidRPr="001F6B05">
              <w:rPr>
                <w:b/>
                <w:color w:val="000000" w:themeColor="text1"/>
                <w:sz w:val="40"/>
                <w:szCs w:val="40"/>
              </w:rPr>
              <w:t>Secrétariat</w:t>
            </w:r>
          </w:p>
        </w:tc>
        <w:tc>
          <w:tcPr>
            <w:tcW w:w="2835" w:type="dxa"/>
            <w:tcBorders>
              <w:top w:val="single" w:sz="4" w:space="0" w:color="auto"/>
              <w:bottom w:val="single" w:sz="12" w:space="0" w:color="auto"/>
            </w:tcBorders>
          </w:tcPr>
          <w:p w14:paraId="27D244E2" w14:textId="77777777" w:rsidR="00132EA9" w:rsidRPr="001F6B05" w:rsidRDefault="00DD7021" w:rsidP="00F01738">
            <w:pPr>
              <w:spacing w:before="240"/>
              <w:rPr>
                <w:color w:val="000000" w:themeColor="text1"/>
              </w:rPr>
            </w:pPr>
            <w:r w:rsidRPr="001F6B05">
              <w:rPr>
                <w:color w:val="000000" w:themeColor="text1"/>
              </w:rPr>
              <w:t>Distr. générale</w:t>
            </w:r>
          </w:p>
          <w:p w14:paraId="48A96A5E" w14:textId="77777777" w:rsidR="00DD7021" w:rsidRPr="001F6B05" w:rsidRDefault="00DD7021" w:rsidP="00DD7021">
            <w:pPr>
              <w:spacing w:line="240" w:lineRule="exact"/>
              <w:rPr>
                <w:color w:val="000000" w:themeColor="text1"/>
              </w:rPr>
            </w:pPr>
            <w:r w:rsidRPr="001F6B05">
              <w:rPr>
                <w:color w:val="000000" w:themeColor="text1"/>
              </w:rPr>
              <w:t>7 septembre 2020</w:t>
            </w:r>
          </w:p>
          <w:p w14:paraId="266270F1" w14:textId="77777777" w:rsidR="00DD7021" w:rsidRPr="001F6B05" w:rsidRDefault="00DD7021" w:rsidP="00DD7021">
            <w:pPr>
              <w:spacing w:line="240" w:lineRule="exact"/>
              <w:rPr>
                <w:color w:val="000000" w:themeColor="text1"/>
              </w:rPr>
            </w:pPr>
            <w:r w:rsidRPr="001F6B05">
              <w:rPr>
                <w:color w:val="000000" w:themeColor="text1"/>
              </w:rPr>
              <w:t>Français</w:t>
            </w:r>
          </w:p>
          <w:p w14:paraId="29938A65" w14:textId="77777777" w:rsidR="00DD7021" w:rsidRPr="001F6B05" w:rsidRDefault="00DD7021" w:rsidP="00DD7021">
            <w:pPr>
              <w:spacing w:line="240" w:lineRule="exact"/>
              <w:rPr>
                <w:color w:val="000000" w:themeColor="text1"/>
              </w:rPr>
            </w:pPr>
            <w:r w:rsidRPr="001F6B05">
              <w:rPr>
                <w:color w:val="000000" w:themeColor="text1"/>
              </w:rPr>
              <w:t>Original</w:t>
            </w:r>
            <w:r w:rsidR="001F6B05" w:rsidRPr="001F6B05">
              <w:rPr>
                <w:color w:val="000000" w:themeColor="text1"/>
              </w:rPr>
              <w:t> :</w:t>
            </w:r>
            <w:r w:rsidRPr="001F6B05">
              <w:rPr>
                <w:color w:val="000000" w:themeColor="text1"/>
              </w:rPr>
              <w:t xml:space="preserve"> anglais</w:t>
            </w:r>
          </w:p>
        </w:tc>
      </w:tr>
    </w:tbl>
    <w:p w14:paraId="2081BAB4" w14:textId="77777777" w:rsidR="001F6B05" w:rsidRPr="001F6B05" w:rsidRDefault="001F6B05" w:rsidP="001F6B05">
      <w:pPr>
        <w:spacing w:before="120"/>
        <w:rPr>
          <w:b/>
          <w:bCs/>
          <w:color w:val="000000" w:themeColor="text1"/>
          <w:sz w:val="24"/>
          <w:szCs w:val="24"/>
          <w:lang w:val="fr-FR"/>
        </w:rPr>
      </w:pPr>
      <w:r w:rsidRPr="001F6B05">
        <w:rPr>
          <w:b/>
          <w:bCs/>
          <w:color w:val="000000" w:themeColor="text1"/>
          <w:sz w:val="24"/>
          <w:szCs w:val="24"/>
          <w:lang w:val="fr-FR"/>
        </w:rPr>
        <w:t xml:space="preserve">Comité d’experts du transport des marchandises dangereuses </w:t>
      </w:r>
      <w:r w:rsidRPr="001F6B05">
        <w:rPr>
          <w:b/>
          <w:bCs/>
          <w:color w:val="000000" w:themeColor="text1"/>
          <w:sz w:val="24"/>
          <w:szCs w:val="24"/>
          <w:lang w:val="fr-FR"/>
        </w:rPr>
        <w:br/>
        <w:t xml:space="preserve">et du Système général harmonisé de classification </w:t>
      </w:r>
      <w:r w:rsidRPr="001F6B05">
        <w:rPr>
          <w:b/>
          <w:bCs/>
          <w:color w:val="000000" w:themeColor="text1"/>
          <w:sz w:val="24"/>
          <w:szCs w:val="24"/>
          <w:lang w:val="fr-FR"/>
        </w:rPr>
        <w:br/>
        <w:t>et d’étiquetage des produits chimiques</w:t>
      </w:r>
    </w:p>
    <w:p w14:paraId="2BE46216" w14:textId="77777777" w:rsidR="001F6B05" w:rsidRPr="001F6B05" w:rsidRDefault="001F6B05" w:rsidP="001F6B05">
      <w:pPr>
        <w:spacing w:before="120"/>
        <w:rPr>
          <w:b/>
          <w:bCs/>
          <w:color w:val="000000" w:themeColor="text1"/>
          <w:lang w:val="fr-FR"/>
        </w:rPr>
      </w:pPr>
      <w:r w:rsidRPr="001F6B05">
        <w:rPr>
          <w:b/>
          <w:bCs/>
          <w:color w:val="000000" w:themeColor="text1"/>
          <w:lang w:val="fr-FR"/>
        </w:rPr>
        <w:t>Sous-Comité d’experts du transport des marchandises dangereuses</w:t>
      </w:r>
    </w:p>
    <w:p w14:paraId="73939F89" w14:textId="77777777" w:rsidR="001F6B05" w:rsidRPr="001F6B05" w:rsidRDefault="001F6B05" w:rsidP="001F6B05">
      <w:pPr>
        <w:spacing w:before="120"/>
        <w:rPr>
          <w:b/>
          <w:color w:val="000000" w:themeColor="text1"/>
        </w:rPr>
      </w:pPr>
      <w:r w:rsidRPr="001F6B05">
        <w:rPr>
          <w:b/>
          <w:bCs/>
          <w:color w:val="000000" w:themeColor="text1"/>
          <w:lang w:val="fr-FR"/>
        </w:rPr>
        <w:t>Cinquante-septième session</w:t>
      </w:r>
    </w:p>
    <w:p w14:paraId="015C37CB" w14:textId="77777777" w:rsidR="001F6B05" w:rsidRPr="001F6B05" w:rsidRDefault="001F6B05" w:rsidP="001F6B05">
      <w:pPr>
        <w:rPr>
          <w:color w:val="000000" w:themeColor="text1"/>
          <w:lang w:val="fr-FR"/>
        </w:rPr>
      </w:pPr>
      <w:r w:rsidRPr="001F6B05">
        <w:rPr>
          <w:color w:val="000000" w:themeColor="text1"/>
          <w:lang w:val="fr-FR"/>
        </w:rPr>
        <w:t>Genève, 30 novembre-8 décembre 2020</w:t>
      </w:r>
    </w:p>
    <w:p w14:paraId="49D52550" w14:textId="77777777" w:rsidR="001F6B05" w:rsidRPr="001F6B05" w:rsidRDefault="001F6B05" w:rsidP="001F6B05">
      <w:pPr>
        <w:rPr>
          <w:color w:val="000000" w:themeColor="text1"/>
        </w:rPr>
      </w:pPr>
      <w:r w:rsidRPr="001F6B05">
        <w:rPr>
          <w:color w:val="000000" w:themeColor="text1"/>
          <w:lang w:val="fr-FR"/>
        </w:rPr>
        <w:t>Point 6 e) de l’ordre du jour provisoire</w:t>
      </w:r>
    </w:p>
    <w:p w14:paraId="11053B3E" w14:textId="77777777" w:rsidR="001F6B05" w:rsidRPr="001F6B05" w:rsidRDefault="001F6B05" w:rsidP="001F6B05">
      <w:pPr>
        <w:rPr>
          <w:b/>
          <w:bCs/>
          <w:color w:val="000000" w:themeColor="text1"/>
        </w:rPr>
      </w:pPr>
      <w:r w:rsidRPr="001F6B05">
        <w:rPr>
          <w:b/>
          <w:bCs/>
          <w:color w:val="000000" w:themeColor="text1"/>
          <w:lang w:val="fr-FR"/>
        </w:rPr>
        <w:t xml:space="preserve">Propositions diverses d’amendements au Règlement type pour </w:t>
      </w:r>
      <w:r w:rsidRPr="001F6B05">
        <w:rPr>
          <w:b/>
          <w:bCs/>
          <w:color w:val="000000" w:themeColor="text1"/>
          <w:lang w:val="fr-FR"/>
        </w:rPr>
        <w:br/>
        <w:t>le transport des marchandises dangereuses : autres propositions diverses</w:t>
      </w:r>
    </w:p>
    <w:p w14:paraId="10BE7BEA" w14:textId="77777777" w:rsidR="001F6B05" w:rsidRPr="001F6B05" w:rsidRDefault="001F6B05" w:rsidP="001F6B05">
      <w:pPr>
        <w:pStyle w:val="HChG"/>
        <w:rPr>
          <w:rFonts w:asciiTheme="majorBidi" w:hAnsiTheme="majorBidi" w:cstheme="majorBidi"/>
          <w:color w:val="000000" w:themeColor="text1"/>
        </w:rPr>
      </w:pPr>
      <w:r w:rsidRPr="001F6B05">
        <w:rPr>
          <w:color w:val="000000" w:themeColor="text1"/>
          <w:lang w:val="fr-FR"/>
        </w:rPr>
        <w:tab/>
      </w:r>
      <w:r w:rsidRPr="001F6B05">
        <w:rPr>
          <w:color w:val="000000" w:themeColor="text1"/>
          <w:lang w:val="fr-FR"/>
        </w:rPr>
        <w:tab/>
        <w:t>Transport du butylène</w:t>
      </w:r>
    </w:p>
    <w:p w14:paraId="76A470EF" w14:textId="77777777" w:rsidR="001F6B05" w:rsidRPr="001F6B05" w:rsidRDefault="001F6B05" w:rsidP="001F6B05">
      <w:pPr>
        <w:pStyle w:val="H1G"/>
        <w:rPr>
          <w:rFonts w:asciiTheme="majorBidi" w:hAnsiTheme="majorBidi" w:cstheme="majorBidi"/>
          <w:color w:val="000000" w:themeColor="text1"/>
        </w:rPr>
      </w:pPr>
      <w:r w:rsidRPr="001F6B05">
        <w:rPr>
          <w:color w:val="000000" w:themeColor="text1"/>
          <w:lang w:val="fr-FR"/>
        </w:rPr>
        <w:tab/>
      </w:r>
      <w:r w:rsidRPr="001F6B05">
        <w:rPr>
          <w:color w:val="000000" w:themeColor="text1"/>
          <w:lang w:val="fr-FR"/>
        </w:rPr>
        <w:tab/>
        <w:t>Communication de l’expert de l’Espagne</w:t>
      </w:r>
      <w:r w:rsidR="002C2988" w:rsidRPr="002C2988">
        <w:rPr>
          <w:rStyle w:val="FootnoteReference"/>
          <w:b w:val="0"/>
          <w:bCs/>
          <w:color w:val="000000" w:themeColor="text1"/>
          <w:sz w:val="20"/>
          <w:vertAlign w:val="baseline"/>
        </w:rPr>
        <w:footnoteReference w:customMarkFollows="1" w:id="2"/>
        <w:t>*</w:t>
      </w:r>
    </w:p>
    <w:p w14:paraId="1D8D721E" w14:textId="77777777" w:rsidR="001F6B05" w:rsidRPr="001F6B05" w:rsidRDefault="001F6B05" w:rsidP="001F6B05">
      <w:pPr>
        <w:pStyle w:val="HChG"/>
        <w:rPr>
          <w:rFonts w:asciiTheme="majorBidi" w:hAnsiTheme="majorBidi" w:cstheme="majorBidi"/>
          <w:color w:val="000000" w:themeColor="text1"/>
        </w:rPr>
      </w:pPr>
      <w:r w:rsidRPr="001F6B05">
        <w:rPr>
          <w:color w:val="000000" w:themeColor="text1"/>
          <w:lang w:val="fr-FR"/>
        </w:rPr>
        <w:tab/>
      </w:r>
      <w:r w:rsidRPr="001F6B05">
        <w:rPr>
          <w:color w:val="000000" w:themeColor="text1"/>
          <w:lang w:val="fr-FR"/>
        </w:rPr>
        <w:tab/>
        <w:t>Introduction</w:t>
      </w:r>
    </w:p>
    <w:p w14:paraId="565FB4F3" w14:textId="77777777" w:rsidR="001F6B05" w:rsidRPr="001F6B05" w:rsidRDefault="001F6B05" w:rsidP="001F6B05">
      <w:pPr>
        <w:pStyle w:val="SingleTxtG"/>
        <w:rPr>
          <w:color w:val="000000" w:themeColor="text1"/>
        </w:rPr>
      </w:pPr>
      <w:r w:rsidRPr="001F6B05">
        <w:rPr>
          <w:color w:val="000000" w:themeColor="text1"/>
          <w:lang w:val="fr-FR"/>
        </w:rPr>
        <w:t>1.</w:t>
      </w:r>
      <w:r w:rsidRPr="001F6B05">
        <w:rPr>
          <w:color w:val="000000" w:themeColor="text1"/>
          <w:lang w:val="fr-FR"/>
        </w:rPr>
        <w:tab/>
        <w:t>Ces dernières années, l’Espagne a cherché à harmoniser les noms des numéros ONU, en particulier dans la version espagnole. Elle a en outre accordé une attention particulière aux cas dans lesquels le nom et la description des numéros ONU diffèrent, dans le Règlement type et dans le RID et l’ADR, pour toutes les langues.</w:t>
      </w:r>
    </w:p>
    <w:p w14:paraId="30ADB621" w14:textId="77777777" w:rsidR="001F6B05" w:rsidRPr="001F6B05" w:rsidRDefault="001F6B05" w:rsidP="001F6B05">
      <w:pPr>
        <w:pStyle w:val="SingleTxtG"/>
        <w:rPr>
          <w:color w:val="000000" w:themeColor="text1"/>
          <w:spacing w:val="-2"/>
        </w:rPr>
      </w:pPr>
      <w:r w:rsidRPr="001F6B05">
        <w:rPr>
          <w:color w:val="000000" w:themeColor="text1"/>
          <w:lang w:val="fr-FR"/>
        </w:rPr>
        <w:t>2.</w:t>
      </w:r>
      <w:r w:rsidRPr="001F6B05">
        <w:rPr>
          <w:color w:val="000000" w:themeColor="text1"/>
          <w:lang w:val="fr-FR"/>
        </w:rPr>
        <w:tab/>
      </w:r>
      <w:r w:rsidRPr="001F6B05">
        <w:rPr>
          <w:color w:val="000000" w:themeColor="text1"/>
          <w:spacing w:val="-2"/>
          <w:lang w:val="fr-FR"/>
        </w:rPr>
        <w:t>En conséquence, elle a soumis à la Réunion commune une série de propositions visant à harmoniser ces noms (ECE/TRANS/WP.15/AC.1/2019/32, ECE/TRANS/WP.15/AC.1/</w:t>
      </w:r>
      <w:r w:rsidR="002C2988">
        <w:rPr>
          <w:color w:val="000000" w:themeColor="text1"/>
          <w:spacing w:val="-2"/>
          <w:lang w:val="fr-FR"/>
        </w:rPr>
        <w:t xml:space="preserve"> </w:t>
      </w:r>
      <w:r w:rsidRPr="001F6B05">
        <w:rPr>
          <w:color w:val="000000" w:themeColor="text1"/>
          <w:spacing w:val="-2"/>
          <w:lang w:val="fr-FR"/>
        </w:rPr>
        <w:t>2020/37, ECE/TRANS/WP.15/AC.1/2020/39 et ECE/TRANS/WP.15/AC.1/2020/41).</w:t>
      </w:r>
    </w:p>
    <w:p w14:paraId="1330E064" w14:textId="77777777" w:rsidR="001F6B05" w:rsidRPr="001F6B05" w:rsidRDefault="001F6B05" w:rsidP="001F6B05">
      <w:pPr>
        <w:pStyle w:val="SingleTxtG"/>
        <w:rPr>
          <w:color w:val="000000" w:themeColor="text1"/>
        </w:rPr>
      </w:pPr>
      <w:r w:rsidRPr="001F6B05">
        <w:rPr>
          <w:color w:val="000000" w:themeColor="text1"/>
          <w:lang w:val="fr-FR"/>
        </w:rPr>
        <w:t>3.</w:t>
      </w:r>
      <w:r w:rsidRPr="001F6B05">
        <w:rPr>
          <w:color w:val="000000" w:themeColor="text1"/>
          <w:lang w:val="fr-FR"/>
        </w:rPr>
        <w:tab/>
        <w:t>À la suite de l’examen du document ECE/TRANS/WP.15/AC.1/2019/32 par la Réunion commune, l’Espagne a été invitée à soumettre au Sous-Comité une proposition d’amendement concernant le No</w:t>
      </w:r>
      <w:r w:rsidR="002C2988">
        <w:rPr>
          <w:color w:val="000000" w:themeColor="text1"/>
          <w:lang w:val="fr-FR"/>
        </w:rPr>
        <w:t> </w:t>
      </w:r>
      <w:r w:rsidRPr="001F6B05">
        <w:rPr>
          <w:color w:val="000000" w:themeColor="text1"/>
          <w:lang w:val="fr-FR"/>
        </w:rPr>
        <w:t>ONU 1012, BUTYLÈNE. Le nom et la description du No</w:t>
      </w:r>
      <w:r w:rsidR="002C2988">
        <w:rPr>
          <w:color w:val="000000" w:themeColor="text1"/>
          <w:lang w:val="fr-FR"/>
        </w:rPr>
        <w:t> </w:t>
      </w:r>
      <w:r w:rsidRPr="001F6B05">
        <w:rPr>
          <w:color w:val="000000" w:themeColor="text1"/>
          <w:lang w:val="fr-FR"/>
        </w:rPr>
        <w:t>ONU 1012 dans le Règlement type et dans le RID et l’ADR sont les suivants :</w:t>
      </w:r>
    </w:p>
    <w:tbl>
      <w:tblPr>
        <w:tblStyle w:val="TableGrid"/>
        <w:tblW w:w="0" w:type="auto"/>
        <w:tblInd w:w="1134" w:type="dxa"/>
        <w:tblLayout w:type="fixed"/>
        <w:tblLook w:val="04A0" w:firstRow="1" w:lastRow="0" w:firstColumn="1" w:lastColumn="0" w:noHBand="0" w:noVBand="1"/>
      </w:tblPr>
      <w:tblGrid>
        <w:gridCol w:w="1838"/>
        <w:gridCol w:w="2552"/>
        <w:gridCol w:w="3089"/>
      </w:tblGrid>
      <w:tr w:rsidR="001F6B05" w:rsidRPr="001F6B05" w14:paraId="3AAD8048" w14:textId="77777777" w:rsidTr="00F8221C">
        <w:tc>
          <w:tcPr>
            <w:tcW w:w="1838" w:type="dxa"/>
            <w:tcBorders>
              <w:top w:val="single" w:sz="4" w:space="0" w:color="auto"/>
              <w:left w:val="single" w:sz="4" w:space="0" w:color="auto"/>
              <w:bottom w:val="single" w:sz="4" w:space="0" w:color="auto"/>
              <w:right w:val="single" w:sz="4" w:space="0" w:color="auto"/>
            </w:tcBorders>
            <w:hideMark/>
          </w:tcPr>
          <w:p w14:paraId="551D0BFB" w14:textId="77777777" w:rsidR="001F6B05" w:rsidRPr="001F6B05" w:rsidRDefault="001F6B05" w:rsidP="002C2988">
            <w:pPr>
              <w:spacing w:before="40" w:after="40"/>
              <w:ind w:left="113" w:right="113"/>
              <w:jc w:val="center"/>
              <w:rPr>
                <w:rFonts w:asciiTheme="majorBidi" w:eastAsia="SimSun" w:hAnsiTheme="majorBidi" w:cstheme="majorBidi"/>
                <w:color w:val="000000" w:themeColor="text1"/>
              </w:rPr>
            </w:pPr>
            <w:r w:rsidRPr="001F6B05">
              <w:rPr>
                <w:color w:val="000000" w:themeColor="text1"/>
                <w:lang w:val="fr-FR"/>
              </w:rPr>
              <w:t>No ONU</w:t>
            </w:r>
          </w:p>
        </w:tc>
        <w:tc>
          <w:tcPr>
            <w:tcW w:w="2552" w:type="dxa"/>
            <w:tcBorders>
              <w:top w:val="single" w:sz="4" w:space="0" w:color="auto"/>
              <w:left w:val="single" w:sz="4" w:space="0" w:color="auto"/>
              <w:bottom w:val="single" w:sz="4" w:space="0" w:color="auto"/>
              <w:right w:val="single" w:sz="4" w:space="0" w:color="auto"/>
            </w:tcBorders>
            <w:hideMark/>
          </w:tcPr>
          <w:p w14:paraId="56618A1A" w14:textId="77777777" w:rsidR="001F6B05" w:rsidRPr="001F6B05" w:rsidRDefault="001F6B05" w:rsidP="002C2988">
            <w:pPr>
              <w:spacing w:before="40" w:after="40"/>
              <w:ind w:left="113" w:right="113"/>
              <w:jc w:val="center"/>
              <w:rPr>
                <w:rFonts w:asciiTheme="majorBidi" w:eastAsia="SimSun" w:hAnsiTheme="majorBidi" w:cstheme="majorBidi"/>
                <w:color w:val="000000" w:themeColor="text1"/>
              </w:rPr>
            </w:pPr>
            <w:r w:rsidRPr="001F6B05">
              <w:rPr>
                <w:color w:val="000000" w:themeColor="text1"/>
                <w:lang w:val="fr-FR"/>
              </w:rPr>
              <w:t>Règlement type pour le transport des marchandises dangereuses</w:t>
            </w:r>
          </w:p>
        </w:tc>
        <w:tc>
          <w:tcPr>
            <w:tcW w:w="3089" w:type="dxa"/>
            <w:tcBorders>
              <w:top w:val="single" w:sz="4" w:space="0" w:color="auto"/>
              <w:left w:val="single" w:sz="4" w:space="0" w:color="auto"/>
              <w:bottom w:val="single" w:sz="4" w:space="0" w:color="auto"/>
              <w:right w:val="single" w:sz="4" w:space="0" w:color="auto"/>
            </w:tcBorders>
            <w:hideMark/>
          </w:tcPr>
          <w:p w14:paraId="76FBF330" w14:textId="77777777" w:rsidR="001F6B05" w:rsidRPr="001F6B05" w:rsidRDefault="001F6B05" w:rsidP="002C2988">
            <w:pPr>
              <w:spacing w:before="40" w:after="40"/>
              <w:ind w:left="113" w:right="113"/>
              <w:jc w:val="center"/>
              <w:rPr>
                <w:rFonts w:asciiTheme="majorBidi" w:eastAsia="SimSun" w:hAnsiTheme="majorBidi" w:cstheme="majorBidi"/>
                <w:color w:val="000000" w:themeColor="text1"/>
              </w:rPr>
            </w:pPr>
            <w:r w:rsidRPr="001F6B05">
              <w:rPr>
                <w:color w:val="000000" w:themeColor="text1"/>
                <w:lang w:val="fr-FR"/>
              </w:rPr>
              <w:t>RID/ADR</w:t>
            </w:r>
          </w:p>
        </w:tc>
      </w:tr>
      <w:tr w:rsidR="001F6B05" w:rsidRPr="001F6B05" w14:paraId="415FE86E" w14:textId="77777777" w:rsidTr="00F8221C">
        <w:tc>
          <w:tcPr>
            <w:tcW w:w="1838" w:type="dxa"/>
            <w:tcBorders>
              <w:top w:val="single" w:sz="4" w:space="0" w:color="auto"/>
              <w:left w:val="single" w:sz="4" w:space="0" w:color="auto"/>
              <w:bottom w:val="single" w:sz="4" w:space="0" w:color="auto"/>
              <w:right w:val="single" w:sz="4" w:space="0" w:color="auto"/>
            </w:tcBorders>
            <w:vAlign w:val="center"/>
            <w:hideMark/>
          </w:tcPr>
          <w:p w14:paraId="2D1F3023" w14:textId="77777777" w:rsidR="001F6B05" w:rsidRPr="001F6B05" w:rsidRDefault="001F6B05" w:rsidP="002C2988">
            <w:pPr>
              <w:kinsoku/>
              <w:overflowPunct/>
              <w:autoSpaceDE/>
              <w:autoSpaceDN/>
              <w:adjustRightInd/>
              <w:snapToGrid/>
              <w:spacing w:before="40" w:after="40" w:line="240" w:lineRule="auto"/>
              <w:ind w:left="113" w:right="113"/>
              <w:jc w:val="center"/>
              <w:rPr>
                <w:rFonts w:asciiTheme="majorBidi" w:eastAsia="Times New Roman" w:hAnsiTheme="majorBidi" w:cstheme="majorBidi"/>
                <w:color w:val="000000" w:themeColor="text1"/>
              </w:rPr>
            </w:pPr>
            <w:r w:rsidRPr="001F6B05">
              <w:rPr>
                <w:color w:val="000000" w:themeColor="text1"/>
                <w:lang w:val="fr-FR"/>
              </w:rPr>
              <w:t>1012</w:t>
            </w:r>
          </w:p>
        </w:tc>
        <w:tc>
          <w:tcPr>
            <w:tcW w:w="2552" w:type="dxa"/>
            <w:tcBorders>
              <w:top w:val="single" w:sz="4" w:space="0" w:color="auto"/>
              <w:left w:val="single" w:sz="4" w:space="0" w:color="auto"/>
              <w:bottom w:val="single" w:sz="4" w:space="0" w:color="auto"/>
              <w:right w:val="single" w:sz="4" w:space="0" w:color="auto"/>
            </w:tcBorders>
            <w:hideMark/>
          </w:tcPr>
          <w:p w14:paraId="20866A5C" w14:textId="77777777" w:rsidR="001F6B05" w:rsidRPr="001F6B05" w:rsidRDefault="001F6B05" w:rsidP="002C2988">
            <w:pPr>
              <w:kinsoku/>
              <w:overflowPunct/>
              <w:autoSpaceDE/>
              <w:autoSpaceDN/>
              <w:adjustRightInd/>
              <w:snapToGrid/>
              <w:spacing w:before="40" w:after="40" w:line="240" w:lineRule="auto"/>
              <w:ind w:left="113" w:right="113"/>
              <w:rPr>
                <w:rFonts w:asciiTheme="majorBidi" w:eastAsia="Times New Roman" w:hAnsiTheme="majorBidi" w:cstheme="majorBidi"/>
                <w:color w:val="000000" w:themeColor="text1"/>
              </w:rPr>
            </w:pPr>
            <w:r w:rsidRPr="001F6B05">
              <w:rPr>
                <w:color w:val="000000" w:themeColor="text1"/>
                <w:lang w:val="fr-FR"/>
              </w:rPr>
              <w:t>BUTYLÈNE</w:t>
            </w:r>
          </w:p>
        </w:tc>
        <w:tc>
          <w:tcPr>
            <w:tcW w:w="3089" w:type="dxa"/>
            <w:tcBorders>
              <w:top w:val="single" w:sz="4" w:space="0" w:color="auto"/>
              <w:left w:val="single" w:sz="4" w:space="0" w:color="auto"/>
              <w:bottom w:val="single" w:sz="4" w:space="0" w:color="auto"/>
              <w:right w:val="single" w:sz="4" w:space="0" w:color="auto"/>
            </w:tcBorders>
            <w:hideMark/>
          </w:tcPr>
          <w:p w14:paraId="5FAB1560" w14:textId="77777777" w:rsidR="001F6B05" w:rsidRPr="001F6B05" w:rsidRDefault="001F6B05" w:rsidP="002C2988">
            <w:pPr>
              <w:kinsoku/>
              <w:overflowPunct/>
              <w:autoSpaceDE/>
              <w:autoSpaceDN/>
              <w:adjustRightInd/>
              <w:snapToGrid/>
              <w:spacing w:before="40" w:after="40" w:line="240" w:lineRule="auto"/>
              <w:ind w:left="113" w:right="113"/>
              <w:rPr>
                <w:rFonts w:asciiTheme="majorBidi" w:eastAsia="Times New Roman" w:hAnsiTheme="majorBidi" w:cstheme="majorBidi"/>
                <w:color w:val="000000" w:themeColor="text1"/>
              </w:rPr>
            </w:pPr>
            <w:r w:rsidRPr="001F6B05">
              <w:rPr>
                <w:color w:val="000000" w:themeColor="text1"/>
                <w:lang w:val="fr-FR"/>
              </w:rPr>
              <w:t>BUTYLÈNES EN MÉLANGE ou BUTYLÈNE-1 ou cis</w:t>
            </w:r>
            <w:r>
              <w:rPr>
                <w:color w:val="000000" w:themeColor="text1"/>
                <w:lang w:val="fr-FR"/>
              </w:rPr>
              <w:noBreakHyphen/>
            </w:r>
            <w:r w:rsidRPr="001F6B05">
              <w:rPr>
                <w:color w:val="000000" w:themeColor="text1"/>
                <w:lang w:val="fr-FR"/>
              </w:rPr>
              <w:t>BUTYLÈNE-2 ou trans</w:t>
            </w:r>
            <w:r>
              <w:rPr>
                <w:color w:val="000000" w:themeColor="text1"/>
                <w:lang w:val="fr-FR"/>
              </w:rPr>
              <w:noBreakHyphen/>
            </w:r>
            <w:r w:rsidRPr="001F6B05">
              <w:rPr>
                <w:color w:val="000000" w:themeColor="text1"/>
                <w:lang w:val="fr-FR"/>
              </w:rPr>
              <w:t>BUTYLÈNE-2</w:t>
            </w:r>
          </w:p>
        </w:tc>
      </w:tr>
    </w:tbl>
    <w:p w14:paraId="176494A9" w14:textId="77777777" w:rsidR="001F6B05" w:rsidRPr="001F6B05" w:rsidRDefault="001F6B05" w:rsidP="001F6B05">
      <w:pPr>
        <w:pStyle w:val="SingleTxtG"/>
        <w:rPr>
          <w:color w:val="000000" w:themeColor="text1"/>
        </w:rPr>
      </w:pPr>
      <w:r w:rsidRPr="001F6B05">
        <w:rPr>
          <w:color w:val="000000" w:themeColor="text1"/>
        </w:rPr>
        <w:br w:type="page"/>
      </w:r>
      <w:r w:rsidRPr="001F6B05">
        <w:rPr>
          <w:color w:val="000000" w:themeColor="text1"/>
          <w:lang w:val="fr-FR"/>
        </w:rPr>
        <w:lastRenderedPageBreak/>
        <w:t>4.</w:t>
      </w:r>
      <w:r w:rsidRPr="001F6B05">
        <w:rPr>
          <w:color w:val="000000" w:themeColor="text1"/>
          <w:lang w:val="fr-FR"/>
        </w:rPr>
        <w:tab/>
        <w:t>Les butylènes, également connus sous la dénomination de butènes, sont un groupe d’alcènes dont la formule générale est C</w:t>
      </w:r>
      <w:r w:rsidRPr="002C2988">
        <w:rPr>
          <w:color w:val="000000" w:themeColor="text1"/>
          <w:vertAlign w:val="subscript"/>
          <w:lang w:val="fr-FR"/>
        </w:rPr>
        <w:t>4</w:t>
      </w:r>
      <w:r w:rsidRPr="001F6B05">
        <w:rPr>
          <w:color w:val="000000" w:themeColor="text1"/>
          <w:lang w:val="fr-FR"/>
        </w:rPr>
        <w:t>H</w:t>
      </w:r>
      <w:r w:rsidRPr="002C2988">
        <w:rPr>
          <w:color w:val="000000" w:themeColor="text1"/>
          <w:vertAlign w:val="subscript"/>
          <w:lang w:val="fr-FR"/>
        </w:rPr>
        <w:t>8</w:t>
      </w:r>
      <w:r w:rsidRPr="001F6B05">
        <w:rPr>
          <w:color w:val="000000" w:themeColor="text1"/>
          <w:lang w:val="fr-FR"/>
        </w:rPr>
        <w:t>. On dénombre quatre isomères d’alcènes pour la formule susmentionnée :</w:t>
      </w:r>
    </w:p>
    <w:tbl>
      <w:tblPr>
        <w:tblStyle w:val="TableGrid"/>
        <w:tblW w:w="7370" w:type="dxa"/>
        <w:tblInd w:w="1134" w:type="dxa"/>
        <w:tblLayout w:type="fixed"/>
        <w:tblLook w:val="04A0" w:firstRow="1" w:lastRow="0" w:firstColumn="1" w:lastColumn="0" w:noHBand="0" w:noVBand="1"/>
      </w:tblPr>
      <w:tblGrid>
        <w:gridCol w:w="1848"/>
        <w:gridCol w:w="2126"/>
        <w:gridCol w:w="3396"/>
      </w:tblGrid>
      <w:tr w:rsidR="001F6B05" w:rsidRPr="001F6B05" w14:paraId="646FFB0B" w14:textId="77777777" w:rsidTr="001F6B05">
        <w:tc>
          <w:tcPr>
            <w:tcW w:w="1848" w:type="dxa"/>
            <w:tcBorders>
              <w:top w:val="single" w:sz="4" w:space="0" w:color="auto"/>
              <w:left w:val="single" w:sz="4" w:space="0" w:color="auto"/>
              <w:bottom w:val="single" w:sz="4" w:space="0" w:color="auto"/>
              <w:right w:val="single" w:sz="4" w:space="0" w:color="auto"/>
            </w:tcBorders>
            <w:vAlign w:val="center"/>
            <w:hideMark/>
          </w:tcPr>
          <w:p w14:paraId="08A7E2ED" w14:textId="77777777" w:rsidR="001F6B05" w:rsidRPr="001F6B05" w:rsidRDefault="001F6B05" w:rsidP="001F6B05">
            <w:pPr>
              <w:kinsoku/>
              <w:overflowPunct/>
              <w:autoSpaceDE/>
              <w:autoSpaceDN/>
              <w:adjustRightInd/>
              <w:snapToGrid/>
              <w:spacing w:before="40" w:after="40" w:line="240" w:lineRule="auto"/>
              <w:jc w:val="center"/>
              <w:rPr>
                <w:rFonts w:asciiTheme="majorBidi" w:eastAsia="Times New Roman" w:hAnsiTheme="majorBidi" w:cstheme="majorBidi"/>
                <w:b/>
                <w:bCs/>
                <w:color w:val="000000" w:themeColor="text1"/>
                <w:sz w:val="24"/>
                <w:szCs w:val="24"/>
              </w:rPr>
            </w:pPr>
            <w:r w:rsidRPr="001F6B05">
              <w:rPr>
                <w:b/>
                <w:bCs/>
                <w:color w:val="000000" w:themeColor="text1"/>
                <w:lang w:val="fr-FR"/>
              </w:rPr>
              <w:t>Désignation UICPA</w:t>
            </w:r>
            <w:r w:rsidRPr="001F6B05">
              <w:rPr>
                <w:color w:val="000000" w:themeColor="text1"/>
                <w:lang w:val="fr-FR"/>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BB9552C" w14:textId="77777777" w:rsidR="001F6B05" w:rsidRPr="001F6B05" w:rsidRDefault="001F6B05" w:rsidP="001F6B05">
            <w:pPr>
              <w:kinsoku/>
              <w:overflowPunct/>
              <w:autoSpaceDE/>
              <w:autoSpaceDN/>
              <w:adjustRightInd/>
              <w:snapToGrid/>
              <w:spacing w:before="40" w:after="40" w:line="240" w:lineRule="auto"/>
              <w:jc w:val="center"/>
              <w:rPr>
                <w:rFonts w:asciiTheme="majorBidi" w:eastAsia="Times New Roman" w:hAnsiTheme="majorBidi" w:cstheme="majorBidi"/>
                <w:b/>
                <w:bCs/>
                <w:color w:val="000000" w:themeColor="text1"/>
                <w:sz w:val="24"/>
                <w:szCs w:val="24"/>
              </w:rPr>
            </w:pPr>
            <w:r w:rsidRPr="001F6B05">
              <w:rPr>
                <w:b/>
                <w:bCs/>
                <w:color w:val="000000" w:themeColor="text1"/>
                <w:lang w:val="fr-FR"/>
              </w:rPr>
              <w:t>Dénomination courante</w:t>
            </w:r>
            <w:r w:rsidRPr="001F6B05">
              <w:rPr>
                <w:color w:val="000000" w:themeColor="text1"/>
                <w:lang w:val="fr-FR"/>
              </w:rPr>
              <w:t xml:space="preserve"> </w:t>
            </w:r>
          </w:p>
        </w:tc>
        <w:tc>
          <w:tcPr>
            <w:tcW w:w="3396" w:type="dxa"/>
            <w:tcBorders>
              <w:top w:val="single" w:sz="4" w:space="0" w:color="auto"/>
              <w:left w:val="single" w:sz="4" w:space="0" w:color="auto"/>
              <w:bottom w:val="single" w:sz="4" w:space="0" w:color="auto"/>
              <w:right w:val="single" w:sz="4" w:space="0" w:color="auto"/>
            </w:tcBorders>
            <w:vAlign w:val="center"/>
            <w:hideMark/>
          </w:tcPr>
          <w:p w14:paraId="00053FDF" w14:textId="77777777" w:rsidR="001F6B05" w:rsidRPr="001F6B05" w:rsidRDefault="001F6B05" w:rsidP="001F6B05">
            <w:pPr>
              <w:kinsoku/>
              <w:overflowPunct/>
              <w:autoSpaceDE/>
              <w:autoSpaceDN/>
              <w:adjustRightInd/>
              <w:snapToGrid/>
              <w:spacing w:before="40" w:after="40" w:line="240" w:lineRule="auto"/>
              <w:jc w:val="center"/>
              <w:rPr>
                <w:rFonts w:asciiTheme="majorBidi" w:eastAsia="Times New Roman" w:hAnsiTheme="majorBidi" w:cstheme="majorBidi"/>
                <w:b/>
                <w:bCs/>
                <w:color w:val="000000" w:themeColor="text1"/>
                <w:sz w:val="24"/>
                <w:szCs w:val="24"/>
              </w:rPr>
            </w:pPr>
            <w:r w:rsidRPr="001F6B05">
              <w:rPr>
                <w:b/>
                <w:bCs/>
                <w:color w:val="000000" w:themeColor="text1"/>
                <w:lang w:val="fr-FR"/>
              </w:rPr>
              <w:t>Structure</w:t>
            </w:r>
            <w:r w:rsidRPr="001F6B05">
              <w:rPr>
                <w:color w:val="000000" w:themeColor="text1"/>
                <w:lang w:val="fr-FR"/>
              </w:rPr>
              <w:t xml:space="preserve"> </w:t>
            </w:r>
          </w:p>
        </w:tc>
      </w:tr>
      <w:tr w:rsidR="001F6B05" w:rsidRPr="001F6B05" w14:paraId="4D58FCCA" w14:textId="77777777" w:rsidTr="001F6B05">
        <w:tc>
          <w:tcPr>
            <w:tcW w:w="1848" w:type="dxa"/>
            <w:tcBorders>
              <w:top w:val="single" w:sz="4" w:space="0" w:color="auto"/>
              <w:left w:val="single" w:sz="4" w:space="0" w:color="auto"/>
              <w:bottom w:val="single" w:sz="4" w:space="0" w:color="auto"/>
              <w:right w:val="single" w:sz="4" w:space="0" w:color="auto"/>
            </w:tcBorders>
            <w:vAlign w:val="center"/>
          </w:tcPr>
          <w:p w14:paraId="36FEB535" w14:textId="39482760" w:rsidR="001F6B05" w:rsidRPr="002C2988" w:rsidRDefault="005F3749" w:rsidP="001F6B05">
            <w:pPr>
              <w:spacing w:before="40" w:after="40"/>
              <w:ind w:right="-68"/>
              <w:jc w:val="center"/>
              <w:rPr>
                <w:rFonts w:asciiTheme="majorBidi" w:eastAsia="SimSun" w:hAnsiTheme="majorBidi" w:cstheme="majorBidi"/>
                <w:color w:val="0000FF"/>
                <w:sz w:val="16"/>
                <w:szCs w:val="16"/>
              </w:rPr>
            </w:pPr>
            <w:hyperlink r:id="rId11" w:tooltip="1-Butene" w:history="1">
              <w:r w:rsidR="001F6B05" w:rsidRPr="002C2988">
                <w:rPr>
                  <w:color w:val="0000FF"/>
                </w:rPr>
                <w:t>But-1-ène</w:t>
              </w:r>
            </w:hyperlink>
          </w:p>
        </w:tc>
        <w:tc>
          <w:tcPr>
            <w:tcW w:w="2126" w:type="dxa"/>
            <w:tcBorders>
              <w:top w:val="single" w:sz="4" w:space="0" w:color="auto"/>
              <w:left w:val="single" w:sz="4" w:space="0" w:color="auto"/>
              <w:bottom w:val="single" w:sz="4" w:space="0" w:color="auto"/>
              <w:right w:val="single" w:sz="4" w:space="0" w:color="auto"/>
            </w:tcBorders>
            <w:vAlign w:val="center"/>
          </w:tcPr>
          <w:p w14:paraId="647A7C48" w14:textId="77777777" w:rsidR="001F6B05" w:rsidRPr="001F6B05" w:rsidRDefault="001F6B05" w:rsidP="001F6B05">
            <w:pPr>
              <w:kinsoku/>
              <w:overflowPunct/>
              <w:autoSpaceDE/>
              <w:autoSpaceDN/>
              <w:adjustRightInd/>
              <w:snapToGrid/>
              <w:spacing w:before="40" w:after="40" w:line="240" w:lineRule="auto"/>
              <w:jc w:val="center"/>
              <w:rPr>
                <w:rFonts w:asciiTheme="majorBidi" w:eastAsia="Times New Roman" w:hAnsiTheme="majorBidi" w:cstheme="majorBidi"/>
                <w:color w:val="000000" w:themeColor="text1"/>
                <w:sz w:val="16"/>
                <w:szCs w:val="16"/>
              </w:rPr>
            </w:pPr>
            <w:r w:rsidRPr="001F6B05">
              <w:rPr>
                <w:i/>
                <w:iCs/>
                <w:color w:val="000000" w:themeColor="text1"/>
                <w:lang w:val="fr-FR"/>
              </w:rPr>
              <w:t>butylène-1</w:t>
            </w:r>
          </w:p>
        </w:tc>
        <w:tc>
          <w:tcPr>
            <w:tcW w:w="3396" w:type="dxa"/>
            <w:tcBorders>
              <w:top w:val="single" w:sz="4" w:space="0" w:color="auto"/>
              <w:left w:val="single" w:sz="4" w:space="0" w:color="auto"/>
              <w:bottom w:val="single" w:sz="4" w:space="0" w:color="auto"/>
              <w:right w:val="single" w:sz="4" w:space="0" w:color="auto"/>
            </w:tcBorders>
            <w:vAlign w:val="center"/>
            <w:hideMark/>
          </w:tcPr>
          <w:p w14:paraId="49FEC1AE" w14:textId="77777777" w:rsidR="001F6B05" w:rsidRPr="001F6B05" w:rsidRDefault="001F6B05" w:rsidP="001F6B05">
            <w:pPr>
              <w:spacing w:before="40" w:after="40"/>
              <w:jc w:val="center"/>
              <w:rPr>
                <w:rFonts w:asciiTheme="majorBidi" w:eastAsia="SimSun" w:hAnsiTheme="majorBidi" w:cstheme="majorBidi"/>
                <w:color w:val="000000" w:themeColor="text1"/>
                <w:lang w:val="en-GB" w:eastAsia="zh-CN"/>
              </w:rPr>
            </w:pPr>
            <w:r w:rsidRPr="001F6B05">
              <w:rPr>
                <w:rFonts w:asciiTheme="majorBidi" w:hAnsiTheme="majorBidi" w:cstheme="majorBidi"/>
                <w:noProof/>
                <w:color w:val="000000" w:themeColor="text1"/>
                <w:lang w:val="es-ES" w:eastAsia="es-ES"/>
              </w:rPr>
              <w:drawing>
                <wp:inline distT="0" distB="0" distL="0" distR="0" wp14:anchorId="6777FC1C" wp14:editId="010FA61A">
                  <wp:extent cx="2000250" cy="1171575"/>
                  <wp:effectExtent l="0" t="0" r="0" b="0"/>
                  <wp:docPr id="6" name="Picture 6" descr="1-butene.sv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1-butene.sv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0" cy="1171575"/>
                          </a:xfrm>
                          <a:prstGeom prst="rect">
                            <a:avLst/>
                          </a:prstGeom>
                          <a:noFill/>
                          <a:ln>
                            <a:noFill/>
                          </a:ln>
                        </pic:spPr>
                      </pic:pic>
                    </a:graphicData>
                  </a:graphic>
                </wp:inline>
              </w:drawing>
            </w:r>
          </w:p>
        </w:tc>
      </w:tr>
      <w:tr w:rsidR="001F6B05" w:rsidRPr="001F6B05" w14:paraId="03FBD601" w14:textId="77777777" w:rsidTr="001F6B05">
        <w:tc>
          <w:tcPr>
            <w:tcW w:w="1848" w:type="dxa"/>
            <w:tcBorders>
              <w:top w:val="single" w:sz="4" w:space="0" w:color="auto"/>
              <w:left w:val="single" w:sz="4" w:space="0" w:color="auto"/>
              <w:bottom w:val="single" w:sz="4" w:space="0" w:color="auto"/>
              <w:right w:val="single" w:sz="4" w:space="0" w:color="auto"/>
            </w:tcBorders>
            <w:vAlign w:val="center"/>
            <w:hideMark/>
          </w:tcPr>
          <w:p w14:paraId="69E69D48" w14:textId="201B4E9E" w:rsidR="001F6B05" w:rsidRPr="002C2988" w:rsidRDefault="005F3749" w:rsidP="001F6B05">
            <w:pPr>
              <w:kinsoku/>
              <w:overflowPunct/>
              <w:autoSpaceDE/>
              <w:autoSpaceDN/>
              <w:adjustRightInd/>
              <w:snapToGrid/>
              <w:spacing w:before="40" w:after="40" w:line="240" w:lineRule="auto"/>
              <w:jc w:val="center"/>
              <w:rPr>
                <w:rFonts w:asciiTheme="majorBidi" w:eastAsia="Times New Roman" w:hAnsiTheme="majorBidi" w:cstheme="majorBidi"/>
                <w:color w:val="0000FF"/>
                <w:sz w:val="16"/>
                <w:szCs w:val="16"/>
              </w:rPr>
            </w:pPr>
            <w:hyperlink r:id="rId14" w:tooltip="2-Butene" w:history="1">
              <w:r w:rsidR="001F6B05" w:rsidRPr="002C2988">
                <w:rPr>
                  <w:color w:val="0000FF"/>
                </w:rPr>
                <w:t>Z-but-2-ène</w:t>
              </w:r>
            </w:hyperlink>
          </w:p>
        </w:tc>
        <w:tc>
          <w:tcPr>
            <w:tcW w:w="2126" w:type="dxa"/>
            <w:tcBorders>
              <w:top w:val="single" w:sz="4" w:space="0" w:color="auto"/>
              <w:left w:val="single" w:sz="4" w:space="0" w:color="auto"/>
              <w:bottom w:val="single" w:sz="4" w:space="0" w:color="auto"/>
              <w:right w:val="single" w:sz="4" w:space="0" w:color="auto"/>
            </w:tcBorders>
            <w:vAlign w:val="center"/>
            <w:hideMark/>
          </w:tcPr>
          <w:p w14:paraId="4F2CD36F" w14:textId="77777777" w:rsidR="001F6B05" w:rsidRPr="001F6B05" w:rsidRDefault="001F6B05" w:rsidP="001F6B05">
            <w:pPr>
              <w:kinsoku/>
              <w:overflowPunct/>
              <w:autoSpaceDE/>
              <w:autoSpaceDN/>
              <w:adjustRightInd/>
              <w:snapToGrid/>
              <w:spacing w:before="40" w:after="40" w:line="240" w:lineRule="auto"/>
              <w:jc w:val="center"/>
              <w:rPr>
                <w:rFonts w:asciiTheme="majorBidi" w:eastAsia="Times New Roman" w:hAnsiTheme="majorBidi" w:cstheme="majorBidi"/>
                <w:color w:val="000000" w:themeColor="text1"/>
                <w:sz w:val="16"/>
                <w:szCs w:val="16"/>
              </w:rPr>
            </w:pPr>
            <w:r w:rsidRPr="001F6B05">
              <w:rPr>
                <w:color w:val="000000" w:themeColor="text1"/>
                <w:lang w:val="fr-FR"/>
              </w:rPr>
              <w:t>cis-2-butène</w:t>
            </w:r>
          </w:p>
        </w:tc>
        <w:tc>
          <w:tcPr>
            <w:tcW w:w="3396" w:type="dxa"/>
            <w:tcBorders>
              <w:top w:val="single" w:sz="4" w:space="0" w:color="auto"/>
              <w:left w:val="single" w:sz="4" w:space="0" w:color="auto"/>
              <w:bottom w:val="single" w:sz="4" w:space="0" w:color="auto"/>
              <w:right w:val="single" w:sz="4" w:space="0" w:color="auto"/>
            </w:tcBorders>
            <w:vAlign w:val="center"/>
            <w:hideMark/>
          </w:tcPr>
          <w:p w14:paraId="05B821F8" w14:textId="77777777" w:rsidR="001F6B05" w:rsidRPr="001F6B05" w:rsidRDefault="001F6B05" w:rsidP="001F6B05">
            <w:pPr>
              <w:kinsoku/>
              <w:overflowPunct/>
              <w:autoSpaceDE/>
              <w:autoSpaceDN/>
              <w:adjustRightInd/>
              <w:snapToGrid/>
              <w:spacing w:before="40" w:after="40" w:line="240" w:lineRule="auto"/>
              <w:jc w:val="center"/>
              <w:rPr>
                <w:rFonts w:asciiTheme="majorBidi" w:eastAsia="Times New Roman" w:hAnsiTheme="majorBidi" w:cstheme="majorBidi"/>
                <w:color w:val="000000" w:themeColor="text1"/>
                <w:sz w:val="24"/>
                <w:szCs w:val="24"/>
                <w:lang w:val="en-GB" w:eastAsia="es-ES"/>
              </w:rPr>
            </w:pPr>
            <w:r w:rsidRPr="001F6B05">
              <w:rPr>
                <w:rFonts w:asciiTheme="majorBidi" w:eastAsia="Times New Roman" w:hAnsiTheme="majorBidi" w:cstheme="majorBidi"/>
                <w:noProof/>
                <w:color w:val="000000" w:themeColor="text1"/>
                <w:sz w:val="24"/>
                <w:szCs w:val="24"/>
                <w:lang w:val="es-ES" w:eastAsia="es-ES"/>
              </w:rPr>
              <w:drawing>
                <wp:inline distT="0" distB="0" distL="0" distR="0" wp14:anchorId="5063E473" wp14:editId="233FE1AD">
                  <wp:extent cx="1619250" cy="1190625"/>
                  <wp:effectExtent l="0" t="0" r="0" b="0"/>
                  <wp:docPr id="5" name="Picture 5" descr="Cis-2-butene.sv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Cis-2-butene.sv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0" cy="1190625"/>
                          </a:xfrm>
                          <a:prstGeom prst="rect">
                            <a:avLst/>
                          </a:prstGeom>
                          <a:noFill/>
                          <a:ln>
                            <a:noFill/>
                          </a:ln>
                        </pic:spPr>
                      </pic:pic>
                    </a:graphicData>
                  </a:graphic>
                </wp:inline>
              </w:drawing>
            </w:r>
          </w:p>
        </w:tc>
      </w:tr>
      <w:tr w:rsidR="001F6B05" w:rsidRPr="001F6B05" w14:paraId="6CCF2C62" w14:textId="77777777" w:rsidTr="001F6B05">
        <w:tc>
          <w:tcPr>
            <w:tcW w:w="1848" w:type="dxa"/>
            <w:tcBorders>
              <w:top w:val="single" w:sz="4" w:space="0" w:color="auto"/>
              <w:left w:val="single" w:sz="4" w:space="0" w:color="auto"/>
              <w:bottom w:val="single" w:sz="4" w:space="0" w:color="auto"/>
              <w:right w:val="single" w:sz="4" w:space="0" w:color="auto"/>
            </w:tcBorders>
            <w:vAlign w:val="center"/>
            <w:hideMark/>
          </w:tcPr>
          <w:p w14:paraId="6F4D8C99" w14:textId="52A3B47A" w:rsidR="001F6B05" w:rsidRPr="002C2988" w:rsidRDefault="005F3749" w:rsidP="001F6B05">
            <w:pPr>
              <w:kinsoku/>
              <w:overflowPunct/>
              <w:autoSpaceDE/>
              <w:autoSpaceDN/>
              <w:adjustRightInd/>
              <w:snapToGrid/>
              <w:spacing w:before="40" w:after="40" w:line="240" w:lineRule="auto"/>
              <w:jc w:val="center"/>
              <w:rPr>
                <w:rFonts w:asciiTheme="majorBidi" w:eastAsia="Times New Roman" w:hAnsiTheme="majorBidi" w:cstheme="majorBidi"/>
                <w:color w:val="0000FF"/>
                <w:sz w:val="16"/>
                <w:szCs w:val="16"/>
              </w:rPr>
            </w:pPr>
            <w:hyperlink r:id="rId17" w:tooltip="2-Butene" w:history="1">
              <w:r w:rsidR="001F6B05" w:rsidRPr="002C2988">
                <w:rPr>
                  <w:color w:val="0000FF"/>
                </w:rPr>
                <w:t>E-but-2-ène</w:t>
              </w:r>
            </w:hyperlink>
          </w:p>
        </w:tc>
        <w:tc>
          <w:tcPr>
            <w:tcW w:w="2126" w:type="dxa"/>
            <w:tcBorders>
              <w:top w:val="single" w:sz="4" w:space="0" w:color="auto"/>
              <w:left w:val="single" w:sz="4" w:space="0" w:color="auto"/>
              <w:bottom w:val="single" w:sz="4" w:space="0" w:color="auto"/>
              <w:right w:val="single" w:sz="4" w:space="0" w:color="auto"/>
            </w:tcBorders>
            <w:vAlign w:val="center"/>
            <w:hideMark/>
          </w:tcPr>
          <w:p w14:paraId="0D17B82E" w14:textId="77777777" w:rsidR="001F6B05" w:rsidRPr="001F6B05" w:rsidRDefault="001F6B05" w:rsidP="001F6B05">
            <w:pPr>
              <w:kinsoku/>
              <w:overflowPunct/>
              <w:autoSpaceDE/>
              <w:autoSpaceDN/>
              <w:adjustRightInd/>
              <w:snapToGrid/>
              <w:spacing w:before="40" w:after="40" w:line="240" w:lineRule="auto"/>
              <w:jc w:val="center"/>
              <w:rPr>
                <w:rFonts w:asciiTheme="majorBidi" w:eastAsia="Times New Roman" w:hAnsiTheme="majorBidi" w:cstheme="majorBidi"/>
                <w:color w:val="000000" w:themeColor="text1"/>
                <w:sz w:val="16"/>
                <w:szCs w:val="16"/>
              </w:rPr>
            </w:pPr>
            <w:r w:rsidRPr="001F6B05">
              <w:rPr>
                <w:i/>
                <w:iCs/>
                <w:color w:val="000000" w:themeColor="text1"/>
                <w:lang w:val="fr-FR"/>
              </w:rPr>
              <w:t>trans</w:t>
            </w:r>
            <w:r w:rsidRPr="001F6B05">
              <w:rPr>
                <w:color w:val="000000" w:themeColor="text1"/>
                <w:lang w:val="fr-FR"/>
              </w:rPr>
              <w:t>-2-butène</w:t>
            </w:r>
          </w:p>
        </w:tc>
        <w:tc>
          <w:tcPr>
            <w:tcW w:w="3396" w:type="dxa"/>
            <w:tcBorders>
              <w:top w:val="single" w:sz="4" w:space="0" w:color="auto"/>
              <w:left w:val="single" w:sz="4" w:space="0" w:color="auto"/>
              <w:bottom w:val="single" w:sz="4" w:space="0" w:color="auto"/>
              <w:right w:val="single" w:sz="4" w:space="0" w:color="auto"/>
            </w:tcBorders>
            <w:vAlign w:val="center"/>
            <w:hideMark/>
          </w:tcPr>
          <w:p w14:paraId="62017415" w14:textId="77777777" w:rsidR="001F6B05" w:rsidRPr="001F6B05" w:rsidRDefault="001F6B05" w:rsidP="001F6B05">
            <w:pPr>
              <w:kinsoku/>
              <w:overflowPunct/>
              <w:autoSpaceDE/>
              <w:autoSpaceDN/>
              <w:adjustRightInd/>
              <w:snapToGrid/>
              <w:spacing w:before="40" w:after="40" w:line="240" w:lineRule="auto"/>
              <w:jc w:val="center"/>
              <w:rPr>
                <w:rFonts w:asciiTheme="majorBidi" w:eastAsia="Times New Roman" w:hAnsiTheme="majorBidi" w:cstheme="majorBidi"/>
                <w:color w:val="000000" w:themeColor="text1"/>
                <w:sz w:val="24"/>
                <w:szCs w:val="24"/>
                <w:lang w:val="en-GB" w:eastAsia="es-ES"/>
              </w:rPr>
            </w:pPr>
            <w:r w:rsidRPr="001F6B05">
              <w:rPr>
                <w:rFonts w:asciiTheme="majorBidi" w:eastAsia="Times New Roman" w:hAnsiTheme="majorBidi" w:cstheme="majorBidi"/>
                <w:noProof/>
                <w:color w:val="000000" w:themeColor="text1"/>
                <w:sz w:val="24"/>
                <w:szCs w:val="24"/>
                <w:lang w:val="es-ES" w:eastAsia="es-ES"/>
              </w:rPr>
              <w:drawing>
                <wp:inline distT="0" distB="0" distL="0" distR="0" wp14:anchorId="64C17D3E" wp14:editId="6DEE93BB">
                  <wp:extent cx="1619250" cy="1228725"/>
                  <wp:effectExtent l="0" t="0" r="0" b="0"/>
                  <wp:docPr id="4" name="Picture 4" descr="Trans-2-butene.sv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Trans-2-butene.sv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0" cy="1228725"/>
                          </a:xfrm>
                          <a:prstGeom prst="rect">
                            <a:avLst/>
                          </a:prstGeom>
                          <a:noFill/>
                          <a:ln>
                            <a:noFill/>
                          </a:ln>
                        </pic:spPr>
                      </pic:pic>
                    </a:graphicData>
                  </a:graphic>
                </wp:inline>
              </w:drawing>
            </w:r>
          </w:p>
        </w:tc>
      </w:tr>
      <w:tr w:rsidR="001F6B05" w:rsidRPr="001F6B05" w14:paraId="3AC01278" w14:textId="77777777" w:rsidTr="001F6B05">
        <w:tc>
          <w:tcPr>
            <w:tcW w:w="1848" w:type="dxa"/>
            <w:tcBorders>
              <w:top w:val="single" w:sz="4" w:space="0" w:color="auto"/>
              <w:left w:val="single" w:sz="4" w:space="0" w:color="auto"/>
              <w:bottom w:val="single" w:sz="4" w:space="0" w:color="auto"/>
              <w:right w:val="single" w:sz="4" w:space="0" w:color="auto"/>
            </w:tcBorders>
            <w:vAlign w:val="center"/>
            <w:hideMark/>
          </w:tcPr>
          <w:p w14:paraId="62E694E0" w14:textId="6D4F852F" w:rsidR="001F6B05" w:rsidRPr="002C2988" w:rsidRDefault="005F3749" w:rsidP="001F6B05">
            <w:pPr>
              <w:kinsoku/>
              <w:overflowPunct/>
              <w:autoSpaceDE/>
              <w:autoSpaceDN/>
              <w:adjustRightInd/>
              <w:snapToGrid/>
              <w:spacing w:before="40" w:after="40" w:line="240" w:lineRule="auto"/>
              <w:jc w:val="center"/>
              <w:rPr>
                <w:rFonts w:asciiTheme="majorBidi" w:eastAsia="Times New Roman" w:hAnsiTheme="majorBidi" w:cstheme="majorBidi"/>
                <w:color w:val="0000FF"/>
                <w:sz w:val="16"/>
                <w:szCs w:val="16"/>
              </w:rPr>
            </w:pPr>
            <w:hyperlink r:id="rId20" w:tooltip="Isobutylene" w:history="1">
              <w:r w:rsidR="001F6B05" w:rsidRPr="002C2988">
                <w:rPr>
                  <w:color w:val="0000FF"/>
                </w:rPr>
                <w:t>2-methylpropène</w:t>
              </w:r>
            </w:hyperlink>
          </w:p>
        </w:tc>
        <w:tc>
          <w:tcPr>
            <w:tcW w:w="2126" w:type="dxa"/>
            <w:tcBorders>
              <w:top w:val="single" w:sz="4" w:space="0" w:color="auto"/>
              <w:left w:val="single" w:sz="4" w:space="0" w:color="auto"/>
              <w:bottom w:val="single" w:sz="4" w:space="0" w:color="auto"/>
              <w:right w:val="single" w:sz="4" w:space="0" w:color="auto"/>
            </w:tcBorders>
            <w:vAlign w:val="center"/>
            <w:hideMark/>
          </w:tcPr>
          <w:p w14:paraId="42EA3728" w14:textId="77777777" w:rsidR="001F6B05" w:rsidRPr="001F6B05" w:rsidRDefault="001F6B05" w:rsidP="001F6B05">
            <w:pPr>
              <w:kinsoku/>
              <w:overflowPunct/>
              <w:autoSpaceDE/>
              <w:autoSpaceDN/>
              <w:adjustRightInd/>
              <w:snapToGrid/>
              <w:spacing w:before="40" w:after="40" w:line="240" w:lineRule="auto"/>
              <w:jc w:val="center"/>
              <w:rPr>
                <w:rFonts w:asciiTheme="majorBidi" w:eastAsia="Times New Roman" w:hAnsiTheme="majorBidi" w:cstheme="majorBidi"/>
                <w:color w:val="000000" w:themeColor="text1"/>
                <w:sz w:val="16"/>
                <w:szCs w:val="16"/>
              </w:rPr>
            </w:pPr>
            <w:r w:rsidRPr="001F6B05">
              <w:rPr>
                <w:color w:val="000000" w:themeColor="text1"/>
                <w:lang w:val="fr-FR"/>
              </w:rPr>
              <w:t>Isobutylène</w:t>
            </w:r>
          </w:p>
        </w:tc>
        <w:tc>
          <w:tcPr>
            <w:tcW w:w="3396" w:type="dxa"/>
            <w:tcBorders>
              <w:top w:val="single" w:sz="4" w:space="0" w:color="auto"/>
              <w:left w:val="single" w:sz="4" w:space="0" w:color="auto"/>
              <w:bottom w:val="single" w:sz="4" w:space="0" w:color="auto"/>
              <w:right w:val="single" w:sz="4" w:space="0" w:color="auto"/>
            </w:tcBorders>
            <w:vAlign w:val="center"/>
            <w:hideMark/>
          </w:tcPr>
          <w:p w14:paraId="2E52D4F2" w14:textId="77777777" w:rsidR="001F6B05" w:rsidRPr="001F6B05" w:rsidRDefault="001F6B05" w:rsidP="001F6B05">
            <w:pPr>
              <w:kinsoku/>
              <w:overflowPunct/>
              <w:autoSpaceDE/>
              <w:autoSpaceDN/>
              <w:adjustRightInd/>
              <w:snapToGrid/>
              <w:spacing w:before="40" w:after="40" w:line="240" w:lineRule="auto"/>
              <w:jc w:val="center"/>
              <w:rPr>
                <w:rFonts w:asciiTheme="majorBidi" w:eastAsia="Times New Roman" w:hAnsiTheme="majorBidi" w:cstheme="majorBidi"/>
                <w:color w:val="000000" w:themeColor="text1"/>
                <w:sz w:val="24"/>
                <w:szCs w:val="24"/>
                <w:lang w:val="en-GB" w:eastAsia="es-ES"/>
              </w:rPr>
            </w:pPr>
            <w:r w:rsidRPr="001F6B05">
              <w:rPr>
                <w:rFonts w:asciiTheme="majorBidi" w:eastAsia="Times New Roman" w:hAnsiTheme="majorBidi" w:cstheme="majorBidi"/>
                <w:noProof/>
                <w:color w:val="000000" w:themeColor="text1"/>
                <w:sz w:val="24"/>
                <w:szCs w:val="24"/>
                <w:lang w:val="es-ES" w:eastAsia="es-ES"/>
              </w:rPr>
              <w:drawing>
                <wp:inline distT="0" distB="0" distL="0" distR="0" wp14:anchorId="74A64F76" wp14:editId="2B435CAD">
                  <wp:extent cx="1381125" cy="1247775"/>
                  <wp:effectExtent l="0" t="0" r="0" b="0"/>
                  <wp:docPr id="7" name="Picture 3" descr="Methylpropene.sv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Methylpropene.sv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a:ln>
                            <a:noFill/>
                          </a:ln>
                        </pic:spPr>
                      </pic:pic>
                    </a:graphicData>
                  </a:graphic>
                </wp:inline>
              </w:drawing>
            </w:r>
          </w:p>
        </w:tc>
      </w:tr>
    </w:tbl>
    <w:p w14:paraId="7591552A" w14:textId="77777777" w:rsidR="001F6B05" w:rsidRPr="001F6B05" w:rsidRDefault="001F6B05" w:rsidP="001F6B05">
      <w:pPr>
        <w:pStyle w:val="SingleTxtG"/>
        <w:spacing w:before="120"/>
        <w:rPr>
          <w:color w:val="000000" w:themeColor="text1"/>
        </w:rPr>
      </w:pPr>
      <w:r w:rsidRPr="001F6B05">
        <w:rPr>
          <w:color w:val="000000" w:themeColor="text1"/>
          <w:lang w:val="fr-FR"/>
        </w:rPr>
        <w:t>5.</w:t>
      </w:r>
      <w:r w:rsidRPr="001F6B05">
        <w:rPr>
          <w:color w:val="000000" w:themeColor="text1"/>
          <w:lang w:val="fr-FR"/>
        </w:rPr>
        <w:tab/>
        <w:t>Le nom «</w:t>
      </w:r>
      <w:r>
        <w:rPr>
          <w:color w:val="000000" w:themeColor="text1"/>
          <w:lang w:val="fr-FR"/>
        </w:rPr>
        <w:t> </w:t>
      </w:r>
      <w:r w:rsidRPr="001F6B05">
        <w:rPr>
          <w:color w:val="000000" w:themeColor="text1"/>
          <w:lang w:val="fr-FR"/>
        </w:rPr>
        <w:t>butylène</w:t>
      </w:r>
      <w:r>
        <w:rPr>
          <w:color w:val="000000" w:themeColor="text1"/>
          <w:lang w:val="fr-FR"/>
        </w:rPr>
        <w:t> </w:t>
      </w:r>
      <w:r w:rsidRPr="001F6B05">
        <w:rPr>
          <w:color w:val="000000" w:themeColor="text1"/>
          <w:lang w:val="fr-FR"/>
        </w:rPr>
        <w:t xml:space="preserve">» désigne les </w:t>
      </w:r>
      <w:r w:rsidR="002C2988">
        <w:rPr>
          <w:color w:val="000000" w:themeColor="text1"/>
          <w:lang w:val="fr-FR"/>
        </w:rPr>
        <w:t xml:space="preserve">quatre </w:t>
      </w:r>
      <w:r w:rsidRPr="001F6B05">
        <w:rPr>
          <w:color w:val="000000" w:themeColor="text1"/>
          <w:lang w:val="fr-FR"/>
        </w:rPr>
        <w:t>isomères.</w:t>
      </w:r>
    </w:p>
    <w:p w14:paraId="637D28B6" w14:textId="77777777" w:rsidR="001F6B05" w:rsidRPr="001F6B05" w:rsidRDefault="001F6B05" w:rsidP="001F6B05">
      <w:pPr>
        <w:pStyle w:val="SingleTxtG"/>
        <w:rPr>
          <w:color w:val="000000" w:themeColor="text1"/>
        </w:rPr>
      </w:pPr>
      <w:r w:rsidRPr="001F6B05">
        <w:rPr>
          <w:color w:val="000000" w:themeColor="text1"/>
          <w:lang w:val="fr-FR"/>
        </w:rPr>
        <w:t>6.</w:t>
      </w:r>
      <w:r w:rsidRPr="001F6B05">
        <w:rPr>
          <w:color w:val="000000" w:themeColor="text1"/>
          <w:lang w:val="fr-FR"/>
        </w:rPr>
        <w:tab/>
        <w:t>Cependant, le No ONU 1055 est un numéro ONU spécifiquement consacré à l’un de ces monomères, l’isobutylène. Les conditions de transport des deux numéros ONU sont similaires dans l’ensemble, mais elles présentent de légères différences (l’isobutylène a une pression maximale admissible légèrement plus élevée et un taux de remplissage plus faible) et il semble pertinent de distinguer clairement l’isobutylène des autres monomères.</w:t>
      </w:r>
    </w:p>
    <w:p w14:paraId="538FC314" w14:textId="77777777" w:rsidR="001F6B05" w:rsidRPr="001F6B05" w:rsidRDefault="001F6B05" w:rsidP="001F6B05">
      <w:pPr>
        <w:pStyle w:val="SingleTxtG"/>
        <w:rPr>
          <w:color w:val="000000" w:themeColor="text1"/>
          <w:lang w:val="fr-FR"/>
        </w:rPr>
      </w:pPr>
      <w:r w:rsidRPr="001F6B05">
        <w:rPr>
          <w:color w:val="000000" w:themeColor="text1"/>
          <w:lang w:val="fr-FR"/>
        </w:rPr>
        <w:t>7.</w:t>
      </w:r>
      <w:r w:rsidRPr="001F6B05">
        <w:rPr>
          <w:color w:val="000000" w:themeColor="text1"/>
          <w:lang w:val="fr-FR"/>
        </w:rPr>
        <w:tab/>
        <w:t>Les organismes de réglementation européens des modes de transport terrestres et les entreprises du secteur ont reconnu la nécessité d’indiquer clairement que le No ONU 1012 n’incluait pas l’isobutylène, ce qui a entraîné une modification du nom du No ONU 1012. Cette modification avait déjà été introduite dans l’édition 2001 du RID/ADR, mais les entreprises et les organismes de réglementation craignaient que cette rubrique ne soit pas utilisée correctement.</w:t>
      </w:r>
    </w:p>
    <w:p w14:paraId="4D3BC4DC" w14:textId="77777777" w:rsidR="001F6B05" w:rsidRPr="001F6B05" w:rsidRDefault="001F6B05" w:rsidP="001F6B05">
      <w:pPr>
        <w:pStyle w:val="SingleTxtG"/>
        <w:rPr>
          <w:color w:val="000000" w:themeColor="text1"/>
        </w:rPr>
      </w:pPr>
      <w:r w:rsidRPr="001F6B05">
        <w:rPr>
          <w:color w:val="000000" w:themeColor="text1"/>
          <w:lang w:val="fr-FR"/>
        </w:rPr>
        <w:t>8.</w:t>
      </w:r>
      <w:r w:rsidRPr="001F6B05">
        <w:rPr>
          <w:color w:val="000000" w:themeColor="text1"/>
          <w:lang w:val="fr-FR"/>
        </w:rPr>
        <w:tab/>
        <w:t>L’Espagne a considéré que deux solutions pouvaient être envisagées pour éviter tout risque que l’isobutylène soit classé et transporté sous le No ONU 1012.</w:t>
      </w:r>
    </w:p>
    <w:p w14:paraId="08FC09A9" w14:textId="77777777" w:rsidR="001F6B05" w:rsidRPr="001F6B05" w:rsidRDefault="001F6B05" w:rsidP="001F6B05">
      <w:pPr>
        <w:pStyle w:val="Bullet1G"/>
        <w:rPr>
          <w:color w:val="000000" w:themeColor="text1"/>
        </w:rPr>
      </w:pPr>
      <w:r w:rsidRPr="001F6B05">
        <w:rPr>
          <w:color w:val="000000" w:themeColor="text1"/>
          <w:lang w:val="fr-FR"/>
        </w:rPr>
        <w:t>La première solution serait de modifier le nom et la description du No ONU 1012 de manière à ce qu’il désigne spécifiquement les monomères applicables, en utilisant le même nom et la même description que dans le RID et l’ADR :</w:t>
      </w:r>
    </w:p>
    <w:p w14:paraId="480B54C9" w14:textId="77777777" w:rsidR="001F6B05" w:rsidRPr="001F6B05" w:rsidRDefault="001F6B05" w:rsidP="001F6B05">
      <w:pPr>
        <w:pStyle w:val="SingleTxtG"/>
        <w:ind w:left="1701"/>
        <w:rPr>
          <w:color w:val="000000" w:themeColor="text1"/>
        </w:rPr>
      </w:pPr>
      <w:r w:rsidRPr="001F6B05">
        <w:rPr>
          <w:color w:val="000000" w:themeColor="text1"/>
          <w:lang w:val="fr-FR"/>
        </w:rPr>
        <w:lastRenderedPageBreak/>
        <w:t>BUTYLÈNES EN MÉLANGE ou BUTYLÈNE-1 ou cis-BUTYLÈNE-2 ou trans</w:t>
      </w:r>
      <w:r w:rsidR="002C2988">
        <w:rPr>
          <w:color w:val="000000" w:themeColor="text1"/>
          <w:lang w:val="fr-FR"/>
        </w:rPr>
        <w:noBreakHyphen/>
      </w:r>
      <w:r w:rsidRPr="001F6B05">
        <w:rPr>
          <w:color w:val="000000" w:themeColor="text1"/>
          <w:lang w:val="fr-FR"/>
        </w:rPr>
        <w:t>BUTYLÈNE-2</w:t>
      </w:r>
    </w:p>
    <w:p w14:paraId="75C08C4A" w14:textId="77777777" w:rsidR="001F6B05" w:rsidRPr="001F6B05" w:rsidRDefault="001F6B05" w:rsidP="001F6B05">
      <w:pPr>
        <w:pStyle w:val="SingleTxtG"/>
        <w:ind w:left="1701"/>
        <w:rPr>
          <w:color w:val="000000" w:themeColor="text1"/>
        </w:rPr>
      </w:pPr>
      <w:r w:rsidRPr="001F6B05">
        <w:rPr>
          <w:color w:val="000000" w:themeColor="text1"/>
          <w:lang w:val="fr-FR"/>
        </w:rPr>
        <w:t xml:space="preserve">Cette description inclut clairement les </w:t>
      </w:r>
      <w:r w:rsidR="002C2988">
        <w:rPr>
          <w:color w:val="000000" w:themeColor="text1"/>
          <w:lang w:val="fr-FR"/>
        </w:rPr>
        <w:t>trois</w:t>
      </w:r>
      <w:r w:rsidRPr="001F6B05">
        <w:rPr>
          <w:color w:val="000000" w:themeColor="text1"/>
          <w:lang w:val="fr-FR"/>
        </w:rPr>
        <w:t xml:space="preserve"> monomères autres que l’isobutylène et le mélange des </w:t>
      </w:r>
      <w:r w:rsidR="002C2988">
        <w:rPr>
          <w:color w:val="000000" w:themeColor="text1"/>
          <w:lang w:val="fr-FR"/>
        </w:rPr>
        <w:t>quatre</w:t>
      </w:r>
      <w:r w:rsidRPr="001F6B05">
        <w:rPr>
          <w:color w:val="000000" w:themeColor="text1"/>
          <w:lang w:val="fr-FR"/>
        </w:rPr>
        <w:t xml:space="preserve"> monomères. Ne pas nommer l’isobutylène l’exclut de facto.</w:t>
      </w:r>
    </w:p>
    <w:p w14:paraId="76D2FAF3" w14:textId="77777777" w:rsidR="001F6B05" w:rsidRPr="001F6B05" w:rsidRDefault="001F6B05" w:rsidP="001F6B05">
      <w:pPr>
        <w:pStyle w:val="Bullet1G"/>
        <w:rPr>
          <w:color w:val="000000" w:themeColor="text1"/>
        </w:rPr>
      </w:pPr>
      <w:r w:rsidRPr="001F6B05">
        <w:rPr>
          <w:color w:val="000000" w:themeColor="text1"/>
          <w:lang w:val="fr-FR"/>
        </w:rPr>
        <w:t>La seconde solution serait d’ajouter une disposition spéciale applicable uniquement au No ONU 1012, indiquant que le No ONU 1055 doit être utilisé pour le transport de l’isobutylène.</w:t>
      </w:r>
    </w:p>
    <w:p w14:paraId="16F23716" w14:textId="77777777" w:rsidR="001F6B05" w:rsidRPr="001F6B05" w:rsidRDefault="001F6B05" w:rsidP="001F6B05">
      <w:pPr>
        <w:pStyle w:val="SingleTxtG"/>
        <w:rPr>
          <w:color w:val="000000" w:themeColor="text1"/>
        </w:rPr>
      </w:pPr>
      <w:r w:rsidRPr="001F6B05">
        <w:rPr>
          <w:color w:val="000000" w:themeColor="text1"/>
          <w:lang w:val="fr-FR"/>
        </w:rPr>
        <w:t>9.</w:t>
      </w:r>
      <w:r w:rsidRPr="001F6B05">
        <w:rPr>
          <w:color w:val="000000" w:themeColor="text1"/>
          <w:lang w:val="fr-FR"/>
        </w:rPr>
        <w:tab/>
        <w:t>L’Espagne a donc soumis pour examen à la cinquante-septième session du Sous</w:t>
      </w:r>
      <w:r w:rsidR="002C2988">
        <w:rPr>
          <w:color w:val="000000" w:themeColor="text1"/>
          <w:lang w:val="fr-FR"/>
        </w:rPr>
        <w:noBreakHyphen/>
      </w:r>
      <w:r w:rsidRPr="001F6B05">
        <w:rPr>
          <w:color w:val="000000" w:themeColor="text1"/>
          <w:lang w:val="fr-FR"/>
        </w:rPr>
        <w:t>Comité le document ST/SG/AC.10/C.3/2020/16, dans lequel figurent deux solutions :</w:t>
      </w:r>
    </w:p>
    <w:p w14:paraId="653815BD" w14:textId="77777777" w:rsidR="001F6B05" w:rsidRPr="001F6B05" w:rsidRDefault="001F6B05" w:rsidP="001F6B05">
      <w:pPr>
        <w:pStyle w:val="Bullet1G"/>
        <w:rPr>
          <w:color w:val="000000" w:themeColor="text1"/>
        </w:rPr>
      </w:pPr>
      <w:r w:rsidRPr="001F6B05">
        <w:rPr>
          <w:color w:val="000000" w:themeColor="text1"/>
        </w:rPr>
        <w:t>Solution</w:t>
      </w:r>
      <w:r w:rsidRPr="001F6B05">
        <w:rPr>
          <w:color w:val="000000" w:themeColor="text1"/>
          <w:lang w:val="fr-FR"/>
        </w:rPr>
        <w:t xml:space="preserve"> 1 : Modifier comme suit le nom et la description du No ONU 1012 figurant dans la liste des marchandises dangereuses du chapitre 3.2 (même nom et même description que dans le RID et l’ADR actuels) : </w:t>
      </w:r>
      <w:r w:rsidR="002C2988">
        <w:rPr>
          <w:color w:val="000000" w:themeColor="text1"/>
          <w:lang w:val="fr-FR"/>
        </w:rPr>
        <w:t>« </w:t>
      </w:r>
      <w:r w:rsidRPr="001F6B05">
        <w:rPr>
          <w:color w:val="000000" w:themeColor="text1"/>
          <w:lang w:val="fr-FR"/>
        </w:rPr>
        <w:t>No ONU 1012 BUTYLÈNE</w:t>
      </w:r>
      <w:r w:rsidRPr="001F6B05">
        <w:rPr>
          <w:b/>
          <w:bCs/>
          <w:color w:val="000000" w:themeColor="text1"/>
          <w:lang w:val="fr-FR"/>
        </w:rPr>
        <w:t>S</w:t>
      </w:r>
      <w:r w:rsidRPr="001F6B05">
        <w:rPr>
          <w:color w:val="000000" w:themeColor="text1"/>
          <w:lang w:val="fr-FR"/>
        </w:rPr>
        <w:t xml:space="preserve"> </w:t>
      </w:r>
      <w:r w:rsidRPr="001F6B05">
        <w:rPr>
          <w:b/>
          <w:bCs/>
          <w:color w:val="000000" w:themeColor="text1"/>
          <w:lang w:val="fr-FR"/>
        </w:rPr>
        <w:t>EN MÉLANGE ou BUTYLÈNE-1 ou cis-BUTYLÈNE-2 ou trans-BUTYLÈNE-2</w:t>
      </w:r>
      <w:r w:rsidR="002C2988" w:rsidRPr="002C2988">
        <w:rPr>
          <w:color w:val="000000" w:themeColor="text1"/>
          <w:lang w:val="fr-FR"/>
        </w:rPr>
        <w:t> »</w:t>
      </w:r>
      <w:r w:rsidRPr="001F6B05">
        <w:rPr>
          <w:color w:val="000000" w:themeColor="text1"/>
          <w:lang w:val="fr-FR"/>
        </w:rPr>
        <w:t>.</w:t>
      </w:r>
    </w:p>
    <w:p w14:paraId="33A6F031" w14:textId="77777777" w:rsidR="001F6B05" w:rsidRPr="002C2988" w:rsidRDefault="001F6B05" w:rsidP="001F6B05">
      <w:pPr>
        <w:pStyle w:val="Bullet1G"/>
        <w:rPr>
          <w:b/>
          <w:color w:val="000000" w:themeColor="text1"/>
          <w:spacing w:val="-1"/>
        </w:rPr>
      </w:pPr>
      <w:r w:rsidRPr="002C2988">
        <w:rPr>
          <w:color w:val="000000" w:themeColor="text1"/>
          <w:spacing w:val="-1"/>
        </w:rPr>
        <w:t>Solution</w:t>
      </w:r>
      <w:r w:rsidRPr="002C2988">
        <w:rPr>
          <w:color w:val="000000" w:themeColor="text1"/>
          <w:spacing w:val="-1"/>
          <w:lang w:val="fr-FR"/>
        </w:rPr>
        <w:t xml:space="preserve"> 2 :Ajouter à la Liste des marchandises dangereuses du chapitre 3.2 un renvoi à une nouvelle disposition spéciale pour le No ONU 1012 libellée comme suit :</w:t>
      </w:r>
    </w:p>
    <w:p w14:paraId="26595D4C" w14:textId="77777777" w:rsidR="001F6B05" w:rsidRPr="001F6B05" w:rsidRDefault="001F6B05" w:rsidP="001F6B05">
      <w:pPr>
        <w:pStyle w:val="Bullet1G"/>
        <w:rPr>
          <w:color w:val="000000" w:themeColor="text1"/>
        </w:rPr>
      </w:pPr>
      <w:r w:rsidRPr="001F6B05">
        <w:rPr>
          <w:color w:val="000000" w:themeColor="text1"/>
          <w:lang w:val="fr-FR"/>
        </w:rPr>
        <w:t>« </w:t>
      </w:r>
      <w:r w:rsidRPr="001F6B05">
        <w:rPr>
          <w:b/>
          <w:bCs/>
          <w:color w:val="000000" w:themeColor="text1"/>
          <w:lang w:val="fr-FR"/>
        </w:rPr>
        <w:t>SP XXX : Ce No ONU est applicable au transport de mélanges de butylènes, ou de 1-butylène ou de cis-2-butylène ou de trans-2-butylène. Pour le transport de l’isobutylène, voir le No ONU 1055.</w:t>
      </w:r>
      <w:r w:rsidRPr="001F6B05">
        <w:rPr>
          <w:color w:val="000000" w:themeColor="text1"/>
          <w:lang w:val="fr-FR"/>
        </w:rPr>
        <w:t> ».</w:t>
      </w:r>
    </w:p>
    <w:p w14:paraId="4D5CE9C0" w14:textId="77777777" w:rsidR="001F6B05" w:rsidRPr="001F6B05" w:rsidRDefault="001F6B05" w:rsidP="001F6B05">
      <w:pPr>
        <w:pStyle w:val="SingleTxtG"/>
        <w:rPr>
          <w:color w:val="000000" w:themeColor="text1"/>
        </w:rPr>
      </w:pPr>
      <w:r w:rsidRPr="001F6B05">
        <w:rPr>
          <w:color w:val="000000" w:themeColor="text1"/>
          <w:lang w:val="fr-FR"/>
        </w:rPr>
        <w:t>10</w:t>
      </w:r>
      <w:r w:rsidRPr="001F6B05">
        <w:rPr>
          <w:color w:val="000000" w:themeColor="text1"/>
          <w:lang w:val="fr-FR"/>
        </w:rPr>
        <w:tab/>
        <w:t>En juin 2020, des observations formulées par différentes délégations au sujet du document ST/SG/AC.10/C.3/2020/16 ont été reçues et un débat informel a eu lieu en ligne. L’Espagne remercie chaleureusement ces délégations de l’intérêt qu’elles ont manifesté et apprécie leur aide dans la recherche d’une solution.</w:t>
      </w:r>
    </w:p>
    <w:p w14:paraId="00804CFC" w14:textId="77777777" w:rsidR="001F6B05" w:rsidRPr="001F6B05" w:rsidRDefault="001F6B05" w:rsidP="001F6B05">
      <w:pPr>
        <w:pStyle w:val="SingleTxtG"/>
        <w:rPr>
          <w:color w:val="000000" w:themeColor="text1"/>
        </w:rPr>
      </w:pPr>
      <w:r w:rsidRPr="001F6B05">
        <w:rPr>
          <w:color w:val="000000" w:themeColor="text1"/>
        </w:rPr>
        <w:t>11.</w:t>
      </w:r>
      <w:r w:rsidRPr="001F6B05">
        <w:rPr>
          <w:color w:val="000000" w:themeColor="text1"/>
        </w:rPr>
        <w:tab/>
        <w:t>Au cours du débat, il a été relevé que la solution 2 serait plus efficace pour aiguiller les utilisateurs du Règlement type vers la bonne rubrique et que la plupart des délégations pourraient donc appuyer cette solution.</w:t>
      </w:r>
    </w:p>
    <w:p w14:paraId="5516180B" w14:textId="77777777" w:rsidR="001F6B05" w:rsidRPr="001F6B05" w:rsidRDefault="001F6B05" w:rsidP="001F6B05">
      <w:pPr>
        <w:pStyle w:val="SingleTxtG"/>
        <w:rPr>
          <w:color w:val="000000" w:themeColor="text1"/>
        </w:rPr>
      </w:pPr>
      <w:r w:rsidRPr="001F6B05">
        <w:rPr>
          <w:color w:val="000000" w:themeColor="text1"/>
        </w:rPr>
        <w:t>12.</w:t>
      </w:r>
      <w:r w:rsidRPr="001F6B05">
        <w:rPr>
          <w:color w:val="000000" w:themeColor="text1"/>
        </w:rPr>
        <w:tab/>
        <w:t>Certaines délégations ayant fait observer qu’en ajoutant une disposition spéciale dans le Règlement type sans modifier le nom de la rubrique du No ONU 1012, on ne remédierait pas à l’absence d’harmonisation avec le RID et l’ADR, l’Espagne a proposé de soumettre à la Réunion commune une proposition tendant à ce que la même rubrique et les mêmes dispositions spéciales soient aussi ajoutées au RID et à l’ADR si les modifications proposées étaient adoptées par le Sous-Comité.</w:t>
      </w:r>
    </w:p>
    <w:p w14:paraId="4BA53630" w14:textId="77777777" w:rsidR="001F6B05" w:rsidRPr="001F6B05" w:rsidRDefault="001F6B05" w:rsidP="001F6B05">
      <w:pPr>
        <w:pStyle w:val="SingleTxtG"/>
        <w:rPr>
          <w:color w:val="000000" w:themeColor="text1"/>
        </w:rPr>
      </w:pPr>
      <w:r w:rsidRPr="001F6B05">
        <w:rPr>
          <w:color w:val="000000" w:themeColor="text1"/>
        </w:rPr>
        <w:t>13.</w:t>
      </w:r>
      <w:r w:rsidRPr="001F6B05">
        <w:rPr>
          <w:color w:val="000000" w:themeColor="text1"/>
        </w:rPr>
        <w:tab/>
        <w:t>Enfin, des modifications de forme ont été proposées. La proposition ci-après tient compte de toutes les recommandations faites par les délégations.</w:t>
      </w:r>
    </w:p>
    <w:p w14:paraId="1C1CACBA" w14:textId="77777777" w:rsidR="001F6B05" w:rsidRPr="001F6B05" w:rsidRDefault="001F6B05" w:rsidP="001F6B05">
      <w:pPr>
        <w:pStyle w:val="HChG"/>
        <w:rPr>
          <w:color w:val="000000" w:themeColor="text1"/>
        </w:rPr>
      </w:pPr>
      <w:r w:rsidRPr="001F6B05">
        <w:rPr>
          <w:color w:val="000000" w:themeColor="text1"/>
        </w:rPr>
        <w:tab/>
      </w:r>
      <w:r w:rsidRPr="001F6B05">
        <w:rPr>
          <w:color w:val="000000" w:themeColor="text1"/>
        </w:rPr>
        <w:tab/>
        <w:t>Propositions</w:t>
      </w:r>
    </w:p>
    <w:p w14:paraId="131B1485" w14:textId="77777777" w:rsidR="001F6B05" w:rsidRPr="001F6B05" w:rsidRDefault="001F6B05" w:rsidP="001F6B05">
      <w:pPr>
        <w:pStyle w:val="SingleTxtG"/>
        <w:rPr>
          <w:bCs/>
          <w:color w:val="000000" w:themeColor="text1"/>
        </w:rPr>
      </w:pPr>
      <w:r w:rsidRPr="001F6B05">
        <w:rPr>
          <w:color w:val="000000" w:themeColor="text1"/>
        </w:rPr>
        <w:t>14.</w:t>
      </w:r>
      <w:r w:rsidRPr="001F6B05">
        <w:rPr>
          <w:color w:val="000000" w:themeColor="text1"/>
        </w:rPr>
        <w:tab/>
        <w:t xml:space="preserve">Ajouter SP XXX à la rubrique No ONU 1012 dans la Liste des marchandises dangereuses du chapitre 3.2 et ajouter au chapitre 3.3 </w:t>
      </w:r>
      <w:r w:rsidRPr="001F6B05">
        <w:rPr>
          <w:color w:val="000000" w:themeColor="text1"/>
          <w:lang w:val="fr-FR"/>
        </w:rPr>
        <w:t>un renvoi à une nouvelle disposition spéciale libellée comme suit :</w:t>
      </w:r>
    </w:p>
    <w:p w14:paraId="10EEE798" w14:textId="77777777" w:rsidR="001F6B05" w:rsidRPr="001F6B05" w:rsidRDefault="001F6B05" w:rsidP="001F6B05">
      <w:pPr>
        <w:pStyle w:val="SingleTxtG"/>
        <w:ind w:left="1701"/>
        <w:rPr>
          <w:color w:val="000000" w:themeColor="text1"/>
        </w:rPr>
      </w:pPr>
      <w:r w:rsidRPr="001F6B05">
        <w:rPr>
          <w:color w:val="000000" w:themeColor="text1"/>
          <w:lang w:val="fr-FR"/>
        </w:rPr>
        <w:t>« </w:t>
      </w:r>
      <w:r w:rsidRPr="001F6B05">
        <w:rPr>
          <w:b/>
          <w:bCs/>
          <w:color w:val="000000" w:themeColor="text1"/>
          <w:lang w:val="fr-FR"/>
        </w:rPr>
        <w:t>SP XXX : Cette rubrique s’applique aux mélanges de butylènes, au 1</w:t>
      </w:r>
      <w:r w:rsidR="002C2988">
        <w:rPr>
          <w:b/>
          <w:bCs/>
          <w:color w:val="000000" w:themeColor="text1"/>
          <w:lang w:val="fr-FR"/>
        </w:rPr>
        <w:noBreakHyphen/>
      </w:r>
      <w:r w:rsidRPr="001F6B05">
        <w:rPr>
          <w:b/>
          <w:bCs/>
          <w:color w:val="000000" w:themeColor="text1"/>
          <w:lang w:val="fr-FR"/>
        </w:rPr>
        <w:t xml:space="preserve">butylène, au cis-2-butylène et au trans-2-butylène. </w:t>
      </w:r>
      <w:r w:rsidRPr="001F6B05">
        <w:rPr>
          <w:b/>
          <w:bCs/>
          <w:color w:val="000000" w:themeColor="text1"/>
        </w:rPr>
        <w:t>Pour l’isobutylène, voir le No ONU 1055.</w:t>
      </w:r>
      <w:r w:rsidRPr="001F6B05">
        <w:rPr>
          <w:color w:val="000000" w:themeColor="text1"/>
        </w:rPr>
        <w:t> ».</w:t>
      </w:r>
    </w:p>
    <w:p w14:paraId="38376B51" w14:textId="77777777" w:rsidR="001F6B05" w:rsidRPr="001F6B05" w:rsidRDefault="001F6B05" w:rsidP="001F6B05">
      <w:pPr>
        <w:pStyle w:val="SingleTxtG"/>
        <w:rPr>
          <w:color w:val="000000" w:themeColor="text1"/>
        </w:rPr>
      </w:pPr>
      <w:r w:rsidRPr="001F6B05">
        <w:rPr>
          <w:color w:val="000000" w:themeColor="text1"/>
        </w:rPr>
        <w:t>15.</w:t>
      </w:r>
      <w:r w:rsidRPr="001F6B05">
        <w:rPr>
          <w:color w:val="000000" w:themeColor="text1"/>
        </w:rPr>
        <w:tab/>
        <w:t>Modifier l’index alphabétique des matières et objets du chapitre 3 afin d’inscrire les trois premiers isomères d’alcènes énoncés au paragraphe 4 ci-dessus, associés au No</w:t>
      </w:r>
      <w:r w:rsidR="002C2988">
        <w:rPr>
          <w:color w:val="000000" w:themeColor="text1"/>
        </w:rPr>
        <w:t> </w:t>
      </w:r>
      <w:r w:rsidRPr="001F6B05">
        <w:rPr>
          <w:color w:val="000000" w:themeColor="text1"/>
        </w:rPr>
        <w:t>ONU 1012 (l’isobutylène correspondant au No ONU 1055 figure déjà sur cette liste).</w:t>
      </w:r>
    </w:p>
    <w:p w14:paraId="411CC5A3" w14:textId="77777777" w:rsidR="001F6B05" w:rsidRPr="001F6B05" w:rsidRDefault="001F6B05" w:rsidP="001F6B05">
      <w:pPr>
        <w:pStyle w:val="Bullet1G"/>
        <w:rPr>
          <w:color w:val="000000" w:themeColor="text1"/>
        </w:rPr>
      </w:pPr>
      <w:r w:rsidRPr="001F6B05">
        <w:rPr>
          <w:color w:val="000000" w:themeColor="text1"/>
        </w:rPr>
        <w:t>1-butylène : Classe 2.1. Voir No ONU 1012.</w:t>
      </w:r>
    </w:p>
    <w:p w14:paraId="07D6D56F" w14:textId="77777777" w:rsidR="001F6B05" w:rsidRPr="001F6B05" w:rsidRDefault="001F6B05" w:rsidP="001F6B05">
      <w:pPr>
        <w:pStyle w:val="Bullet1G"/>
        <w:rPr>
          <w:color w:val="000000" w:themeColor="text1"/>
        </w:rPr>
      </w:pPr>
      <w:r w:rsidRPr="001F6B05">
        <w:rPr>
          <w:color w:val="000000" w:themeColor="text1"/>
        </w:rPr>
        <w:t>cis-2-butylène : Classe 2.1. Voir No ONU 1012.</w:t>
      </w:r>
    </w:p>
    <w:p w14:paraId="57C6C748" w14:textId="77777777" w:rsidR="001F6B05" w:rsidRPr="001F6B05" w:rsidRDefault="001F6B05" w:rsidP="001F6B05">
      <w:pPr>
        <w:pStyle w:val="Bullet1G"/>
        <w:rPr>
          <w:color w:val="000000" w:themeColor="text1"/>
        </w:rPr>
      </w:pPr>
      <w:r w:rsidRPr="001F6B05">
        <w:rPr>
          <w:color w:val="000000" w:themeColor="text1"/>
        </w:rPr>
        <w:t>trans-2-butylène : Classe 2.1. Voir No ONU 1012.</w:t>
      </w:r>
    </w:p>
    <w:p w14:paraId="7FD80BB0" w14:textId="77777777" w:rsidR="00DD7021" w:rsidRPr="001F6B05" w:rsidRDefault="001F6B05" w:rsidP="001F6B05">
      <w:pPr>
        <w:pStyle w:val="SingleTxtG"/>
        <w:spacing w:before="240" w:after="0"/>
        <w:jc w:val="center"/>
        <w:rPr>
          <w:color w:val="000000" w:themeColor="text1"/>
          <w:u w:val="single"/>
        </w:rPr>
      </w:pPr>
      <w:r w:rsidRPr="001F6B05">
        <w:rPr>
          <w:color w:val="000000" w:themeColor="text1"/>
          <w:u w:val="single"/>
        </w:rPr>
        <w:tab/>
      </w:r>
      <w:r w:rsidRPr="001F6B05">
        <w:rPr>
          <w:color w:val="000000" w:themeColor="text1"/>
          <w:u w:val="single"/>
        </w:rPr>
        <w:tab/>
      </w:r>
      <w:r w:rsidRPr="001F6B05">
        <w:rPr>
          <w:color w:val="000000" w:themeColor="text1"/>
          <w:u w:val="single"/>
        </w:rPr>
        <w:tab/>
      </w:r>
    </w:p>
    <w:sectPr w:rsidR="00DD7021" w:rsidRPr="001F6B05" w:rsidSect="00DD7021">
      <w:headerReference w:type="even" r:id="rId23"/>
      <w:headerReference w:type="default" r:id="rId24"/>
      <w:footerReference w:type="even" r:id="rId25"/>
      <w:footerReference w:type="default" r:id="rId26"/>
      <w:footerReference w:type="first" r:id="rId2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2BB81" w14:textId="77777777" w:rsidR="0012331B" w:rsidRDefault="0012331B" w:rsidP="00F95C08">
      <w:pPr>
        <w:spacing w:line="240" w:lineRule="auto"/>
      </w:pPr>
    </w:p>
  </w:endnote>
  <w:endnote w:type="continuationSeparator" w:id="0">
    <w:p w14:paraId="7F463929" w14:textId="77777777" w:rsidR="0012331B" w:rsidRPr="00AC3823" w:rsidRDefault="0012331B" w:rsidP="00AC3823">
      <w:pPr>
        <w:pStyle w:val="Footer"/>
      </w:pPr>
    </w:p>
  </w:endnote>
  <w:endnote w:type="continuationNotice" w:id="1">
    <w:p w14:paraId="13AF9A5E" w14:textId="77777777" w:rsidR="0012331B" w:rsidRDefault="001233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36C64" w14:textId="77777777" w:rsidR="00DD7021" w:rsidRPr="00DD7021" w:rsidRDefault="00DD7021" w:rsidP="00DD7021">
    <w:pPr>
      <w:pStyle w:val="Footer"/>
      <w:tabs>
        <w:tab w:val="right" w:pos="9638"/>
      </w:tabs>
    </w:pPr>
    <w:r w:rsidRPr="00DD7021">
      <w:rPr>
        <w:b/>
        <w:sz w:val="18"/>
      </w:rPr>
      <w:fldChar w:fldCharType="begin"/>
    </w:r>
    <w:r w:rsidRPr="00DD7021">
      <w:rPr>
        <w:b/>
        <w:sz w:val="18"/>
      </w:rPr>
      <w:instrText xml:space="preserve"> PAGE  \* MERGEFORMAT </w:instrText>
    </w:r>
    <w:r w:rsidRPr="00DD7021">
      <w:rPr>
        <w:b/>
        <w:sz w:val="18"/>
      </w:rPr>
      <w:fldChar w:fldCharType="separate"/>
    </w:r>
    <w:r w:rsidRPr="00DD7021">
      <w:rPr>
        <w:b/>
        <w:noProof/>
        <w:sz w:val="18"/>
      </w:rPr>
      <w:t>2</w:t>
    </w:r>
    <w:r w:rsidRPr="00DD7021">
      <w:rPr>
        <w:b/>
        <w:sz w:val="18"/>
      </w:rPr>
      <w:fldChar w:fldCharType="end"/>
    </w:r>
    <w:r>
      <w:rPr>
        <w:b/>
        <w:sz w:val="18"/>
      </w:rPr>
      <w:tab/>
    </w:r>
    <w:r>
      <w:t>GE.20-11582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7C0C4" w14:textId="77777777" w:rsidR="00DD7021" w:rsidRPr="00DD7021" w:rsidRDefault="00DD7021" w:rsidP="00DD7021">
    <w:pPr>
      <w:pStyle w:val="Footer"/>
      <w:tabs>
        <w:tab w:val="right" w:pos="9638"/>
      </w:tabs>
      <w:rPr>
        <w:b/>
        <w:sz w:val="18"/>
      </w:rPr>
    </w:pPr>
    <w:r>
      <w:t>GE.20-11582</w:t>
    </w:r>
    <w:r>
      <w:tab/>
    </w:r>
    <w:r w:rsidRPr="00DD7021">
      <w:rPr>
        <w:b/>
        <w:sz w:val="18"/>
      </w:rPr>
      <w:fldChar w:fldCharType="begin"/>
    </w:r>
    <w:r w:rsidRPr="00DD7021">
      <w:rPr>
        <w:b/>
        <w:sz w:val="18"/>
      </w:rPr>
      <w:instrText xml:space="preserve"> PAGE  \* MERGEFORMAT </w:instrText>
    </w:r>
    <w:r w:rsidRPr="00DD7021">
      <w:rPr>
        <w:b/>
        <w:sz w:val="18"/>
      </w:rPr>
      <w:fldChar w:fldCharType="separate"/>
    </w:r>
    <w:r w:rsidRPr="00DD7021">
      <w:rPr>
        <w:b/>
        <w:noProof/>
        <w:sz w:val="18"/>
      </w:rPr>
      <w:t>3</w:t>
    </w:r>
    <w:r w:rsidRPr="00DD702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57DBE" w14:textId="77777777" w:rsidR="0068456F" w:rsidRPr="00DD7021" w:rsidRDefault="00DD7021" w:rsidP="00DD7021">
    <w:pPr>
      <w:pStyle w:val="Footer"/>
      <w:spacing w:before="120"/>
      <w:rPr>
        <w:sz w:val="20"/>
      </w:rPr>
    </w:pPr>
    <w:r>
      <w:rPr>
        <w:sz w:val="20"/>
      </w:rPr>
      <w:t>GE.</w:t>
    </w:r>
    <w:r w:rsidR="0068456F">
      <w:rPr>
        <w:noProof/>
        <w:lang w:eastAsia="fr-CH"/>
      </w:rPr>
      <w:drawing>
        <wp:anchor distT="0" distB="0" distL="114300" distR="114300" simplePos="0" relativeHeight="251657216" behindDoc="0" locked="0" layoutInCell="1" allowOverlap="0" wp14:anchorId="0B2E00F9" wp14:editId="7EE8188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20-11582  (F)    131020    1</w:t>
    </w:r>
    <w:r w:rsidR="00A37788">
      <w:rPr>
        <w:sz w:val="20"/>
      </w:rPr>
      <w:t>4</w:t>
    </w:r>
    <w:r>
      <w:rPr>
        <w:sz w:val="20"/>
      </w:rPr>
      <w:t>1020</w:t>
    </w:r>
    <w:r>
      <w:rPr>
        <w:sz w:val="20"/>
      </w:rPr>
      <w:br/>
    </w:r>
    <w:r w:rsidRPr="00DD7021">
      <w:rPr>
        <w:rFonts w:ascii="C39T30Lfz" w:hAnsi="C39T30Lfz"/>
        <w:sz w:val="56"/>
      </w:rPr>
      <w:t>*2011582*</w:t>
    </w:r>
    <w:r>
      <w:rPr>
        <w:noProof/>
        <w:sz w:val="20"/>
      </w:rPr>
      <w:drawing>
        <wp:anchor distT="0" distB="0" distL="114300" distR="114300" simplePos="0" relativeHeight="251658240" behindDoc="0" locked="0" layoutInCell="1" allowOverlap="1" wp14:anchorId="290235EF" wp14:editId="54DBD68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6EEC1" w14:textId="77777777" w:rsidR="0012331B" w:rsidRPr="00AC3823" w:rsidRDefault="0012331B" w:rsidP="00AC3823">
      <w:pPr>
        <w:pStyle w:val="Footer"/>
        <w:tabs>
          <w:tab w:val="right" w:pos="2155"/>
        </w:tabs>
        <w:spacing w:after="80" w:line="240" w:lineRule="atLeast"/>
        <w:ind w:left="680"/>
        <w:rPr>
          <w:u w:val="single"/>
        </w:rPr>
      </w:pPr>
      <w:r>
        <w:rPr>
          <w:u w:val="single"/>
        </w:rPr>
        <w:tab/>
      </w:r>
    </w:p>
  </w:footnote>
  <w:footnote w:type="continuationSeparator" w:id="0">
    <w:p w14:paraId="301C5B08" w14:textId="77777777" w:rsidR="0012331B" w:rsidRPr="00AC3823" w:rsidRDefault="0012331B" w:rsidP="00AC3823">
      <w:pPr>
        <w:pStyle w:val="Footer"/>
        <w:tabs>
          <w:tab w:val="right" w:pos="2155"/>
        </w:tabs>
        <w:spacing w:after="80" w:line="240" w:lineRule="atLeast"/>
        <w:ind w:left="680"/>
        <w:rPr>
          <w:u w:val="single"/>
        </w:rPr>
      </w:pPr>
      <w:r>
        <w:rPr>
          <w:u w:val="single"/>
        </w:rPr>
        <w:tab/>
      </w:r>
    </w:p>
  </w:footnote>
  <w:footnote w:type="continuationNotice" w:id="1">
    <w:p w14:paraId="1B007F4B" w14:textId="77777777" w:rsidR="0012331B" w:rsidRPr="00AC3823" w:rsidRDefault="0012331B">
      <w:pPr>
        <w:spacing w:line="240" w:lineRule="auto"/>
        <w:rPr>
          <w:sz w:val="2"/>
          <w:szCs w:val="2"/>
        </w:rPr>
      </w:pPr>
    </w:p>
  </w:footnote>
  <w:footnote w:id="2">
    <w:p w14:paraId="10C20EE7" w14:textId="77777777" w:rsidR="002C2988" w:rsidRPr="002C2988" w:rsidRDefault="002C2988">
      <w:pPr>
        <w:pStyle w:val="FootnoteText"/>
      </w:pPr>
      <w:r>
        <w:rPr>
          <w:rStyle w:val="FootnoteReference"/>
        </w:rPr>
        <w:tab/>
      </w:r>
      <w:r w:rsidRPr="002C2988">
        <w:rPr>
          <w:rStyle w:val="FootnoteReference"/>
          <w:sz w:val="20"/>
          <w:vertAlign w:val="baseline"/>
        </w:rPr>
        <w:t>*</w:t>
      </w:r>
      <w:r>
        <w:rPr>
          <w:rStyle w:val="FootnoteReference"/>
          <w:sz w:val="20"/>
          <w:vertAlign w:val="baseline"/>
        </w:rPr>
        <w:tab/>
      </w:r>
      <w:r w:rsidRPr="001F6B05">
        <w:rPr>
          <w:color w:val="000000" w:themeColor="text1"/>
        </w:rPr>
        <w:t>Sous-programme 2 du budget-programme pour 2020 (A/74/6 (Sect.</w:t>
      </w:r>
      <w:r>
        <w:rPr>
          <w:color w:val="000000" w:themeColor="text1"/>
        </w:rPr>
        <w:t> </w:t>
      </w:r>
      <w:r w:rsidRPr="001F6B05">
        <w:rPr>
          <w:color w:val="000000" w:themeColor="text1"/>
        </w:rPr>
        <w:t>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C6B13" w14:textId="1637F617" w:rsidR="00DD7021" w:rsidRPr="00DD7021" w:rsidRDefault="00F153C9">
    <w:pPr>
      <w:pStyle w:val="Header"/>
    </w:pPr>
    <w:fldSimple w:instr=" TITLE  \* MERGEFORMAT ">
      <w:r>
        <w:t>ST/SG/AC.10/C.3/2020/69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A80B2" w14:textId="2612C624" w:rsidR="00DD7021" w:rsidRPr="00DD7021" w:rsidRDefault="00F153C9" w:rsidP="00DD7021">
    <w:pPr>
      <w:pStyle w:val="Header"/>
      <w:jc w:val="right"/>
    </w:pPr>
    <w:fldSimple w:instr=" TITLE  \* MERGEFORMAT ">
      <w:r>
        <w:t>ST/SG/AC.10/C.3/2020/69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5E63E80"/>
    <w:lvl w:ilvl="0" w:tplc="03120B92">
      <w:start w:val="1"/>
      <w:numFmt w:val="bullet"/>
      <w:pStyle w:val="Bullet1G"/>
      <w:lvlText w:val="•"/>
      <w:lvlJc w:val="left"/>
      <w:pPr>
        <w:tabs>
          <w:tab w:val="num" w:pos="1701"/>
        </w:tabs>
        <w:ind w:left="1701" w:hanging="17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31B"/>
    <w:rsid w:val="00017F94"/>
    <w:rsid w:val="00023842"/>
    <w:rsid w:val="000305D3"/>
    <w:rsid w:val="000334F9"/>
    <w:rsid w:val="0007796D"/>
    <w:rsid w:val="000B7790"/>
    <w:rsid w:val="00111F2F"/>
    <w:rsid w:val="0012331B"/>
    <w:rsid w:val="00132EA9"/>
    <w:rsid w:val="0014365E"/>
    <w:rsid w:val="00176178"/>
    <w:rsid w:val="001F525A"/>
    <w:rsid w:val="001F6B05"/>
    <w:rsid w:val="00223272"/>
    <w:rsid w:val="0024779E"/>
    <w:rsid w:val="00283190"/>
    <w:rsid w:val="002832AC"/>
    <w:rsid w:val="002C2988"/>
    <w:rsid w:val="002D7C93"/>
    <w:rsid w:val="00441C3B"/>
    <w:rsid w:val="00446FE5"/>
    <w:rsid w:val="00452396"/>
    <w:rsid w:val="004E468C"/>
    <w:rsid w:val="005505B7"/>
    <w:rsid w:val="00573BE5"/>
    <w:rsid w:val="00584DC4"/>
    <w:rsid w:val="00586ED3"/>
    <w:rsid w:val="00596AA9"/>
    <w:rsid w:val="005F3749"/>
    <w:rsid w:val="0068456F"/>
    <w:rsid w:val="0071601D"/>
    <w:rsid w:val="007A62E6"/>
    <w:rsid w:val="0080684C"/>
    <w:rsid w:val="00871C75"/>
    <w:rsid w:val="008776DC"/>
    <w:rsid w:val="008B40CD"/>
    <w:rsid w:val="009705C8"/>
    <w:rsid w:val="009C1CF4"/>
    <w:rsid w:val="00A30353"/>
    <w:rsid w:val="00A37788"/>
    <w:rsid w:val="00AC3823"/>
    <w:rsid w:val="00AE323C"/>
    <w:rsid w:val="00B00181"/>
    <w:rsid w:val="00B00B0D"/>
    <w:rsid w:val="00B765F7"/>
    <w:rsid w:val="00BA0CA9"/>
    <w:rsid w:val="00C02897"/>
    <w:rsid w:val="00CD72B2"/>
    <w:rsid w:val="00D3439C"/>
    <w:rsid w:val="00DB1831"/>
    <w:rsid w:val="00DD3BFD"/>
    <w:rsid w:val="00DD7021"/>
    <w:rsid w:val="00DF6678"/>
    <w:rsid w:val="00EF2E22"/>
    <w:rsid w:val="00F01738"/>
    <w:rsid w:val="00F153C9"/>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C3DC94"/>
  <w15:docId w15:val="{6B02C977-5E0A-43D6-BE01-E75FCED8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1F6B05"/>
    <w:rPr>
      <w:rFonts w:ascii="Times New Roman" w:eastAsiaTheme="minorHAnsi" w:hAnsi="Times New Roman" w:cs="Times New Roman"/>
      <w:b/>
      <w:sz w:val="28"/>
      <w:szCs w:val="20"/>
      <w:lang w:eastAsia="en-US"/>
    </w:rPr>
  </w:style>
  <w:style w:type="character" w:customStyle="1" w:styleId="H1GChar">
    <w:name w:val="_ H_1_G Char"/>
    <w:link w:val="H1G"/>
    <w:locked/>
    <w:rsid w:val="001F6B05"/>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locked/>
    <w:rsid w:val="001F6B0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en.wikipedia.org/wiki/File:Trans-2-butene.sv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en.wikipedia.org/wiki/File:Methylpropene.svg" TargetMode="External"/><Relationship Id="rId7" Type="http://schemas.openxmlformats.org/officeDocument/2006/relationships/webSettings" Target="webSettings.xml"/><Relationship Id="rId12" Type="http://schemas.openxmlformats.org/officeDocument/2006/relationships/hyperlink" Target="https://en.wikipedia.org/wiki/File:1-butene.svg" TargetMode="External"/><Relationship Id="rId17" Type="http://schemas.openxmlformats.org/officeDocument/2006/relationships/hyperlink" Target="https://en.wikipedia.org/wiki/2-Buten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en.wikipedia.org/wiki/Isobutylen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1-Butene"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en.wikipedia.org/wiki/File:Cis-2-butene.svg"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n.wikipedia.org/wiki/2-Butene" TargetMode="External"/><Relationship Id="rId22" Type="http://schemas.openxmlformats.org/officeDocument/2006/relationships/image" Target="media/image5.png"/><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40EB72-2D99-4254-9A3C-FDB7B909C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FBE825-6CF4-4EB1-B15E-A23FF8316298}">
  <ds:schemaRefs>
    <ds:schemaRef ds:uri="http://schemas.microsoft.com/sharepoint/v3/contenttype/forms"/>
  </ds:schemaRefs>
</ds:datastoreItem>
</file>

<file path=customXml/itemProps3.xml><?xml version="1.0" encoding="utf-8"?>
<ds:datastoreItem xmlns:ds="http://schemas.openxmlformats.org/officeDocument/2006/customXml" ds:itemID="{DB8A2B29-4277-479C-AF2D-DF391A3DD6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5840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ST/SG/AC.10/C.3/2020/69</vt:lpstr>
    </vt:vector>
  </TitlesOfParts>
  <Company>DCM</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ST/SG/AC.10/C.3/2020/69</dc:title>
  <dc:subject/>
  <dc:creator>Nicolas MORIN</dc:creator>
  <cp:keywords/>
  <cp:lastModifiedBy>Laurence Berthet</cp:lastModifiedBy>
  <cp:revision>2</cp:revision>
  <cp:lastPrinted>2020-10-14T07:44:00Z</cp:lastPrinted>
  <dcterms:created xsi:type="dcterms:W3CDTF">2020-10-14T11:20:00Z</dcterms:created>
  <dcterms:modified xsi:type="dcterms:W3CDTF">2020-10-14T11:20:00Z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