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45AA184D" w14:textId="77777777" w:rsidTr="00F01738">
        <w:trPr>
          <w:trHeight w:hRule="exact" w:val="851"/>
        </w:trPr>
        <w:tc>
          <w:tcPr>
            <w:tcW w:w="1276" w:type="dxa"/>
            <w:tcBorders>
              <w:bottom w:val="single" w:sz="4" w:space="0" w:color="auto"/>
            </w:tcBorders>
          </w:tcPr>
          <w:p w14:paraId="10A1553D" w14:textId="77777777" w:rsidR="00132EA9" w:rsidRPr="00DB58B5" w:rsidRDefault="00132EA9" w:rsidP="00F67C96">
            <w:bookmarkStart w:id="0" w:name="_GoBack"/>
            <w:bookmarkEnd w:id="0"/>
          </w:p>
        </w:tc>
        <w:tc>
          <w:tcPr>
            <w:tcW w:w="2268" w:type="dxa"/>
            <w:tcBorders>
              <w:bottom w:val="single" w:sz="4" w:space="0" w:color="auto"/>
            </w:tcBorders>
            <w:vAlign w:val="bottom"/>
          </w:tcPr>
          <w:p w14:paraId="184FCB85"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83F764C" w14:textId="77777777" w:rsidR="00132EA9" w:rsidRPr="00DB58B5" w:rsidRDefault="00F67C96" w:rsidP="00F67C96">
            <w:pPr>
              <w:jc w:val="right"/>
            </w:pPr>
            <w:r w:rsidRPr="00F67C96">
              <w:rPr>
                <w:sz w:val="40"/>
              </w:rPr>
              <w:t>ST</w:t>
            </w:r>
            <w:r>
              <w:t>/SG/AC.10/C.3/2020/67</w:t>
            </w:r>
          </w:p>
        </w:tc>
      </w:tr>
      <w:tr w:rsidR="00132EA9" w:rsidRPr="00DB58B5" w14:paraId="634A8C11" w14:textId="77777777" w:rsidTr="00F01738">
        <w:trPr>
          <w:trHeight w:hRule="exact" w:val="2835"/>
        </w:trPr>
        <w:tc>
          <w:tcPr>
            <w:tcW w:w="1276" w:type="dxa"/>
            <w:tcBorders>
              <w:top w:val="single" w:sz="4" w:space="0" w:color="auto"/>
              <w:bottom w:val="single" w:sz="12" w:space="0" w:color="auto"/>
            </w:tcBorders>
          </w:tcPr>
          <w:p w14:paraId="297321E2" w14:textId="77777777" w:rsidR="00132EA9" w:rsidRPr="00DB58B5" w:rsidRDefault="00132EA9" w:rsidP="00F01738">
            <w:pPr>
              <w:spacing w:before="120"/>
              <w:jc w:val="center"/>
            </w:pPr>
            <w:r>
              <w:rPr>
                <w:noProof/>
                <w:lang w:eastAsia="fr-CH"/>
              </w:rPr>
              <w:drawing>
                <wp:inline distT="0" distB="0" distL="0" distR="0" wp14:anchorId="33EFB7B2" wp14:editId="0E66FCD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E7A1C2"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11357455" w14:textId="77777777" w:rsidR="00132EA9" w:rsidRDefault="00F67C96" w:rsidP="00F01738">
            <w:pPr>
              <w:spacing w:before="240"/>
            </w:pPr>
            <w:r>
              <w:t>Distr. générale</w:t>
            </w:r>
          </w:p>
          <w:p w14:paraId="4ABCA716" w14:textId="77777777" w:rsidR="00F67C96" w:rsidRDefault="00F67C96" w:rsidP="00F67C96">
            <w:pPr>
              <w:spacing w:line="240" w:lineRule="exact"/>
            </w:pPr>
            <w:r>
              <w:t>21 septembre 2020</w:t>
            </w:r>
          </w:p>
          <w:p w14:paraId="4262D866" w14:textId="77777777" w:rsidR="00F67C96" w:rsidRDefault="00F67C96" w:rsidP="00F67C96">
            <w:pPr>
              <w:spacing w:line="240" w:lineRule="exact"/>
            </w:pPr>
            <w:r>
              <w:t>Français</w:t>
            </w:r>
          </w:p>
          <w:p w14:paraId="65149FFD" w14:textId="77777777" w:rsidR="00F67C96" w:rsidRPr="00DB58B5" w:rsidRDefault="00F67C96" w:rsidP="00F67C96">
            <w:pPr>
              <w:spacing w:line="240" w:lineRule="exact"/>
            </w:pPr>
            <w:r>
              <w:t>Original : anglais</w:t>
            </w:r>
          </w:p>
        </w:tc>
      </w:tr>
    </w:tbl>
    <w:p w14:paraId="3DEC5C3D" w14:textId="77777777" w:rsidR="00F67C96" w:rsidRPr="004C708D" w:rsidRDefault="00F67C96" w:rsidP="00F67C96">
      <w:pPr>
        <w:spacing w:before="120"/>
        <w:rPr>
          <w:b/>
          <w:sz w:val="24"/>
          <w:szCs w:val="24"/>
        </w:rPr>
      </w:pPr>
      <w:r w:rsidRPr="004C708D">
        <w:rPr>
          <w:b/>
          <w:sz w:val="24"/>
          <w:szCs w:val="24"/>
        </w:rPr>
        <w:t>Comité d</w:t>
      </w:r>
      <w:r>
        <w:rPr>
          <w:b/>
          <w:sz w:val="24"/>
          <w:szCs w:val="24"/>
        </w:rPr>
        <w:t>’</w:t>
      </w:r>
      <w:r w:rsidRPr="004C708D">
        <w:rPr>
          <w:b/>
          <w:sz w:val="24"/>
          <w:szCs w:val="24"/>
        </w:rPr>
        <w:t>experts du transport des marchandises dangereuses</w:t>
      </w:r>
      <w:r w:rsidRPr="004C708D">
        <w:rPr>
          <w:b/>
          <w:sz w:val="24"/>
          <w:szCs w:val="24"/>
        </w:rPr>
        <w:br/>
        <w:t>et du Système général harmonisé de classification</w:t>
      </w:r>
      <w:r w:rsidRPr="004C708D">
        <w:rPr>
          <w:b/>
          <w:sz w:val="24"/>
          <w:szCs w:val="24"/>
        </w:rPr>
        <w:br/>
        <w:t>et d</w:t>
      </w:r>
      <w:r>
        <w:rPr>
          <w:b/>
          <w:sz w:val="24"/>
          <w:szCs w:val="24"/>
        </w:rPr>
        <w:t>’</w:t>
      </w:r>
      <w:r w:rsidRPr="004C708D">
        <w:rPr>
          <w:b/>
          <w:sz w:val="24"/>
          <w:szCs w:val="24"/>
        </w:rPr>
        <w:t>étiquetage des produits chimiques</w:t>
      </w:r>
    </w:p>
    <w:p w14:paraId="2F9B77DD" w14:textId="77777777" w:rsidR="00F67C96" w:rsidRPr="004C708D" w:rsidRDefault="00F67C96" w:rsidP="00F67C96">
      <w:pPr>
        <w:spacing w:before="120"/>
        <w:rPr>
          <w:b/>
        </w:rPr>
      </w:pPr>
      <w:r w:rsidRPr="004C708D">
        <w:rPr>
          <w:b/>
        </w:rPr>
        <w:t>Sous-Comité d</w:t>
      </w:r>
      <w:r>
        <w:rPr>
          <w:b/>
        </w:rPr>
        <w:t>’</w:t>
      </w:r>
      <w:r w:rsidRPr="004C708D">
        <w:rPr>
          <w:b/>
        </w:rPr>
        <w:t>experts du transport des marchandises dangereuses</w:t>
      </w:r>
    </w:p>
    <w:p w14:paraId="7A521BBE" w14:textId="77777777" w:rsidR="00F67C96" w:rsidRPr="00CC21B9" w:rsidRDefault="00F67C96" w:rsidP="00F67C96">
      <w:pPr>
        <w:spacing w:before="100"/>
        <w:rPr>
          <w:b/>
          <w:lang w:val="fr-FR"/>
        </w:rPr>
      </w:pPr>
      <w:r>
        <w:rPr>
          <w:b/>
          <w:bCs/>
          <w:lang w:val="fr-FR"/>
        </w:rPr>
        <w:t>Cinquante-septième session</w:t>
      </w:r>
    </w:p>
    <w:p w14:paraId="3AFF4CA6" w14:textId="77777777" w:rsidR="00F67C96" w:rsidRDefault="00F67C96" w:rsidP="00F67C96">
      <w:pPr>
        <w:rPr>
          <w:lang w:val="fr-FR"/>
        </w:rPr>
      </w:pPr>
      <w:r>
        <w:rPr>
          <w:lang w:val="fr-FR"/>
        </w:rPr>
        <w:t>Genève, 30 novembre-8 décembre 2020</w:t>
      </w:r>
    </w:p>
    <w:p w14:paraId="6F2C4342" w14:textId="77777777" w:rsidR="00F67C96" w:rsidRPr="00CC21B9" w:rsidRDefault="00F67C96" w:rsidP="00F67C96">
      <w:pPr>
        <w:rPr>
          <w:b/>
          <w:lang w:val="fr-FR"/>
        </w:rPr>
      </w:pPr>
      <w:r>
        <w:rPr>
          <w:lang w:val="fr-FR"/>
        </w:rPr>
        <w:t>Point 6 e) de l’ordre du jour provisoire</w:t>
      </w:r>
    </w:p>
    <w:p w14:paraId="101D3BB5" w14:textId="77777777" w:rsidR="00F67C96" w:rsidRPr="00CC21B9" w:rsidRDefault="00F67C96" w:rsidP="00F67C96">
      <w:pPr>
        <w:rPr>
          <w:b/>
          <w:bCs/>
          <w:lang w:val="fr-FR"/>
        </w:rPr>
      </w:pPr>
      <w:r>
        <w:rPr>
          <w:b/>
          <w:bCs/>
          <w:lang w:val="fr-FR"/>
        </w:rPr>
        <w:t xml:space="preserve">Propositions diverses d’amendements au Règlement type </w:t>
      </w:r>
      <w:r>
        <w:rPr>
          <w:b/>
          <w:bCs/>
          <w:lang w:val="fr-FR"/>
        </w:rPr>
        <w:br/>
        <w:t>pour le transport des marchandises dangereuses :</w:t>
      </w:r>
      <w:r>
        <w:rPr>
          <w:b/>
          <w:bCs/>
          <w:lang w:val="fr-FR"/>
        </w:rPr>
        <w:br/>
        <w:t>Autres propositions diverses</w:t>
      </w:r>
    </w:p>
    <w:p w14:paraId="4C8844A0" w14:textId="77777777" w:rsidR="00F67C96" w:rsidRPr="00CC21B9" w:rsidRDefault="00F67C96" w:rsidP="00F67C96">
      <w:pPr>
        <w:pStyle w:val="HChG"/>
        <w:rPr>
          <w:lang w:val="fr-FR"/>
        </w:rPr>
      </w:pPr>
      <w:r>
        <w:rPr>
          <w:lang w:val="fr-FR"/>
        </w:rPr>
        <w:tab/>
      </w:r>
      <w:r>
        <w:rPr>
          <w:lang w:val="fr-FR"/>
        </w:rPr>
        <w:tab/>
        <w:t xml:space="preserve">Proposition d’approche expérimentale pour la fourniture </w:t>
      </w:r>
      <w:r>
        <w:rPr>
          <w:lang w:val="fr-FR"/>
        </w:rPr>
        <w:br/>
        <w:t>de données à l’appui des amendements concernant le texte relatif à la farine de poisson (déchets de poisson) stabilisée (ONU 2216, classe 9)</w:t>
      </w:r>
    </w:p>
    <w:p w14:paraId="22BD9EF8" w14:textId="77777777" w:rsidR="00F67C96" w:rsidRPr="00F67C96" w:rsidRDefault="00F67C96" w:rsidP="00F67C96">
      <w:pPr>
        <w:pStyle w:val="H1G"/>
        <w:rPr>
          <w:lang w:val="en-US"/>
        </w:rPr>
      </w:pPr>
      <w:r>
        <w:rPr>
          <w:lang w:val="fr-FR"/>
        </w:rPr>
        <w:tab/>
      </w:r>
      <w:r>
        <w:rPr>
          <w:lang w:val="fr-FR"/>
        </w:rPr>
        <w:tab/>
      </w:r>
      <w:r w:rsidRPr="00CC21B9">
        <w:rPr>
          <w:bCs/>
          <w:lang w:val="en-US"/>
        </w:rPr>
        <w:t>Communication de l</w:t>
      </w:r>
      <w:r>
        <w:rPr>
          <w:bCs/>
          <w:lang w:val="en-US"/>
        </w:rPr>
        <w:t>’</w:t>
      </w:r>
      <w:r w:rsidRPr="00CC21B9">
        <w:rPr>
          <w:bCs/>
          <w:lang w:val="en-US"/>
        </w:rPr>
        <w:t>International Fishmeal and Fish Oil Organization (IFFO)</w:t>
      </w:r>
      <w:r w:rsidRPr="00F67C96">
        <w:rPr>
          <w:rStyle w:val="FootnoteReference"/>
          <w:b w:val="0"/>
          <w:sz w:val="20"/>
          <w:vertAlign w:val="baseline"/>
          <w:lang w:val="en-US"/>
        </w:rPr>
        <w:footnoteReference w:customMarkFollows="1" w:id="2"/>
        <w:t>*</w:t>
      </w:r>
    </w:p>
    <w:p w14:paraId="5F8858B3" w14:textId="77777777" w:rsidR="00F67C96" w:rsidRPr="00CC21B9" w:rsidRDefault="00F67C96" w:rsidP="00F67C96">
      <w:pPr>
        <w:pStyle w:val="HChG"/>
        <w:spacing w:before="240" w:after="120"/>
        <w:rPr>
          <w:lang w:val="fr-FR"/>
        </w:rPr>
      </w:pPr>
      <w:r w:rsidRPr="00CC21B9">
        <w:rPr>
          <w:lang w:val="en-US"/>
        </w:rPr>
        <w:tab/>
      </w:r>
      <w:r w:rsidRPr="00CC21B9">
        <w:rPr>
          <w:lang w:val="en-US"/>
        </w:rPr>
        <w:tab/>
      </w:r>
      <w:r>
        <w:rPr>
          <w:bCs/>
          <w:lang w:val="fr-FR"/>
        </w:rPr>
        <w:t>Objet</w:t>
      </w:r>
    </w:p>
    <w:p w14:paraId="0CBFA53F" w14:textId="77777777" w:rsidR="00F67C96" w:rsidRPr="00CC21B9" w:rsidRDefault="00F67C96" w:rsidP="00F67C96">
      <w:pPr>
        <w:pStyle w:val="SingleTxtG"/>
        <w:rPr>
          <w:lang w:val="fr-FR"/>
        </w:rPr>
      </w:pPr>
      <w:r>
        <w:rPr>
          <w:lang w:val="fr-FR"/>
        </w:rPr>
        <w:t>1.</w:t>
      </w:r>
      <w:r>
        <w:rPr>
          <w:lang w:val="fr-FR"/>
        </w:rPr>
        <w:tab/>
        <w:t>L’objet du présent document est de solliciter des avis sur l’essai de stabilité proposé pour la farine de poisson, lequel permettrait d’obtenir des données et des éléments suffisants pour démontrer que l’utilisation d’antioxydants ou de mélanges de substitution et de concentrations ajustées pour la stabilisation de ladite farine de poisson est sûre. Plus concrètement, il s’agit d’élaborer un texte supplémentaire pour les propositions visant à modifier le Code maritime international des marchandises dangereuses (Code IMDG) et le Code maritime international des cargaisons solides en vrac (Code IMSBC) s’agissant des options disponibles pour la stabilisation de la farine de poisson avant le transport.</w:t>
      </w:r>
    </w:p>
    <w:p w14:paraId="2F3309AD" w14:textId="77777777" w:rsidR="00F67C96" w:rsidRPr="00CC21B9" w:rsidRDefault="00F67C96" w:rsidP="00F67C96">
      <w:pPr>
        <w:pStyle w:val="HChG"/>
        <w:rPr>
          <w:lang w:val="fr-FR"/>
        </w:rPr>
      </w:pPr>
      <w:r>
        <w:rPr>
          <w:lang w:val="fr-FR"/>
        </w:rPr>
        <w:tab/>
      </w:r>
      <w:r>
        <w:rPr>
          <w:lang w:val="fr-FR"/>
        </w:rPr>
        <w:tab/>
      </w:r>
      <w:r>
        <w:rPr>
          <w:bCs/>
          <w:lang w:val="fr-FR"/>
        </w:rPr>
        <w:t>Introduction</w:t>
      </w:r>
    </w:p>
    <w:p w14:paraId="5406F6A2" w14:textId="77777777" w:rsidR="00F67C96" w:rsidRPr="00CC21B9" w:rsidRDefault="00F67C96" w:rsidP="00F67C96">
      <w:pPr>
        <w:pStyle w:val="SingleTxtG"/>
        <w:rPr>
          <w:lang w:val="fr-FR"/>
        </w:rPr>
      </w:pPr>
      <w:r>
        <w:rPr>
          <w:lang w:val="fr-FR"/>
        </w:rPr>
        <w:t>2.</w:t>
      </w:r>
      <w:r>
        <w:rPr>
          <w:lang w:val="fr-FR"/>
        </w:rPr>
        <w:tab/>
        <w:t xml:space="preserve">Les travaux dont il est question ici constituent la nouvelle étape d’un programme de travail en cours (lancé en 2015) qui offre à l’industrie de la farine de poisson davantage d’options pour la stabilisation des produits à base de farine de poisson aux fins de leur transport. Cette étape est nécessaire en raison de l’apparition de restrictions sur l’utilisation de l’éthoxyquine, et éventuellement du butylhydroxytoluène (BHT) (actuellement en cours d’évaluation), comme antioxydants dans la stabilisation de la farine de poisson, dans </w:t>
      </w:r>
      <w:r>
        <w:rPr>
          <w:lang w:val="fr-FR"/>
        </w:rPr>
        <w:lastRenderedPageBreak/>
        <w:t>l’attente des décisions concernant l’autorisation d’utiliser ces matières en tant qu’additifs alimentaires dans la législation européenne.</w:t>
      </w:r>
    </w:p>
    <w:p w14:paraId="2A3074F4" w14:textId="77777777" w:rsidR="00F67C96" w:rsidRPr="00CC21B9" w:rsidRDefault="00F67C96" w:rsidP="00F67C96">
      <w:pPr>
        <w:pStyle w:val="SingleTxtG"/>
        <w:rPr>
          <w:lang w:val="fr-FR"/>
        </w:rPr>
      </w:pPr>
      <w:r>
        <w:rPr>
          <w:lang w:val="fr-FR"/>
        </w:rPr>
        <w:t>3.</w:t>
      </w:r>
      <w:r>
        <w:rPr>
          <w:lang w:val="fr-FR"/>
        </w:rPr>
        <w:tab/>
        <w:t xml:space="preserve">Des règles strictes relatives à la sécurité du transport de la farine de poisson ont été mises en place par le Sous-Comité </w:t>
      </w:r>
      <w:r w:rsidRPr="004C708D">
        <w:t>dans</w:t>
      </w:r>
      <w:r>
        <w:rPr>
          <w:lang w:val="fr-FR"/>
        </w:rPr>
        <w:t xml:space="preserve"> le Règlement type de l’ONU et par l’Organisation maritime internationale (OMI) dans les Codes IMSBC et IMDG.</w:t>
      </w:r>
    </w:p>
    <w:p w14:paraId="20036ECA" w14:textId="77777777" w:rsidR="00F67C96" w:rsidRPr="00CC21B9" w:rsidRDefault="00F67C96" w:rsidP="00F67C96">
      <w:pPr>
        <w:pStyle w:val="SingleTxtG"/>
        <w:rPr>
          <w:lang w:val="fr-FR"/>
        </w:rPr>
      </w:pPr>
      <w:r>
        <w:rPr>
          <w:lang w:val="fr-FR"/>
        </w:rPr>
        <w:t>4.</w:t>
      </w:r>
      <w:r>
        <w:rPr>
          <w:lang w:val="fr-FR"/>
        </w:rPr>
        <w:tab/>
        <w:t>L’IFFO, qui a participé aux quarante-huitième, quarante-neuvième et cinquantième sessions du Sous-Comité, a fourni des documents à l’appui des propositions d’amendements au Règlement type, qui ont finalement abouti et dont la liste est dressée à l’annexe I du rapport de la huitième session du Comité (ST/SG/AC.10/44/Add.1).</w:t>
      </w:r>
    </w:p>
    <w:p w14:paraId="3EBDED10" w14:textId="77777777" w:rsidR="00F67C96" w:rsidRPr="00CC21B9" w:rsidRDefault="00F67C96" w:rsidP="00F67C96">
      <w:pPr>
        <w:pStyle w:val="SingleTxtG"/>
        <w:rPr>
          <w:lang w:val="fr-FR"/>
        </w:rPr>
      </w:pPr>
      <w:r>
        <w:rPr>
          <w:lang w:val="fr-FR"/>
        </w:rPr>
        <w:t>5.</w:t>
      </w:r>
      <w:r>
        <w:rPr>
          <w:lang w:val="fr-FR"/>
        </w:rPr>
        <w:tab/>
        <w:t>Les travaux expérimentaux qui ont été menés pour fournir des données à l’appui des amendements antérieurs sont à la fois difficiles à gérer et coûteux. L’IFFO cherche à obtenir un retour d’information sur une version affinée de cette approche qui continuerait de fournir des données sur la farine de poisson stabilisée aux antioxydants ayant un intérêt au regard des conditions de transport. L’IFFO envisage cette consultation comme un processus dans le cadre duquel d’autres modifications pourraient être proposées dans les années à venir. Les avis du Sous-Comité sur cette nouvelle approche seront accueillis avec satisfaction, car ils permettront de faire en sorte que les travaux sur les essais fournissent les données les plus significatives en vue d’un examen.</w:t>
      </w:r>
    </w:p>
    <w:p w14:paraId="173C42B3" w14:textId="77777777" w:rsidR="00F67C96" w:rsidRPr="00CC21B9" w:rsidRDefault="00F67C96" w:rsidP="00F67C96">
      <w:pPr>
        <w:pStyle w:val="HChG"/>
        <w:rPr>
          <w:sz w:val="20"/>
          <w:lang w:val="fr-FR"/>
        </w:rPr>
      </w:pPr>
      <w:r>
        <w:rPr>
          <w:lang w:val="fr-FR"/>
        </w:rPr>
        <w:tab/>
      </w:r>
      <w:r>
        <w:rPr>
          <w:lang w:val="fr-FR"/>
        </w:rPr>
        <w:tab/>
      </w:r>
      <w:r>
        <w:rPr>
          <w:bCs/>
          <w:lang w:val="fr-FR"/>
        </w:rPr>
        <w:t>Proposition de travaux expérimentaux</w:t>
      </w:r>
    </w:p>
    <w:p w14:paraId="7DD7963B" w14:textId="77777777" w:rsidR="00F67C96" w:rsidRPr="00CC21B9" w:rsidRDefault="00F67C96" w:rsidP="00F67C96">
      <w:pPr>
        <w:pStyle w:val="SingleTxtG"/>
        <w:rPr>
          <w:lang w:val="fr-FR"/>
        </w:rPr>
      </w:pPr>
      <w:r>
        <w:rPr>
          <w:lang w:val="fr-FR"/>
        </w:rPr>
        <w:t>6.</w:t>
      </w:r>
      <w:r>
        <w:rPr>
          <w:lang w:val="fr-FR"/>
        </w:rPr>
        <w:tab/>
        <w:t>La méthe consiste à utiliser des tocophérols comme antioxydants dans la stabilisation de la farine de poisson. Le texte proposé pour la farine de poisson ou les déchets de poisson contenant 250 ppm (mg/kg) d’antioxydants à base de tocophérols au moment de l’expédition a été adopté et inclus dans l’amendement au Règlement type (voir le document ST/SG/AC.10/44/Add.1). Il s’agit maintenant d’examiner la possibilité d’obtenir une stabilisation efficace avec une concentration résiduelle inférieure à 250 ppm d’antioxydants au moment de l’expédition. Toutefois, l’évaluation à faire porte sur la méthode proposée, plutôt que sur l’antioxydant lui-même.</w:t>
      </w:r>
    </w:p>
    <w:p w14:paraId="52AB4108" w14:textId="77777777" w:rsidR="00F67C96" w:rsidRPr="00CC21B9" w:rsidRDefault="00F67C96" w:rsidP="00F67C96">
      <w:pPr>
        <w:pStyle w:val="SingleTxtG"/>
        <w:rPr>
          <w:lang w:val="fr-FR"/>
        </w:rPr>
      </w:pPr>
      <w:r>
        <w:rPr>
          <w:lang w:val="fr-FR"/>
        </w:rPr>
        <w:t>7.</w:t>
      </w:r>
      <w:r>
        <w:rPr>
          <w:lang w:val="fr-FR"/>
        </w:rPr>
        <w:tab/>
        <w:t>Les travaux seront menés avec le soutien de membres de l’IFFO producteurs de farine de poisson au Pérou, qui sont également membres de l’association nationale de la pêche (Sociedad Nacional de Pesquería).</w:t>
      </w:r>
    </w:p>
    <w:p w14:paraId="0EEAA374" w14:textId="77777777" w:rsidR="00F67C96" w:rsidRPr="00CC21B9" w:rsidRDefault="00F67C96" w:rsidP="00F67C96">
      <w:pPr>
        <w:pStyle w:val="SingleTxtG"/>
        <w:rPr>
          <w:lang w:val="fr-FR"/>
        </w:rPr>
      </w:pPr>
      <w:r>
        <w:rPr>
          <w:lang w:val="fr-FR"/>
        </w:rPr>
        <w:t>8.</w:t>
      </w:r>
      <w:r>
        <w:rPr>
          <w:lang w:val="fr-FR"/>
        </w:rPr>
        <w:tab/>
        <w:t>La farine de poisson produite pour l’étude sera fabriquée à partir d’anchois péruvien (</w:t>
      </w:r>
      <w:r>
        <w:rPr>
          <w:i/>
          <w:iCs/>
          <w:lang w:val="fr-FR"/>
        </w:rPr>
        <w:t>Engraulis ringens</w:t>
      </w:r>
      <w:r>
        <w:rPr>
          <w:lang w:val="fr-FR"/>
        </w:rPr>
        <w:t>), selon des procédés standard. Les farines d’anchois péruvien sont considérées comme des farines représentatives de l’industrie, car elles constituent généralement la plus grande part du volume de farine de poisson commercialisé chaque année (environ 15 à 20 % du total) et ont des niveaux d’acides gras polyinsaturés plus élevés, comme les autres farines de poisson plus réactives que l’on trouve dans le monde (et qui présentent donc un risque d’oxydation plus élevé).</w:t>
      </w:r>
    </w:p>
    <w:p w14:paraId="5A8D60EC" w14:textId="77777777" w:rsidR="00F67C96" w:rsidRPr="00CC21B9" w:rsidRDefault="00F67C96" w:rsidP="00F67C96">
      <w:pPr>
        <w:pStyle w:val="SingleTxtG"/>
        <w:rPr>
          <w:lang w:val="fr-FR"/>
        </w:rPr>
      </w:pPr>
      <w:r>
        <w:rPr>
          <w:lang w:val="fr-FR"/>
        </w:rPr>
        <w:t>9.</w:t>
      </w:r>
      <w:r>
        <w:rPr>
          <w:lang w:val="fr-FR"/>
        </w:rPr>
        <w:tab/>
        <w:t>Les échantillons seront prélevés dans un même lot de farine de poisson. Les produits traités seront manipulés et stockés dans des conditions similaires à celles de la farine de poisson habituellement traitée en usine.</w:t>
      </w:r>
    </w:p>
    <w:p w14:paraId="7CCC1805" w14:textId="77777777" w:rsidR="00F67C96" w:rsidRPr="00CC21B9" w:rsidRDefault="00F67C96" w:rsidP="00F67C96">
      <w:pPr>
        <w:pStyle w:val="SingleTxtG"/>
        <w:rPr>
          <w:lang w:val="fr-FR"/>
        </w:rPr>
      </w:pPr>
      <w:r>
        <w:rPr>
          <w:lang w:val="fr-FR"/>
        </w:rPr>
        <w:t>10.</w:t>
      </w:r>
      <w:r>
        <w:rPr>
          <w:lang w:val="fr-FR"/>
        </w:rPr>
        <w:tab/>
        <w:t>Pour chaque traitement étudié, des répliques de deux sacs d’une tonne et de 10 sacs de 50 kg seront fournies.</w:t>
      </w:r>
    </w:p>
    <w:p w14:paraId="3CC2734C" w14:textId="77777777" w:rsidR="00F67C96" w:rsidRPr="00CC21B9" w:rsidRDefault="00F67C96" w:rsidP="00F67C96">
      <w:pPr>
        <w:pStyle w:val="SingleTxtG"/>
        <w:rPr>
          <w:lang w:val="fr-FR"/>
        </w:rPr>
      </w:pPr>
      <w:r>
        <w:rPr>
          <w:lang w:val="fr-FR"/>
        </w:rPr>
        <w:t>11.</w:t>
      </w:r>
      <w:r>
        <w:rPr>
          <w:lang w:val="fr-FR"/>
        </w:rPr>
        <w:tab/>
        <w:t>Les échantillons et les paramètres seront analysés selon le calendrier présenté dans le tableau ci-dessous :</w:t>
      </w:r>
    </w:p>
    <w:tbl>
      <w:tblPr>
        <w:tblW w:w="8505" w:type="dxa"/>
        <w:tblInd w:w="1134" w:type="dxa"/>
        <w:tblLayout w:type="fixed"/>
        <w:tblCellMar>
          <w:left w:w="0" w:type="dxa"/>
          <w:right w:w="0" w:type="dxa"/>
        </w:tblCellMar>
        <w:tblLook w:val="04A0" w:firstRow="1" w:lastRow="0" w:firstColumn="1" w:lastColumn="0" w:noHBand="0" w:noVBand="1"/>
      </w:tblPr>
      <w:tblGrid>
        <w:gridCol w:w="1364"/>
        <w:gridCol w:w="1518"/>
        <w:gridCol w:w="911"/>
        <w:gridCol w:w="911"/>
        <w:gridCol w:w="1214"/>
        <w:gridCol w:w="1327"/>
        <w:gridCol w:w="1260"/>
      </w:tblGrid>
      <w:tr w:rsidR="00F67C96" w:rsidRPr="00D1605A" w14:paraId="0F82AA0D" w14:textId="77777777" w:rsidTr="002F0C51">
        <w:trPr>
          <w:trHeight w:val="120"/>
        </w:trPr>
        <w:tc>
          <w:tcPr>
            <w:tcW w:w="1364" w:type="dxa"/>
            <w:tcBorders>
              <w:top w:val="single" w:sz="12" w:space="0" w:color="auto"/>
              <w:left w:val="single" w:sz="12" w:space="0" w:color="auto"/>
              <w:bottom w:val="single" w:sz="12" w:space="0" w:color="auto"/>
              <w:right w:val="single" w:sz="18" w:space="0" w:color="000000"/>
            </w:tcBorders>
            <w:shd w:val="clear" w:color="auto" w:fill="DBE5F1"/>
            <w:vAlign w:val="center"/>
            <w:hideMark/>
          </w:tcPr>
          <w:p w14:paraId="0ACE11A4" w14:textId="77777777" w:rsidR="00F67C96" w:rsidRPr="00D1605A" w:rsidRDefault="00F67C96" w:rsidP="00F67C96">
            <w:pPr>
              <w:suppressAutoHyphens w:val="0"/>
              <w:kinsoku/>
              <w:overflowPunct/>
              <w:autoSpaceDE/>
              <w:autoSpaceDN/>
              <w:adjustRightInd/>
              <w:snapToGrid/>
              <w:spacing w:before="40" w:after="40" w:line="220" w:lineRule="atLeast"/>
              <w:ind w:left="57" w:right="57"/>
              <w:jc w:val="center"/>
              <w:rPr>
                <w:rFonts w:asciiTheme="majorBidi" w:eastAsia="Times New Roman" w:hAnsiTheme="majorBidi" w:cstheme="majorBidi"/>
                <w:sz w:val="18"/>
                <w:szCs w:val="18"/>
              </w:rPr>
            </w:pPr>
            <w:r>
              <w:rPr>
                <w:b/>
                <w:bCs/>
                <w:lang w:val="fr-FR"/>
              </w:rPr>
              <w:t>Traitement</w:t>
            </w:r>
          </w:p>
        </w:tc>
        <w:tc>
          <w:tcPr>
            <w:tcW w:w="1518" w:type="dxa"/>
            <w:tcBorders>
              <w:top w:val="single" w:sz="12" w:space="0" w:color="auto"/>
              <w:left w:val="nil"/>
              <w:bottom w:val="single" w:sz="12" w:space="0" w:color="auto"/>
              <w:right w:val="single" w:sz="18" w:space="0" w:color="000000"/>
            </w:tcBorders>
            <w:shd w:val="clear" w:color="auto" w:fill="DBE5F1"/>
            <w:vAlign w:val="center"/>
            <w:hideMark/>
          </w:tcPr>
          <w:p w14:paraId="1E876AB1" w14:textId="77777777" w:rsidR="00F67C96" w:rsidRPr="00D1605A" w:rsidRDefault="00F67C96" w:rsidP="00F67C96">
            <w:pPr>
              <w:suppressAutoHyphens w:val="0"/>
              <w:kinsoku/>
              <w:overflowPunct/>
              <w:autoSpaceDE/>
              <w:autoSpaceDN/>
              <w:adjustRightInd/>
              <w:snapToGrid/>
              <w:spacing w:before="40" w:after="40" w:line="220" w:lineRule="atLeast"/>
              <w:ind w:left="57" w:right="57"/>
              <w:jc w:val="center"/>
              <w:rPr>
                <w:rFonts w:asciiTheme="majorBidi" w:eastAsia="Times New Roman" w:hAnsiTheme="majorBidi" w:cstheme="majorBidi"/>
                <w:sz w:val="18"/>
                <w:szCs w:val="18"/>
              </w:rPr>
            </w:pPr>
            <w:r>
              <w:rPr>
                <w:b/>
                <w:bCs/>
                <w:lang w:val="fr-FR"/>
              </w:rPr>
              <w:t>Jour 0</w:t>
            </w:r>
          </w:p>
        </w:tc>
        <w:tc>
          <w:tcPr>
            <w:tcW w:w="911" w:type="dxa"/>
            <w:tcBorders>
              <w:top w:val="single" w:sz="12" w:space="0" w:color="auto"/>
              <w:left w:val="nil"/>
              <w:bottom w:val="single" w:sz="12" w:space="0" w:color="auto"/>
              <w:right w:val="single" w:sz="18" w:space="0" w:color="000000"/>
            </w:tcBorders>
            <w:shd w:val="clear" w:color="auto" w:fill="DBE5F1"/>
            <w:vAlign w:val="center"/>
            <w:hideMark/>
          </w:tcPr>
          <w:p w14:paraId="4C14BEEC" w14:textId="77777777" w:rsidR="00F67C96" w:rsidRPr="00D1605A" w:rsidRDefault="00F67C96" w:rsidP="00F67C96">
            <w:pPr>
              <w:suppressAutoHyphens w:val="0"/>
              <w:kinsoku/>
              <w:overflowPunct/>
              <w:autoSpaceDE/>
              <w:autoSpaceDN/>
              <w:adjustRightInd/>
              <w:snapToGrid/>
              <w:spacing w:before="40" w:after="40" w:line="220" w:lineRule="atLeast"/>
              <w:ind w:left="57" w:right="57"/>
              <w:jc w:val="center"/>
              <w:rPr>
                <w:rFonts w:asciiTheme="majorBidi" w:eastAsia="Times New Roman" w:hAnsiTheme="majorBidi" w:cstheme="majorBidi"/>
                <w:sz w:val="18"/>
                <w:szCs w:val="18"/>
              </w:rPr>
            </w:pPr>
            <w:r>
              <w:rPr>
                <w:b/>
                <w:bCs/>
                <w:lang w:val="fr-FR"/>
              </w:rPr>
              <w:t>Jour 15</w:t>
            </w:r>
          </w:p>
        </w:tc>
        <w:tc>
          <w:tcPr>
            <w:tcW w:w="911" w:type="dxa"/>
            <w:tcBorders>
              <w:top w:val="single" w:sz="12" w:space="0" w:color="auto"/>
              <w:left w:val="nil"/>
              <w:bottom w:val="single" w:sz="12" w:space="0" w:color="auto"/>
              <w:right w:val="single" w:sz="18" w:space="0" w:color="000000"/>
            </w:tcBorders>
            <w:shd w:val="clear" w:color="auto" w:fill="DBE5F1"/>
            <w:vAlign w:val="center"/>
            <w:hideMark/>
          </w:tcPr>
          <w:p w14:paraId="52ED4D88" w14:textId="77777777" w:rsidR="00F67C96" w:rsidRPr="00D1605A" w:rsidRDefault="00F67C96" w:rsidP="00F67C96">
            <w:pPr>
              <w:suppressAutoHyphens w:val="0"/>
              <w:kinsoku/>
              <w:overflowPunct/>
              <w:autoSpaceDE/>
              <w:autoSpaceDN/>
              <w:adjustRightInd/>
              <w:snapToGrid/>
              <w:spacing w:before="40" w:after="40" w:line="220" w:lineRule="atLeast"/>
              <w:ind w:left="57" w:right="57"/>
              <w:jc w:val="center"/>
              <w:rPr>
                <w:rFonts w:asciiTheme="majorBidi" w:eastAsia="Times New Roman" w:hAnsiTheme="majorBidi" w:cstheme="majorBidi"/>
                <w:sz w:val="18"/>
                <w:szCs w:val="18"/>
              </w:rPr>
            </w:pPr>
            <w:r>
              <w:rPr>
                <w:b/>
                <w:bCs/>
                <w:lang w:val="fr-FR"/>
              </w:rPr>
              <w:t>Mois 1</w:t>
            </w:r>
          </w:p>
        </w:tc>
        <w:tc>
          <w:tcPr>
            <w:tcW w:w="1214" w:type="dxa"/>
            <w:tcBorders>
              <w:top w:val="single" w:sz="12" w:space="0" w:color="auto"/>
              <w:left w:val="nil"/>
              <w:bottom w:val="single" w:sz="12" w:space="0" w:color="auto"/>
              <w:right w:val="single" w:sz="18" w:space="0" w:color="000000"/>
            </w:tcBorders>
            <w:shd w:val="clear" w:color="auto" w:fill="DBE5F1"/>
            <w:vAlign w:val="center"/>
            <w:hideMark/>
          </w:tcPr>
          <w:p w14:paraId="74C44686" w14:textId="77777777" w:rsidR="00F67C96" w:rsidRPr="00D1605A" w:rsidRDefault="00F67C96" w:rsidP="00F67C96">
            <w:pPr>
              <w:suppressAutoHyphens w:val="0"/>
              <w:kinsoku/>
              <w:overflowPunct/>
              <w:autoSpaceDE/>
              <w:autoSpaceDN/>
              <w:adjustRightInd/>
              <w:snapToGrid/>
              <w:spacing w:before="40" w:after="40" w:line="220" w:lineRule="atLeast"/>
              <w:ind w:left="57" w:right="57"/>
              <w:jc w:val="center"/>
              <w:rPr>
                <w:rFonts w:asciiTheme="majorBidi" w:eastAsia="Times New Roman" w:hAnsiTheme="majorBidi" w:cstheme="majorBidi"/>
                <w:sz w:val="18"/>
                <w:szCs w:val="18"/>
              </w:rPr>
            </w:pPr>
            <w:r>
              <w:rPr>
                <w:b/>
                <w:bCs/>
                <w:lang w:val="fr-FR"/>
              </w:rPr>
              <w:t>Mois 2</w:t>
            </w:r>
          </w:p>
        </w:tc>
        <w:tc>
          <w:tcPr>
            <w:tcW w:w="1327" w:type="dxa"/>
            <w:tcBorders>
              <w:top w:val="single" w:sz="12" w:space="0" w:color="auto"/>
              <w:left w:val="nil"/>
              <w:bottom w:val="single" w:sz="12" w:space="0" w:color="auto"/>
              <w:right w:val="single" w:sz="18" w:space="0" w:color="000000"/>
            </w:tcBorders>
            <w:shd w:val="clear" w:color="auto" w:fill="DBE5F1"/>
            <w:vAlign w:val="center"/>
            <w:hideMark/>
          </w:tcPr>
          <w:p w14:paraId="28D28701" w14:textId="77777777" w:rsidR="00F67C96" w:rsidRPr="00D1605A" w:rsidRDefault="00F67C96" w:rsidP="00F67C96">
            <w:pPr>
              <w:suppressAutoHyphens w:val="0"/>
              <w:kinsoku/>
              <w:overflowPunct/>
              <w:autoSpaceDE/>
              <w:autoSpaceDN/>
              <w:adjustRightInd/>
              <w:snapToGrid/>
              <w:spacing w:before="40" w:after="40" w:line="220" w:lineRule="atLeast"/>
              <w:ind w:left="57" w:right="57"/>
              <w:jc w:val="center"/>
              <w:rPr>
                <w:rFonts w:asciiTheme="majorBidi" w:eastAsia="Times New Roman" w:hAnsiTheme="majorBidi" w:cstheme="majorBidi"/>
                <w:sz w:val="18"/>
                <w:szCs w:val="18"/>
              </w:rPr>
            </w:pPr>
            <w:r>
              <w:rPr>
                <w:b/>
                <w:bCs/>
                <w:lang w:val="fr-FR"/>
              </w:rPr>
              <w:t>Mois 6</w:t>
            </w:r>
          </w:p>
        </w:tc>
        <w:tc>
          <w:tcPr>
            <w:tcW w:w="1260" w:type="dxa"/>
            <w:tcBorders>
              <w:top w:val="single" w:sz="12" w:space="0" w:color="auto"/>
              <w:left w:val="nil"/>
              <w:bottom w:val="single" w:sz="12" w:space="0" w:color="auto"/>
              <w:right w:val="single" w:sz="12" w:space="0" w:color="auto"/>
            </w:tcBorders>
            <w:shd w:val="clear" w:color="auto" w:fill="DBE5F1"/>
            <w:vAlign w:val="center"/>
            <w:hideMark/>
          </w:tcPr>
          <w:p w14:paraId="2F9202D0" w14:textId="77777777" w:rsidR="00F67C96" w:rsidRPr="00D1605A" w:rsidRDefault="00F67C96" w:rsidP="00F67C96">
            <w:pPr>
              <w:suppressAutoHyphens w:val="0"/>
              <w:kinsoku/>
              <w:overflowPunct/>
              <w:autoSpaceDE/>
              <w:autoSpaceDN/>
              <w:adjustRightInd/>
              <w:snapToGrid/>
              <w:spacing w:before="40" w:after="40" w:line="220" w:lineRule="atLeast"/>
              <w:ind w:left="57" w:right="57"/>
              <w:jc w:val="center"/>
              <w:rPr>
                <w:rFonts w:asciiTheme="majorBidi" w:eastAsia="Times New Roman" w:hAnsiTheme="majorBidi" w:cstheme="majorBidi"/>
                <w:sz w:val="18"/>
                <w:szCs w:val="18"/>
              </w:rPr>
            </w:pPr>
            <w:r>
              <w:rPr>
                <w:b/>
                <w:bCs/>
                <w:lang w:val="fr-FR"/>
              </w:rPr>
              <w:t>Mois 12</w:t>
            </w:r>
          </w:p>
        </w:tc>
      </w:tr>
      <w:tr w:rsidR="00F67C96" w:rsidRPr="00D1605A" w14:paraId="1AC726C6" w14:textId="77777777" w:rsidTr="002F0C51">
        <w:trPr>
          <w:trHeight w:val="120"/>
        </w:trPr>
        <w:tc>
          <w:tcPr>
            <w:tcW w:w="1364" w:type="dxa"/>
            <w:tcBorders>
              <w:top w:val="nil"/>
              <w:left w:val="single" w:sz="12" w:space="0" w:color="auto"/>
              <w:bottom w:val="single" w:sz="12" w:space="0" w:color="auto"/>
              <w:right w:val="single" w:sz="18" w:space="0" w:color="000000"/>
            </w:tcBorders>
            <w:shd w:val="clear" w:color="auto" w:fill="DBE5F1"/>
            <w:vAlign w:val="center"/>
            <w:hideMark/>
          </w:tcPr>
          <w:p w14:paraId="22C268F3" w14:textId="77777777" w:rsidR="00F67C96" w:rsidRPr="00D1605A" w:rsidRDefault="00F67C96" w:rsidP="00F67C96">
            <w:pPr>
              <w:suppressAutoHyphens w:val="0"/>
              <w:kinsoku/>
              <w:overflowPunct/>
              <w:autoSpaceDE/>
              <w:autoSpaceDN/>
              <w:adjustRightInd/>
              <w:snapToGrid/>
              <w:spacing w:before="40" w:after="40" w:line="220" w:lineRule="atLeast"/>
              <w:ind w:left="57" w:right="57"/>
              <w:jc w:val="center"/>
              <w:rPr>
                <w:rFonts w:asciiTheme="majorBidi" w:eastAsia="Times New Roman" w:hAnsiTheme="majorBidi" w:cstheme="majorBidi"/>
                <w:sz w:val="18"/>
                <w:szCs w:val="18"/>
              </w:rPr>
            </w:pPr>
            <w:r>
              <w:rPr>
                <w:b/>
                <w:bCs/>
                <w:lang w:val="fr-FR"/>
              </w:rPr>
              <w:t>Tocophérol</w:t>
            </w:r>
          </w:p>
        </w:tc>
        <w:tc>
          <w:tcPr>
            <w:tcW w:w="1518" w:type="dxa"/>
            <w:tcBorders>
              <w:top w:val="nil"/>
              <w:left w:val="nil"/>
              <w:bottom w:val="single" w:sz="12" w:space="0" w:color="auto"/>
              <w:right w:val="single" w:sz="8" w:space="0" w:color="000000"/>
            </w:tcBorders>
            <w:vAlign w:val="center"/>
            <w:hideMark/>
          </w:tcPr>
          <w:p w14:paraId="1740FCE9" w14:textId="77777777" w:rsidR="00F67C96" w:rsidRPr="00CC21B9" w:rsidRDefault="00F67C96" w:rsidP="00F67C96">
            <w:pPr>
              <w:suppressAutoHyphens w:val="0"/>
              <w:kinsoku/>
              <w:overflowPunct/>
              <w:autoSpaceDE/>
              <w:autoSpaceDN/>
              <w:adjustRightInd/>
              <w:snapToGrid/>
              <w:spacing w:before="40" w:after="40" w:line="220" w:lineRule="atLeast"/>
              <w:ind w:left="57" w:right="57"/>
              <w:jc w:val="center"/>
              <w:rPr>
                <w:rFonts w:asciiTheme="majorBidi" w:eastAsia="Times New Roman" w:hAnsiTheme="majorBidi" w:cstheme="majorBidi"/>
                <w:sz w:val="18"/>
                <w:szCs w:val="18"/>
                <w:lang w:val="fr-FR"/>
              </w:rPr>
            </w:pPr>
            <w:r>
              <w:rPr>
                <w:lang w:val="fr-FR"/>
              </w:rPr>
              <w:t xml:space="preserve">Analyse immédiate, A/O, AGL </w:t>
            </w:r>
            <w:r w:rsidR="002F0C51">
              <w:rPr>
                <w:lang w:val="fr-FR"/>
              </w:rPr>
              <w:br/>
            </w:r>
            <w:r>
              <w:rPr>
                <w:lang w:val="fr-FR"/>
              </w:rPr>
              <w:t xml:space="preserve">Ω-3, </w:t>
            </w:r>
            <w:r w:rsidR="002F0C51">
              <w:rPr>
                <w:lang w:val="fr-FR"/>
              </w:rPr>
              <w:br/>
            </w:r>
            <w:r>
              <w:rPr>
                <w:lang w:val="fr-FR"/>
              </w:rPr>
              <w:t xml:space="preserve">°C-FP, °C-A </w:t>
            </w:r>
            <w:r w:rsidR="002F0C51">
              <w:rPr>
                <w:lang w:val="fr-FR"/>
              </w:rPr>
              <w:br/>
            </w:r>
            <w:r>
              <w:rPr>
                <w:lang w:val="fr-FR"/>
              </w:rPr>
              <w:t>IA</w:t>
            </w:r>
          </w:p>
        </w:tc>
        <w:tc>
          <w:tcPr>
            <w:tcW w:w="1822" w:type="dxa"/>
            <w:gridSpan w:val="2"/>
            <w:tcBorders>
              <w:top w:val="nil"/>
              <w:left w:val="nil"/>
              <w:bottom w:val="single" w:sz="12" w:space="0" w:color="auto"/>
              <w:right w:val="single" w:sz="18" w:space="0" w:color="000000"/>
            </w:tcBorders>
            <w:vAlign w:val="center"/>
            <w:hideMark/>
          </w:tcPr>
          <w:p w14:paraId="333326D3" w14:textId="77777777" w:rsidR="00F67C96" w:rsidRPr="00D1605A" w:rsidRDefault="00F67C96" w:rsidP="00F67C96">
            <w:pPr>
              <w:suppressAutoHyphens w:val="0"/>
              <w:kinsoku/>
              <w:overflowPunct/>
              <w:autoSpaceDE/>
              <w:autoSpaceDN/>
              <w:adjustRightInd/>
              <w:snapToGrid/>
              <w:spacing w:before="40" w:after="40" w:line="220" w:lineRule="atLeast"/>
              <w:ind w:left="57" w:right="57"/>
              <w:jc w:val="center"/>
              <w:rPr>
                <w:rFonts w:asciiTheme="majorBidi" w:eastAsia="Times New Roman" w:hAnsiTheme="majorBidi" w:cstheme="majorBidi"/>
                <w:sz w:val="18"/>
                <w:szCs w:val="18"/>
              </w:rPr>
            </w:pPr>
            <w:r>
              <w:rPr>
                <w:lang w:val="fr-FR"/>
              </w:rPr>
              <w:t xml:space="preserve">A/O, </w:t>
            </w:r>
            <w:r w:rsidR="002F0C51">
              <w:rPr>
                <w:lang w:val="fr-FR"/>
              </w:rPr>
              <w:br/>
            </w:r>
            <w:r>
              <w:rPr>
                <w:lang w:val="fr-FR"/>
              </w:rPr>
              <w:t>°C-FP, °C-A</w:t>
            </w:r>
          </w:p>
        </w:tc>
        <w:tc>
          <w:tcPr>
            <w:tcW w:w="1214" w:type="dxa"/>
            <w:tcBorders>
              <w:top w:val="nil"/>
              <w:left w:val="nil"/>
              <w:bottom w:val="single" w:sz="12" w:space="0" w:color="auto"/>
              <w:right w:val="single" w:sz="18" w:space="0" w:color="000000"/>
            </w:tcBorders>
            <w:vAlign w:val="center"/>
            <w:hideMark/>
          </w:tcPr>
          <w:p w14:paraId="4C653EA0" w14:textId="77777777" w:rsidR="00F67C96" w:rsidRPr="00D1605A" w:rsidRDefault="00F67C96" w:rsidP="00F67C96">
            <w:pPr>
              <w:suppressAutoHyphens w:val="0"/>
              <w:kinsoku/>
              <w:overflowPunct/>
              <w:autoSpaceDE/>
              <w:autoSpaceDN/>
              <w:adjustRightInd/>
              <w:snapToGrid/>
              <w:spacing w:before="40" w:after="40" w:line="220" w:lineRule="atLeast"/>
              <w:ind w:left="57" w:right="57"/>
              <w:jc w:val="center"/>
              <w:rPr>
                <w:rFonts w:asciiTheme="majorBidi" w:eastAsia="Times New Roman" w:hAnsiTheme="majorBidi" w:cstheme="majorBidi"/>
                <w:sz w:val="18"/>
                <w:szCs w:val="18"/>
              </w:rPr>
            </w:pPr>
            <w:r>
              <w:rPr>
                <w:lang w:val="fr-FR"/>
              </w:rPr>
              <w:t xml:space="preserve">A/O, </w:t>
            </w:r>
            <w:r w:rsidR="002F0C51">
              <w:rPr>
                <w:lang w:val="fr-FR"/>
              </w:rPr>
              <w:br/>
            </w:r>
            <w:r>
              <w:rPr>
                <w:lang w:val="fr-FR"/>
              </w:rPr>
              <w:t>°C-FP, °C-A</w:t>
            </w:r>
          </w:p>
        </w:tc>
        <w:tc>
          <w:tcPr>
            <w:tcW w:w="1327" w:type="dxa"/>
            <w:tcBorders>
              <w:top w:val="nil"/>
              <w:left w:val="nil"/>
              <w:bottom w:val="single" w:sz="12" w:space="0" w:color="auto"/>
              <w:right w:val="single" w:sz="18" w:space="0" w:color="000000"/>
            </w:tcBorders>
            <w:vAlign w:val="center"/>
            <w:hideMark/>
          </w:tcPr>
          <w:p w14:paraId="63204F06" w14:textId="77777777" w:rsidR="00F67C96" w:rsidRPr="00D1605A" w:rsidRDefault="00F67C96" w:rsidP="00F67C96">
            <w:pPr>
              <w:suppressAutoHyphens w:val="0"/>
              <w:kinsoku/>
              <w:overflowPunct/>
              <w:autoSpaceDE/>
              <w:autoSpaceDN/>
              <w:adjustRightInd/>
              <w:snapToGrid/>
              <w:spacing w:before="40" w:after="40" w:line="220" w:lineRule="atLeast"/>
              <w:ind w:left="57" w:right="57"/>
              <w:jc w:val="center"/>
              <w:rPr>
                <w:rFonts w:asciiTheme="majorBidi" w:eastAsia="Times New Roman" w:hAnsiTheme="majorBidi" w:cstheme="majorBidi"/>
                <w:sz w:val="18"/>
                <w:szCs w:val="18"/>
              </w:rPr>
            </w:pPr>
            <w:r>
              <w:rPr>
                <w:lang w:val="fr-FR"/>
              </w:rPr>
              <w:t xml:space="preserve">A/O, AGL </w:t>
            </w:r>
            <w:r w:rsidR="002F0C51">
              <w:rPr>
                <w:lang w:val="fr-FR"/>
              </w:rPr>
              <w:br/>
            </w:r>
            <w:r>
              <w:rPr>
                <w:lang w:val="fr-FR"/>
              </w:rPr>
              <w:t xml:space="preserve">°C-FP, °C-A, </w:t>
            </w:r>
            <w:r w:rsidR="002F0C51">
              <w:rPr>
                <w:lang w:val="fr-FR"/>
              </w:rPr>
              <w:br/>
            </w:r>
            <w:r>
              <w:rPr>
                <w:lang w:val="fr-FR"/>
              </w:rPr>
              <w:t>SHT, IA</w:t>
            </w:r>
          </w:p>
        </w:tc>
        <w:tc>
          <w:tcPr>
            <w:tcW w:w="1260" w:type="dxa"/>
            <w:tcBorders>
              <w:top w:val="nil"/>
              <w:left w:val="nil"/>
              <w:bottom w:val="single" w:sz="12" w:space="0" w:color="auto"/>
              <w:right w:val="single" w:sz="12" w:space="0" w:color="auto"/>
            </w:tcBorders>
            <w:vAlign w:val="center"/>
            <w:hideMark/>
          </w:tcPr>
          <w:p w14:paraId="69847D48" w14:textId="77777777" w:rsidR="00F67C96" w:rsidRPr="00D1605A" w:rsidRDefault="00F67C96" w:rsidP="00F67C96">
            <w:pPr>
              <w:tabs>
                <w:tab w:val="left" w:pos="265"/>
              </w:tabs>
              <w:suppressAutoHyphens w:val="0"/>
              <w:kinsoku/>
              <w:overflowPunct/>
              <w:autoSpaceDE/>
              <w:autoSpaceDN/>
              <w:adjustRightInd/>
              <w:snapToGrid/>
              <w:spacing w:before="40" w:after="40" w:line="220" w:lineRule="atLeast"/>
              <w:ind w:left="57" w:right="57" w:hanging="21"/>
              <w:jc w:val="center"/>
              <w:rPr>
                <w:rFonts w:asciiTheme="majorBidi" w:eastAsia="Times New Roman" w:hAnsiTheme="majorBidi" w:cstheme="majorBidi"/>
                <w:sz w:val="18"/>
                <w:szCs w:val="18"/>
              </w:rPr>
            </w:pPr>
            <w:r>
              <w:rPr>
                <w:lang w:val="fr-FR"/>
              </w:rPr>
              <w:tab/>
              <w:t xml:space="preserve">Analyse immédiate, A/O, Ω-3, </w:t>
            </w:r>
            <w:r w:rsidR="002F0C51">
              <w:rPr>
                <w:lang w:val="fr-FR"/>
              </w:rPr>
              <w:br/>
            </w:r>
            <w:r>
              <w:rPr>
                <w:lang w:val="fr-FR"/>
              </w:rPr>
              <w:t xml:space="preserve">°C-FP, </w:t>
            </w:r>
            <w:r w:rsidR="002F0C51">
              <w:rPr>
                <w:lang w:val="fr-FR"/>
              </w:rPr>
              <w:br/>
            </w:r>
            <w:r>
              <w:rPr>
                <w:lang w:val="fr-FR"/>
              </w:rPr>
              <w:t xml:space="preserve">°C-A </w:t>
            </w:r>
            <w:r w:rsidR="002F0C51">
              <w:rPr>
                <w:lang w:val="fr-FR"/>
              </w:rPr>
              <w:br/>
            </w:r>
            <w:r>
              <w:rPr>
                <w:lang w:val="fr-FR"/>
              </w:rPr>
              <w:t>SHT, IA</w:t>
            </w:r>
          </w:p>
        </w:tc>
      </w:tr>
    </w:tbl>
    <w:p w14:paraId="652737D2" w14:textId="77777777" w:rsidR="00F67C96" w:rsidRPr="00CC52D7" w:rsidRDefault="00F67C96" w:rsidP="00F67C96">
      <w:pPr>
        <w:pStyle w:val="SingleTxtG"/>
        <w:spacing w:before="120" w:after="0"/>
        <w:ind w:firstLine="170"/>
        <w:jc w:val="left"/>
        <w:rPr>
          <w:sz w:val="18"/>
          <w:szCs w:val="18"/>
          <w:lang w:val="fr-FR"/>
        </w:rPr>
      </w:pPr>
      <w:r w:rsidRPr="00CC52D7">
        <w:rPr>
          <w:sz w:val="18"/>
          <w:szCs w:val="18"/>
          <w:lang w:val="fr-FR"/>
        </w:rPr>
        <w:lastRenderedPageBreak/>
        <w:t>A/O : Résidu d</w:t>
      </w:r>
      <w:r>
        <w:rPr>
          <w:sz w:val="18"/>
          <w:szCs w:val="18"/>
          <w:lang w:val="fr-FR"/>
        </w:rPr>
        <w:t>’</w:t>
      </w:r>
      <w:r w:rsidRPr="00CC52D7">
        <w:rPr>
          <w:sz w:val="18"/>
          <w:szCs w:val="18"/>
          <w:lang w:val="fr-FR"/>
        </w:rPr>
        <w:t>antioxydant (tocophérol).</w:t>
      </w:r>
    </w:p>
    <w:p w14:paraId="2C954E7A" w14:textId="77777777" w:rsidR="00F67C96" w:rsidRPr="00CC52D7" w:rsidRDefault="00F67C96" w:rsidP="00F67C96">
      <w:pPr>
        <w:pStyle w:val="SingleTxtG"/>
        <w:spacing w:after="0"/>
        <w:ind w:firstLine="170"/>
        <w:jc w:val="left"/>
        <w:rPr>
          <w:sz w:val="18"/>
          <w:szCs w:val="18"/>
          <w:lang w:val="fr-FR"/>
        </w:rPr>
      </w:pPr>
      <w:r w:rsidRPr="00CC52D7">
        <w:rPr>
          <w:sz w:val="18"/>
          <w:szCs w:val="18"/>
          <w:lang w:val="fr-FR"/>
        </w:rPr>
        <w:t>AGL = Acides gras libres.</w:t>
      </w:r>
    </w:p>
    <w:p w14:paraId="76F07A54" w14:textId="77777777" w:rsidR="00F67C96" w:rsidRPr="00CC52D7" w:rsidRDefault="00F67C96" w:rsidP="00F67C96">
      <w:pPr>
        <w:pStyle w:val="SingleTxtG"/>
        <w:spacing w:after="0"/>
        <w:ind w:firstLine="170"/>
        <w:jc w:val="left"/>
        <w:rPr>
          <w:sz w:val="18"/>
          <w:szCs w:val="18"/>
          <w:lang w:val="fr-FR"/>
        </w:rPr>
      </w:pPr>
      <w:r w:rsidRPr="00CC52D7">
        <w:rPr>
          <w:sz w:val="18"/>
          <w:szCs w:val="18"/>
          <w:lang w:val="fr-FR"/>
        </w:rPr>
        <w:t>Ω-3 : Concentration en oméga-3 à longue chaîne (EPA et ADH).</w:t>
      </w:r>
    </w:p>
    <w:p w14:paraId="0291EAD2" w14:textId="77777777" w:rsidR="00F67C96" w:rsidRPr="00CC52D7" w:rsidRDefault="00F67C96" w:rsidP="00F67C96">
      <w:pPr>
        <w:pStyle w:val="SingleTxtG"/>
        <w:spacing w:after="0"/>
        <w:ind w:firstLine="170"/>
        <w:jc w:val="left"/>
        <w:rPr>
          <w:sz w:val="18"/>
          <w:szCs w:val="18"/>
          <w:lang w:val="fr-FR"/>
        </w:rPr>
      </w:pPr>
      <w:r w:rsidRPr="00CC52D7">
        <w:rPr>
          <w:sz w:val="18"/>
          <w:szCs w:val="18"/>
          <w:lang w:val="fr-FR"/>
        </w:rPr>
        <w:t>°C-FP : Température de la farine de poisson.</w:t>
      </w:r>
    </w:p>
    <w:p w14:paraId="32EA28F8" w14:textId="77777777" w:rsidR="00F67C96" w:rsidRPr="00CC52D7" w:rsidRDefault="00F67C96" w:rsidP="00F67C96">
      <w:pPr>
        <w:pStyle w:val="SingleTxtG"/>
        <w:spacing w:after="0"/>
        <w:ind w:firstLine="170"/>
        <w:jc w:val="left"/>
        <w:rPr>
          <w:sz w:val="18"/>
          <w:szCs w:val="18"/>
          <w:bdr w:val="none" w:sz="0" w:space="0" w:color="auto" w:frame="1"/>
          <w:lang w:val="fr-FR"/>
        </w:rPr>
      </w:pPr>
      <w:r w:rsidRPr="00CC52D7">
        <w:rPr>
          <w:sz w:val="18"/>
          <w:szCs w:val="18"/>
          <w:lang w:val="fr-FR"/>
        </w:rPr>
        <w:t>°C-A : Température ambiante.</w:t>
      </w:r>
    </w:p>
    <w:p w14:paraId="5C329227" w14:textId="77777777" w:rsidR="00F67C96" w:rsidRPr="00CC52D7" w:rsidRDefault="00F67C96" w:rsidP="00F67C96">
      <w:pPr>
        <w:pStyle w:val="SingleTxtG"/>
        <w:spacing w:after="240"/>
        <w:ind w:firstLine="170"/>
        <w:jc w:val="left"/>
        <w:rPr>
          <w:sz w:val="18"/>
          <w:szCs w:val="18"/>
          <w:lang w:val="fr-FR"/>
        </w:rPr>
      </w:pPr>
      <w:r w:rsidRPr="00CC52D7">
        <w:rPr>
          <w:sz w:val="18"/>
          <w:szCs w:val="18"/>
          <w:lang w:val="fr-FR"/>
        </w:rPr>
        <w:t>IA = Indice d</w:t>
      </w:r>
      <w:r>
        <w:rPr>
          <w:sz w:val="18"/>
          <w:szCs w:val="18"/>
          <w:lang w:val="fr-FR"/>
        </w:rPr>
        <w:t>’</w:t>
      </w:r>
      <w:r w:rsidRPr="00CC52D7">
        <w:rPr>
          <w:sz w:val="18"/>
          <w:szCs w:val="18"/>
          <w:lang w:val="fr-FR"/>
        </w:rPr>
        <w:t>anisidine.</w:t>
      </w:r>
    </w:p>
    <w:p w14:paraId="1B1DCDC4" w14:textId="77777777" w:rsidR="00F67C96" w:rsidRPr="00CC21B9" w:rsidRDefault="00F67C96" w:rsidP="00F67C96">
      <w:pPr>
        <w:pStyle w:val="SingleTxtG"/>
        <w:rPr>
          <w:bdr w:val="none" w:sz="0" w:space="0" w:color="auto" w:frame="1"/>
          <w:lang w:val="fr-FR"/>
        </w:rPr>
      </w:pPr>
      <w:r>
        <w:rPr>
          <w:lang w:val="fr-FR"/>
        </w:rPr>
        <w:t>12.</w:t>
      </w:r>
      <w:r>
        <w:rPr>
          <w:lang w:val="fr-FR"/>
        </w:rPr>
        <w:tab/>
        <w:t>Les doses de traitement fourniront des données comparatives à différents niveaux d’inclusion. Elles seront calculées pour fournir des informations sur les concentrations résiduelles efficaces d’antioxydant à 12 mois d’échantillonnage et seront ainsi représentatives des conditions de stockage et d’expédition.</w:t>
      </w:r>
    </w:p>
    <w:p w14:paraId="616BABBF" w14:textId="77777777" w:rsidR="00F67C96" w:rsidRDefault="00F67C96" w:rsidP="00F67C96">
      <w:pPr>
        <w:pStyle w:val="SingleTxtG"/>
      </w:pPr>
      <w:r>
        <w:rPr>
          <w:lang w:val="fr-FR"/>
        </w:rPr>
        <w:t>13.</w:t>
      </w:r>
      <w:r>
        <w:rPr>
          <w:lang w:val="fr-FR"/>
        </w:rPr>
        <w:tab/>
        <w:t>Au moment de leur prélèvement, les échantillons seront regroupés et analysés en fonction de la dose de traitement et de la taille du conteneur. Les traitements, c’est-à-dire les concentrations d’antioxydant, seront gérés séparément.</w:t>
      </w:r>
    </w:p>
    <w:p w14:paraId="7AA8AC87" w14:textId="77777777" w:rsidR="00446FE5" w:rsidRPr="00F67C96" w:rsidRDefault="00F67C96" w:rsidP="00F67C96">
      <w:pPr>
        <w:pStyle w:val="SingleTxtG"/>
        <w:spacing w:before="240" w:after="0"/>
        <w:jc w:val="center"/>
        <w:rPr>
          <w:u w:val="single"/>
        </w:rPr>
      </w:pPr>
      <w:r>
        <w:rPr>
          <w:u w:val="single"/>
        </w:rPr>
        <w:tab/>
      </w:r>
      <w:r>
        <w:rPr>
          <w:u w:val="single"/>
        </w:rPr>
        <w:tab/>
      </w:r>
      <w:r>
        <w:rPr>
          <w:u w:val="single"/>
        </w:rPr>
        <w:tab/>
      </w:r>
    </w:p>
    <w:sectPr w:rsidR="00446FE5" w:rsidRPr="00F67C96" w:rsidSect="00F67C96">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70E717" w14:textId="77777777" w:rsidR="00D41E68" w:rsidRDefault="00D41E68" w:rsidP="00F95C08">
      <w:pPr>
        <w:spacing w:line="240" w:lineRule="auto"/>
      </w:pPr>
    </w:p>
  </w:endnote>
  <w:endnote w:type="continuationSeparator" w:id="0">
    <w:p w14:paraId="2878CD5E" w14:textId="77777777" w:rsidR="00D41E68" w:rsidRPr="00AC3823" w:rsidRDefault="00D41E68" w:rsidP="00AC3823">
      <w:pPr>
        <w:pStyle w:val="Footer"/>
      </w:pPr>
    </w:p>
  </w:endnote>
  <w:endnote w:type="continuationNotice" w:id="1">
    <w:p w14:paraId="5AC1B970" w14:textId="77777777" w:rsidR="00D41E68" w:rsidRDefault="00D41E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F9506" w14:textId="77777777" w:rsidR="00F67C96" w:rsidRPr="00F67C96" w:rsidRDefault="00F67C96" w:rsidP="00F67C96">
    <w:pPr>
      <w:pStyle w:val="Footer"/>
      <w:tabs>
        <w:tab w:val="right" w:pos="9638"/>
      </w:tabs>
    </w:pPr>
    <w:r w:rsidRPr="00F67C96">
      <w:rPr>
        <w:b/>
        <w:sz w:val="18"/>
      </w:rPr>
      <w:fldChar w:fldCharType="begin"/>
    </w:r>
    <w:r w:rsidRPr="00F67C96">
      <w:rPr>
        <w:b/>
        <w:sz w:val="18"/>
      </w:rPr>
      <w:instrText xml:space="preserve"> PAGE  \* MERGEFORMAT </w:instrText>
    </w:r>
    <w:r w:rsidRPr="00F67C96">
      <w:rPr>
        <w:b/>
        <w:sz w:val="18"/>
      </w:rPr>
      <w:fldChar w:fldCharType="separate"/>
    </w:r>
    <w:r w:rsidRPr="00F67C96">
      <w:rPr>
        <w:b/>
        <w:noProof/>
        <w:sz w:val="18"/>
      </w:rPr>
      <w:t>2</w:t>
    </w:r>
    <w:r w:rsidRPr="00F67C96">
      <w:rPr>
        <w:b/>
        <w:sz w:val="18"/>
      </w:rPr>
      <w:fldChar w:fldCharType="end"/>
    </w:r>
    <w:r>
      <w:rPr>
        <w:b/>
        <w:sz w:val="18"/>
      </w:rPr>
      <w:tab/>
    </w:r>
    <w:r>
      <w:t>GE.20-12200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82425" w14:textId="77777777" w:rsidR="00F67C96" w:rsidRPr="00F67C96" w:rsidRDefault="00F67C96" w:rsidP="00F67C96">
    <w:pPr>
      <w:pStyle w:val="Footer"/>
      <w:tabs>
        <w:tab w:val="right" w:pos="9638"/>
      </w:tabs>
      <w:rPr>
        <w:b/>
        <w:sz w:val="18"/>
      </w:rPr>
    </w:pPr>
    <w:r>
      <w:t>GE.20-12200</w:t>
    </w:r>
    <w:r>
      <w:tab/>
    </w:r>
    <w:r w:rsidRPr="00F67C96">
      <w:rPr>
        <w:b/>
        <w:sz w:val="18"/>
      </w:rPr>
      <w:fldChar w:fldCharType="begin"/>
    </w:r>
    <w:r w:rsidRPr="00F67C96">
      <w:rPr>
        <w:b/>
        <w:sz w:val="18"/>
      </w:rPr>
      <w:instrText xml:space="preserve"> PAGE  \* MERGEFORMAT </w:instrText>
    </w:r>
    <w:r w:rsidRPr="00F67C96">
      <w:rPr>
        <w:b/>
        <w:sz w:val="18"/>
      </w:rPr>
      <w:fldChar w:fldCharType="separate"/>
    </w:r>
    <w:r w:rsidRPr="00F67C96">
      <w:rPr>
        <w:b/>
        <w:noProof/>
        <w:sz w:val="18"/>
      </w:rPr>
      <w:t>3</w:t>
    </w:r>
    <w:r w:rsidRPr="00F67C9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DB518" w14:textId="77777777" w:rsidR="0068456F" w:rsidRPr="00F67C96" w:rsidRDefault="00F67C96" w:rsidP="00F67C96">
    <w:pPr>
      <w:pStyle w:val="Footer"/>
      <w:spacing w:before="120"/>
      <w:rPr>
        <w:sz w:val="20"/>
      </w:rPr>
    </w:pPr>
    <w:r>
      <w:rPr>
        <w:sz w:val="20"/>
      </w:rPr>
      <w:t>GE.</w:t>
    </w:r>
    <w:r w:rsidR="0068456F">
      <w:rPr>
        <w:noProof/>
        <w:lang w:eastAsia="fr-CH"/>
      </w:rPr>
      <w:drawing>
        <wp:anchor distT="0" distB="0" distL="114300" distR="114300" simplePos="0" relativeHeight="251657216" behindDoc="0" locked="0" layoutInCell="1" allowOverlap="0" wp14:anchorId="3646874E" wp14:editId="4AC17CB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20-12200  (F)    141020    151020</w:t>
    </w:r>
    <w:r>
      <w:rPr>
        <w:sz w:val="20"/>
      </w:rPr>
      <w:br/>
    </w:r>
    <w:r w:rsidRPr="00F67C96">
      <w:rPr>
        <w:rFonts w:ascii="C39T30Lfz" w:hAnsi="C39T30Lfz"/>
        <w:sz w:val="56"/>
      </w:rPr>
      <w:t>*2012200*</w:t>
    </w:r>
    <w:r>
      <w:rPr>
        <w:noProof/>
        <w:sz w:val="20"/>
      </w:rPr>
      <w:drawing>
        <wp:anchor distT="0" distB="0" distL="114300" distR="114300" simplePos="0" relativeHeight="251658240" behindDoc="0" locked="0" layoutInCell="1" allowOverlap="1" wp14:anchorId="7BDB9B2D" wp14:editId="32DD0DD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252F1" w14:textId="77777777" w:rsidR="00D41E68" w:rsidRPr="00AC3823" w:rsidRDefault="00D41E68" w:rsidP="00AC3823">
      <w:pPr>
        <w:pStyle w:val="Footer"/>
        <w:tabs>
          <w:tab w:val="right" w:pos="2155"/>
        </w:tabs>
        <w:spacing w:after="80" w:line="240" w:lineRule="atLeast"/>
        <w:ind w:left="680"/>
        <w:rPr>
          <w:u w:val="single"/>
        </w:rPr>
      </w:pPr>
      <w:r>
        <w:rPr>
          <w:u w:val="single"/>
        </w:rPr>
        <w:tab/>
      </w:r>
    </w:p>
  </w:footnote>
  <w:footnote w:type="continuationSeparator" w:id="0">
    <w:p w14:paraId="41B34723" w14:textId="77777777" w:rsidR="00D41E68" w:rsidRPr="00AC3823" w:rsidRDefault="00D41E68" w:rsidP="00AC3823">
      <w:pPr>
        <w:pStyle w:val="Footer"/>
        <w:tabs>
          <w:tab w:val="right" w:pos="2155"/>
        </w:tabs>
        <w:spacing w:after="80" w:line="240" w:lineRule="atLeast"/>
        <w:ind w:left="680"/>
        <w:rPr>
          <w:u w:val="single"/>
        </w:rPr>
      </w:pPr>
      <w:r>
        <w:rPr>
          <w:u w:val="single"/>
        </w:rPr>
        <w:tab/>
      </w:r>
    </w:p>
  </w:footnote>
  <w:footnote w:type="continuationNotice" w:id="1">
    <w:p w14:paraId="0A197445" w14:textId="77777777" w:rsidR="00D41E68" w:rsidRPr="00AC3823" w:rsidRDefault="00D41E68">
      <w:pPr>
        <w:spacing w:line="240" w:lineRule="auto"/>
        <w:rPr>
          <w:sz w:val="2"/>
          <w:szCs w:val="2"/>
        </w:rPr>
      </w:pPr>
    </w:p>
  </w:footnote>
  <w:footnote w:id="2">
    <w:p w14:paraId="65692B73" w14:textId="77777777" w:rsidR="00F67C96" w:rsidRPr="00F67C96" w:rsidRDefault="00F67C96">
      <w:pPr>
        <w:pStyle w:val="FootnoteText"/>
      </w:pPr>
      <w:r>
        <w:rPr>
          <w:rStyle w:val="FootnoteReference"/>
        </w:rPr>
        <w:tab/>
      </w:r>
      <w:r w:rsidRPr="00F67C96">
        <w:rPr>
          <w:rStyle w:val="FootnoteReference"/>
          <w:sz w:val="20"/>
          <w:vertAlign w:val="baseline"/>
        </w:rPr>
        <w:t>*</w:t>
      </w:r>
      <w:r>
        <w:rPr>
          <w:rStyle w:val="FootnoteReference"/>
          <w:sz w:val="20"/>
          <w:vertAlign w:val="baseline"/>
        </w:rPr>
        <w:tab/>
      </w:r>
      <w:r>
        <w:rPr>
          <w:lang w:val="fr-FR"/>
        </w:rPr>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1FE47" w14:textId="77777777" w:rsidR="00F67C96" w:rsidRPr="00F67C96" w:rsidRDefault="00C75E02">
    <w:pPr>
      <w:pStyle w:val="Header"/>
    </w:pPr>
    <w:r>
      <w:fldChar w:fldCharType="begin"/>
    </w:r>
    <w:r>
      <w:instrText xml:space="preserve"> TITLE  \* MERGEFORMAT </w:instrText>
    </w:r>
    <w:r>
      <w:fldChar w:fldCharType="separate"/>
    </w:r>
    <w:r w:rsidR="00F67C96">
      <w:t>ST/SG/AC.10/C.3/2020/67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9C809" w14:textId="77777777" w:rsidR="00F67C96" w:rsidRPr="00F67C96" w:rsidRDefault="00C75E02" w:rsidP="00F67C96">
    <w:pPr>
      <w:pStyle w:val="Header"/>
      <w:jc w:val="right"/>
    </w:pPr>
    <w:r>
      <w:fldChar w:fldCharType="begin"/>
    </w:r>
    <w:r>
      <w:instrText xml:space="preserve"> TITLE  \* MERGEFORMAT </w:instrText>
    </w:r>
    <w:r>
      <w:fldChar w:fldCharType="separate"/>
    </w:r>
    <w:r w:rsidR="00F67C96">
      <w:t>ST/SG/AC.10/C.3/2020/67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E68"/>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D7C93"/>
    <w:rsid w:val="002F0C51"/>
    <w:rsid w:val="00441C3B"/>
    <w:rsid w:val="00446FE5"/>
    <w:rsid w:val="00452396"/>
    <w:rsid w:val="004E468C"/>
    <w:rsid w:val="005505B7"/>
    <w:rsid w:val="00573BE5"/>
    <w:rsid w:val="00584DC4"/>
    <w:rsid w:val="00586ED3"/>
    <w:rsid w:val="00596AA9"/>
    <w:rsid w:val="0068456F"/>
    <w:rsid w:val="0071601D"/>
    <w:rsid w:val="007A62E6"/>
    <w:rsid w:val="0080684C"/>
    <w:rsid w:val="00871C75"/>
    <w:rsid w:val="008776DC"/>
    <w:rsid w:val="008B40CD"/>
    <w:rsid w:val="009705C8"/>
    <w:rsid w:val="009C1CF4"/>
    <w:rsid w:val="00A30353"/>
    <w:rsid w:val="00AC3823"/>
    <w:rsid w:val="00AE323C"/>
    <w:rsid w:val="00B00181"/>
    <w:rsid w:val="00B00B0D"/>
    <w:rsid w:val="00B765F7"/>
    <w:rsid w:val="00BA0CA9"/>
    <w:rsid w:val="00C02897"/>
    <w:rsid w:val="00C75E02"/>
    <w:rsid w:val="00D152F7"/>
    <w:rsid w:val="00D3439C"/>
    <w:rsid w:val="00D41E68"/>
    <w:rsid w:val="00DB1831"/>
    <w:rsid w:val="00DD3BFD"/>
    <w:rsid w:val="00DF6678"/>
    <w:rsid w:val="00EF2E22"/>
    <w:rsid w:val="00F01738"/>
    <w:rsid w:val="00F660DF"/>
    <w:rsid w:val="00F67C96"/>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2FC77D"/>
  <w15:docId w15:val="{5684174A-2437-4E31-A104-F4C692E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uiPriority w:val="99"/>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F67C96"/>
    <w:rPr>
      <w:rFonts w:ascii="Times New Roman" w:eastAsiaTheme="minorHAnsi" w:hAnsi="Times New Roman" w:cs="Times New Roman"/>
      <w:b/>
      <w:sz w:val="28"/>
      <w:szCs w:val="20"/>
      <w:lang w:eastAsia="en-US"/>
    </w:rPr>
  </w:style>
  <w:style w:type="character" w:customStyle="1" w:styleId="H1GChar">
    <w:name w:val="_ H_1_G Char"/>
    <w:link w:val="H1G"/>
    <w:locked/>
    <w:rsid w:val="00F67C96"/>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DE855E-3615-432B-9E50-803FADA4C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04818-7039-4A37-BB1A-C9A511EB232C}">
  <ds:schemaRefs>
    <ds:schemaRef ds:uri="http://schemas.microsoft.com/sharepoint/v3/contenttype/forms"/>
  </ds:schemaRefs>
</ds:datastoreItem>
</file>

<file path=customXml/itemProps3.xml><?xml version="1.0" encoding="utf-8"?>
<ds:datastoreItem xmlns:ds="http://schemas.openxmlformats.org/officeDocument/2006/customXml" ds:itemID="{41A107A4-DE49-4414-BEFC-93F539CF2A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5569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ST/SG/AC.10/C.3/2020/67</vt:lpstr>
    </vt:vector>
  </TitlesOfParts>
  <Company>DCM</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ST/SG/AC.10/C.3/2020/67</dc:title>
  <dc:subject/>
  <dc:creator>Sandrine CLERE</dc:creator>
  <cp:keywords/>
  <cp:lastModifiedBy>Laurence Berthet</cp:lastModifiedBy>
  <cp:revision>2</cp:revision>
  <cp:lastPrinted>2014-05-14T10:59:00Z</cp:lastPrinted>
  <dcterms:created xsi:type="dcterms:W3CDTF">2020-10-15T07:59:00Z</dcterms:created>
  <dcterms:modified xsi:type="dcterms:W3CDTF">2020-10-15T07:59:00Z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