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0B29E9" w14:paraId="24AD21C9" w14:textId="77777777" w:rsidTr="006476E1">
        <w:trPr>
          <w:trHeight w:val="851"/>
        </w:trPr>
        <w:tc>
          <w:tcPr>
            <w:tcW w:w="1259" w:type="dxa"/>
            <w:tcBorders>
              <w:top w:val="nil"/>
              <w:left w:val="nil"/>
              <w:bottom w:val="single" w:sz="4" w:space="0" w:color="auto"/>
              <w:right w:val="nil"/>
            </w:tcBorders>
          </w:tcPr>
          <w:p w14:paraId="2B559380"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0D085E7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51D6B61" w14:textId="4CD43E12" w:rsidR="00E52109" w:rsidRPr="000B29E9" w:rsidRDefault="00750F56" w:rsidP="00750F56">
            <w:pPr>
              <w:suppressAutoHyphens w:val="0"/>
              <w:jc w:val="right"/>
              <w:rPr>
                <w:highlight w:val="yellow"/>
              </w:rPr>
            </w:pPr>
            <w:r w:rsidRPr="00B34E88">
              <w:rPr>
                <w:sz w:val="40"/>
              </w:rPr>
              <w:t>ST</w:t>
            </w:r>
            <w:r w:rsidRPr="00B34E88">
              <w:t>/SG/AC.10/C.3/2020/</w:t>
            </w:r>
            <w:r w:rsidR="00B34E88">
              <w:t>61</w:t>
            </w:r>
          </w:p>
        </w:tc>
      </w:tr>
      <w:tr w:rsidR="00E52109" w14:paraId="3226A331" w14:textId="77777777" w:rsidTr="006476E1">
        <w:trPr>
          <w:trHeight w:val="2835"/>
        </w:trPr>
        <w:tc>
          <w:tcPr>
            <w:tcW w:w="1259" w:type="dxa"/>
            <w:tcBorders>
              <w:top w:val="single" w:sz="4" w:space="0" w:color="auto"/>
              <w:left w:val="nil"/>
              <w:bottom w:val="single" w:sz="12" w:space="0" w:color="auto"/>
              <w:right w:val="nil"/>
            </w:tcBorders>
          </w:tcPr>
          <w:p w14:paraId="20F5E2AE" w14:textId="77777777" w:rsidR="00E52109" w:rsidRDefault="00E52109" w:rsidP="006476E1">
            <w:pPr>
              <w:spacing w:before="120"/>
              <w:jc w:val="center"/>
            </w:pPr>
            <w:r>
              <w:rPr>
                <w:noProof/>
                <w:lang w:val="fr-CH" w:eastAsia="fr-CH"/>
              </w:rPr>
              <w:drawing>
                <wp:inline distT="0" distB="0" distL="0" distR="0" wp14:anchorId="4B732D39" wp14:editId="1C9ACC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405EBB4" w14:textId="77777777" w:rsidR="00E52109" w:rsidRPr="00345148" w:rsidRDefault="00D94B05" w:rsidP="006476E1">
            <w:pPr>
              <w:spacing w:before="120" w:line="420" w:lineRule="exact"/>
              <w:rPr>
                <w:b/>
                <w:sz w:val="40"/>
                <w:szCs w:val="40"/>
              </w:rPr>
            </w:pPr>
            <w:r w:rsidRPr="00345148">
              <w:rPr>
                <w:b/>
                <w:sz w:val="40"/>
                <w:szCs w:val="40"/>
              </w:rPr>
              <w:t>Secretariat</w:t>
            </w:r>
          </w:p>
        </w:tc>
        <w:tc>
          <w:tcPr>
            <w:tcW w:w="2930" w:type="dxa"/>
            <w:tcBorders>
              <w:top w:val="single" w:sz="4" w:space="0" w:color="auto"/>
              <w:left w:val="nil"/>
              <w:bottom w:val="single" w:sz="12" w:space="0" w:color="auto"/>
              <w:right w:val="nil"/>
            </w:tcBorders>
          </w:tcPr>
          <w:p w14:paraId="42301E99" w14:textId="77777777" w:rsidR="00D94B05" w:rsidRPr="00345148" w:rsidRDefault="00750F56" w:rsidP="00750F56">
            <w:pPr>
              <w:suppressAutoHyphens w:val="0"/>
              <w:spacing w:before="240" w:line="240" w:lineRule="exact"/>
            </w:pPr>
            <w:r w:rsidRPr="00345148">
              <w:t>Distr.: General</w:t>
            </w:r>
          </w:p>
          <w:p w14:paraId="4B12B4FD" w14:textId="2B2FE453" w:rsidR="00750F56" w:rsidRPr="00345148" w:rsidRDefault="003A5333" w:rsidP="00750F56">
            <w:pPr>
              <w:suppressAutoHyphens w:val="0"/>
              <w:spacing w:line="240" w:lineRule="exact"/>
            </w:pPr>
            <w:r>
              <w:t>4</w:t>
            </w:r>
            <w:r w:rsidR="00B34E88">
              <w:t xml:space="preserve"> </w:t>
            </w:r>
            <w:r>
              <w:t>September</w:t>
            </w:r>
            <w:r w:rsidR="00750F56" w:rsidRPr="00B34E88">
              <w:t xml:space="preserve"> 2020</w:t>
            </w:r>
          </w:p>
          <w:p w14:paraId="27B62CD9" w14:textId="77777777" w:rsidR="00750F56" w:rsidRPr="00345148" w:rsidRDefault="00750F56" w:rsidP="00750F56">
            <w:pPr>
              <w:suppressAutoHyphens w:val="0"/>
              <w:spacing w:line="240" w:lineRule="exact"/>
            </w:pPr>
          </w:p>
          <w:p w14:paraId="12E339A1" w14:textId="77777777" w:rsidR="00750F56" w:rsidRPr="00345148" w:rsidRDefault="00750F56" w:rsidP="00750F56">
            <w:pPr>
              <w:suppressAutoHyphens w:val="0"/>
              <w:spacing w:line="240" w:lineRule="exact"/>
            </w:pPr>
            <w:r w:rsidRPr="00345148">
              <w:t>Original: English</w:t>
            </w:r>
          </w:p>
        </w:tc>
      </w:tr>
    </w:tbl>
    <w:p w14:paraId="0F4F5024" w14:textId="77777777" w:rsidR="00493B59" w:rsidRPr="006500BA" w:rsidRDefault="00493B59" w:rsidP="00493B59">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0C23789" w14:textId="77777777" w:rsidR="00493B59" w:rsidRPr="006500BA" w:rsidRDefault="00493B59" w:rsidP="00493B59">
      <w:pPr>
        <w:spacing w:before="120"/>
        <w:rPr>
          <w:rFonts w:ascii="Helv" w:hAnsi="Helv" w:cs="Helv"/>
          <w:b/>
          <w:color w:val="000000"/>
        </w:rPr>
      </w:pPr>
      <w:r w:rsidRPr="006500BA">
        <w:rPr>
          <w:b/>
        </w:rPr>
        <w:t xml:space="preserve">Sub-Committee of Experts on the </w:t>
      </w:r>
      <w:r>
        <w:rPr>
          <w:b/>
        </w:rPr>
        <w:t>Transport of Dangerous Goods</w:t>
      </w:r>
    </w:p>
    <w:p w14:paraId="4B4220DE" w14:textId="77777777" w:rsidR="001010A5" w:rsidRPr="00BA09DE" w:rsidRDefault="001010A5" w:rsidP="001010A5">
      <w:pPr>
        <w:spacing w:before="120"/>
        <w:rPr>
          <w:b/>
        </w:rPr>
      </w:pPr>
      <w:r w:rsidRPr="00BA09DE">
        <w:rPr>
          <w:b/>
        </w:rPr>
        <w:t>Fifty-seventh session</w:t>
      </w:r>
    </w:p>
    <w:p w14:paraId="652BF4A6" w14:textId="2D3B1659" w:rsidR="00493B59" w:rsidRPr="00B30E4A" w:rsidRDefault="001010A5" w:rsidP="001010A5">
      <w:pPr>
        <w:rPr>
          <w:lang w:val="en-US"/>
        </w:rPr>
      </w:pPr>
      <w:r>
        <w:t>Geneva, 30</w:t>
      </w:r>
      <w:r w:rsidRPr="003A1B34">
        <w:t xml:space="preserve"> </w:t>
      </w:r>
      <w:r>
        <w:t>November-8</w:t>
      </w:r>
      <w:r w:rsidRPr="003A1B34">
        <w:t xml:space="preserve"> </w:t>
      </w:r>
      <w:r>
        <w:t>December</w:t>
      </w:r>
      <w:r w:rsidRPr="003A1B34">
        <w:t xml:space="preserve"> 2020</w:t>
      </w:r>
      <w:r w:rsidR="00493B59" w:rsidRPr="002A12A3">
        <w:rPr>
          <w:highlight w:val="yellow"/>
        </w:rPr>
        <w:br/>
      </w:r>
      <w:r w:rsidR="00493B59" w:rsidRPr="00B30E4A">
        <w:rPr>
          <w:lang w:val="en-US"/>
        </w:rPr>
        <w:t xml:space="preserve">Item </w:t>
      </w:r>
      <w:r w:rsidR="00B30E4A" w:rsidRPr="00B30E4A">
        <w:rPr>
          <w:lang w:val="en-US"/>
        </w:rPr>
        <w:t>3</w:t>
      </w:r>
      <w:r w:rsidR="00493B59" w:rsidRPr="00B30E4A">
        <w:rPr>
          <w:lang w:val="en-US"/>
        </w:rPr>
        <w:t xml:space="preserve"> of the provisional agenda</w:t>
      </w:r>
    </w:p>
    <w:p w14:paraId="5EAA1AE6" w14:textId="1A6B5B92" w:rsidR="0064259A" w:rsidRDefault="00B30E4A" w:rsidP="0064259A">
      <w:pPr>
        <w:rPr>
          <w:b/>
        </w:rPr>
      </w:pPr>
      <w:r w:rsidRPr="00B30E4A">
        <w:rPr>
          <w:b/>
        </w:rPr>
        <w:t>Listing, classification and packing</w:t>
      </w:r>
    </w:p>
    <w:p w14:paraId="22DBF7FB" w14:textId="3570448C" w:rsidR="00462C42" w:rsidRPr="00736CCC" w:rsidRDefault="00493B59" w:rsidP="00462C42">
      <w:pPr>
        <w:pStyle w:val="HChG"/>
      </w:pPr>
      <w:r>
        <w:tab/>
      </w:r>
      <w:r>
        <w:tab/>
      </w:r>
      <w:r w:rsidR="0064259A">
        <w:t>Clarification of the s</w:t>
      </w:r>
      <w:r w:rsidR="00462C42" w:rsidRPr="00736CCC">
        <w:t xml:space="preserve">cope of special provision </w:t>
      </w:r>
      <w:r w:rsidR="00462C42">
        <w:t>354</w:t>
      </w:r>
    </w:p>
    <w:p w14:paraId="6BC520F0" w14:textId="75C6A1B5" w:rsidR="00462C42" w:rsidRDefault="00462C42" w:rsidP="00462C42">
      <w:pPr>
        <w:pStyle w:val="H1G"/>
      </w:pPr>
      <w:r w:rsidRPr="00736CCC">
        <w:tab/>
      </w:r>
      <w:r w:rsidRPr="00736CCC">
        <w:tab/>
        <w:t xml:space="preserve">Transmitted by the expert from </w:t>
      </w:r>
      <w:r>
        <w:t>the Netherlands</w:t>
      </w:r>
      <w:r w:rsidR="00B34E88">
        <w:rPr>
          <w:rStyle w:val="FootnoteReference"/>
        </w:rPr>
        <w:footnoteReference w:id="2"/>
      </w:r>
    </w:p>
    <w:p w14:paraId="0A3A8F10" w14:textId="77777777" w:rsidR="00462C42" w:rsidRPr="00736CCC" w:rsidRDefault="00462C42" w:rsidP="00462C42">
      <w:pPr>
        <w:pStyle w:val="HChG"/>
      </w:pPr>
      <w:r w:rsidRPr="00736CCC">
        <w:tab/>
      </w:r>
      <w:r w:rsidRPr="00736CCC">
        <w:tab/>
        <w:t>Introduction</w:t>
      </w:r>
    </w:p>
    <w:p w14:paraId="038F077F" w14:textId="58449546" w:rsidR="00462C42" w:rsidRDefault="00CE6F8E" w:rsidP="00CE6F8E">
      <w:pPr>
        <w:pStyle w:val="SingleTxtG"/>
      </w:pPr>
      <w:r>
        <w:t xml:space="preserve">1. </w:t>
      </w:r>
      <w:r>
        <w:tab/>
      </w:r>
      <w:r w:rsidR="00EE4C69">
        <w:t xml:space="preserve">At the </w:t>
      </w:r>
      <w:r w:rsidR="00250989">
        <w:t xml:space="preserve">fifty-fifth, fifty-sixth </w:t>
      </w:r>
      <w:r w:rsidR="00F53B05">
        <w:t xml:space="preserve">session </w:t>
      </w:r>
      <w:r w:rsidR="00250989">
        <w:t xml:space="preserve">and </w:t>
      </w:r>
      <w:r w:rsidR="00F53B05" w:rsidRPr="00B30E4A">
        <w:t xml:space="preserve">the </w:t>
      </w:r>
      <w:r w:rsidR="00B30E4A" w:rsidRPr="00B30E4A">
        <w:t xml:space="preserve">online </w:t>
      </w:r>
      <w:r w:rsidR="00F53B05" w:rsidRPr="00B30E4A">
        <w:t>informal discussion in June/July</w:t>
      </w:r>
      <w:r w:rsidR="00250989" w:rsidRPr="00B30E4A">
        <w:t>,</w:t>
      </w:r>
      <w:r w:rsidR="00250989">
        <w:t xml:space="preserve"> the </w:t>
      </w:r>
      <w:r w:rsidR="000423B7">
        <w:t>TDG S</w:t>
      </w:r>
      <w:r w:rsidR="00250989">
        <w:t>ub-</w:t>
      </w:r>
      <w:r w:rsidR="000423B7">
        <w:t>C</w:t>
      </w:r>
      <w:r w:rsidR="00250989">
        <w:t xml:space="preserve">ommittee discussed the </w:t>
      </w:r>
      <w:r w:rsidR="00150D64">
        <w:t>request for a new UN number for</w:t>
      </w:r>
      <w:r w:rsidR="00250989">
        <w:t xml:space="preserve"> cobalt </w:t>
      </w:r>
      <w:proofErr w:type="spellStart"/>
      <w:r w:rsidR="00250989">
        <w:t>dihydroxide</w:t>
      </w:r>
      <w:proofErr w:type="spellEnd"/>
      <w:r w:rsidR="00250989">
        <w:t xml:space="preserve"> powder. This substance has been proposed to be classified as a </w:t>
      </w:r>
      <w:r w:rsidR="000423B7">
        <w:t>C</w:t>
      </w:r>
      <w:r w:rsidR="00250989">
        <w:t xml:space="preserve">lass 6.1 packing group I substance, based on its inhalation </w:t>
      </w:r>
      <w:r w:rsidR="00084D94">
        <w:t xml:space="preserve">toxicity </w:t>
      </w:r>
      <w:r w:rsidR="00250989" w:rsidRPr="00B42178">
        <w:t xml:space="preserve">properties (see </w:t>
      </w:r>
      <w:r w:rsidR="00B34E88">
        <w:t xml:space="preserve">informal </w:t>
      </w:r>
      <w:r w:rsidR="00250989" w:rsidRPr="00B42178">
        <w:t>documents INF.24</w:t>
      </w:r>
      <w:r w:rsidR="00B34E88">
        <w:t xml:space="preserve"> (55</w:t>
      </w:r>
      <w:r w:rsidR="00B34E88" w:rsidRPr="00B34E88">
        <w:rPr>
          <w:vertAlign w:val="superscript"/>
        </w:rPr>
        <w:t>th</w:t>
      </w:r>
      <w:r w:rsidR="00B34E88">
        <w:t xml:space="preserve"> session)</w:t>
      </w:r>
      <w:r w:rsidR="00250989" w:rsidRPr="00B42178">
        <w:t>, INF.19</w:t>
      </w:r>
      <w:r w:rsidR="00B34E88">
        <w:t xml:space="preserve"> (56</w:t>
      </w:r>
      <w:r w:rsidR="00B34E88" w:rsidRPr="00B34E88">
        <w:rPr>
          <w:vertAlign w:val="superscript"/>
        </w:rPr>
        <w:t>th</w:t>
      </w:r>
      <w:r w:rsidR="00B34E88">
        <w:t xml:space="preserve"> session)</w:t>
      </w:r>
      <w:r w:rsidR="00250989" w:rsidRPr="00B42178">
        <w:t>, INF.54</w:t>
      </w:r>
      <w:r w:rsidR="00B34E88">
        <w:t xml:space="preserve"> (56</w:t>
      </w:r>
      <w:r w:rsidR="00B34E88" w:rsidRPr="00B34E88">
        <w:rPr>
          <w:vertAlign w:val="superscript"/>
        </w:rPr>
        <w:t>th</w:t>
      </w:r>
      <w:r w:rsidR="00B34E88">
        <w:t xml:space="preserve"> session)</w:t>
      </w:r>
      <w:r w:rsidR="00150D64" w:rsidRPr="00B42178">
        <w:t>, ST/SG/AC.10/C.3/2020/21 and INF.5</w:t>
      </w:r>
      <w:r w:rsidR="00B34E88">
        <w:t xml:space="preserve"> (57</w:t>
      </w:r>
      <w:r w:rsidR="00B34E88" w:rsidRPr="00B34E88">
        <w:rPr>
          <w:vertAlign w:val="superscript"/>
        </w:rPr>
        <w:t>th</w:t>
      </w:r>
      <w:r w:rsidR="00B34E88">
        <w:t xml:space="preserve"> session)</w:t>
      </w:r>
      <w:r w:rsidR="00250989" w:rsidRPr="00B42178">
        <w:t xml:space="preserve">). </w:t>
      </w:r>
      <w:r w:rsidR="00177CC6" w:rsidRPr="00B42178">
        <w:t xml:space="preserve">The discussion </w:t>
      </w:r>
      <w:r w:rsidR="00150D64" w:rsidRPr="00B42178">
        <w:t>also focused on whether special provision 354 should be assigned to this new UN</w:t>
      </w:r>
      <w:r w:rsidR="00150D64">
        <w:t xml:space="preserve"> number.</w:t>
      </w:r>
      <w:r w:rsidR="00DA5396">
        <w:t xml:space="preserve"> </w:t>
      </w:r>
      <w:r w:rsidR="00EA4FF7">
        <w:rPr>
          <w:lang w:val="en-US"/>
        </w:rPr>
        <w:t>Special provision 354 reads: “This substance is toxic by inhalation.”.</w:t>
      </w:r>
    </w:p>
    <w:p w14:paraId="24C32290" w14:textId="4BE5F082" w:rsidR="008E6683" w:rsidRDefault="00C67A6B" w:rsidP="00FE1859">
      <w:pPr>
        <w:pStyle w:val="SingleTxtG"/>
      </w:pPr>
      <w:r>
        <w:t>2</w:t>
      </w:r>
      <w:r w:rsidR="0050679D">
        <w:t xml:space="preserve">. </w:t>
      </w:r>
      <w:r w:rsidR="0050679D">
        <w:tab/>
        <w:t xml:space="preserve">The intent of </w:t>
      </w:r>
      <w:r w:rsidR="0050679D">
        <w:rPr>
          <w:lang w:val="en-US"/>
        </w:rPr>
        <w:t>special provision 354</w:t>
      </w:r>
      <w:r w:rsidR="0050679D">
        <w:t xml:space="preserve"> </w:t>
      </w:r>
      <w:r w:rsidR="00935936">
        <w:t xml:space="preserve">is </w:t>
      </w:r>
      <w:r w:rsidR="0050679D">
        <w:t>to assign it to liquids th</w:t>
      </w:r>
      <w:r w:rsidR="0050679D" w:rsidRPr="00FE1859">
        <w:t>at meet the criteria of</w:t>
      </w:r>
      <w:r w:rsidR="00B30E4A">
        <w:t>:</w:t>
      </w:r>
      <w:r w:rsidR="0050679D" w:rsidRPr="00FE1859">
        <w:t xml:space="preserve"> </w:t>
      </w:r>
      <w:r w:rsidR="00B30E4A">
        <w:t>(</w:t>
      </w:r>
      <w:proofErr w:type="spellStart"/>
      <w:r w:rsidR="0050679D" w:rsidRPr="00FE1859">
        <w:rPr>
          <w:lang w:val="en-US"/>
        </w:rPr>
        <w:t>i</w:t>
      </w:r>
      <w:proofErr w:type="spellEnd"/>
      <w:r w:rsidR="0050679D" w:rsidRPr="00FE1859">
        <w:rPr>
          <w:lang w:val="en-US"/>
        </w:rPr>
        <w:t>)</w:t>
      </w:r>
      <w:r w:rsidR="0050679D" w:rsidRPr="00FE1859">
        <w:t xml:space="preserve"> </w:t>
      </w:r>
      <w:r w:rsidR="00FE1859" w:rsidRPr="00FE1859">
        <w:t>having an LC</w:t>
      </w:r>
      <w:r w:rsidR="00FE1859" w:rsidRPr="00FE1859">
        <w:rPr>
          <w:vertAlign w:val="subscript"/>
        </w:rPr>
        <w:t>50</w:t>
      </w:r>
      <w:r w:rsidR="00FE1859" w:rsidRPr="00FE1859">
        <w:t xml:space="preserve"> lower than or equal to 1000 ml/m</w:t>
      </w:r>
      <w:r w:rsidR="00FE1859" w:rsidRPr="00FE1859">
        <w:rPr>
          <w:vertAlign w:val="superscript"/>
        </w:rPr>
        <w:t xml:space="preserve">3 </w:t>
      </w:r>
      <w:r w:rsidR="00FE1859" w:rsidRPr="00FE1859">
        <w:t>and a saturated vapour concentration greater than or equal to 10 LC</w:t>
      </w:r>
      <w:r w:rsidR="00FE1859" w:rsidRPr="00FE1859">
        <w:rPr>
          <w:vertAlign w:val="subscript"/>
        </w:rPr>
        <w:t>50</w:t>
      </w:r>
      <w:r w:rsidR="00FE1859" w:rsidRPr="00FE1859">
        <w:t xml:space="preserve">, or </w:t>
      </w:r>
      <w:r w:rsidR="00B30E4A">
        <w:t>(</w:t>
      </w:r>
      <w:r w:rsidR="00FE1859" w:rsidRPr="00FE1859">
        <w:t>ii) having an LC</w:t>
      </w:r>
      <w:r w:rsidR="00FE1859" w:rsidRPr="00FE1859">
        <w:rPr>
          <w:vertAlign w:val="subscript"/>
        </w:rPr>
        <w:t>50</w:t>
      </w:r>
      <w:r w:rsidR="00FE1859" w:rsidRPr="00FE1859">
        <w:t xml:space="preserve"> lower than or equal to 200 ml/m</w:t>
      </w:r>
      <w:r w:rsidR="00FE1859" w:rsidRPr="00FE1859">
        <w:rPr>
          <w:vertAlign w:val="superscript"/>
        </w:rPr>
        <w:t xml:space="preserve">3 </w:t>
      </w:r>
      <w:r w:rsidR="00FE1859" w:rsidRPr="00FE1859">
        <w:t>and a saturated vapour concentration greater than or equal to 500 LC</w:t>
      </w:r>
      <w:r w:rsidR="00FE1859" w:rsidRPr="00FE1859">
        <w:rPr>
          <w:vertAlign w:val="subscript"/>
        </w:rPr>
        <w:t>50</w:t>
      </w:r>
      <w:r w:rsidR="00FE1859" w:rsidRPr="00FE1859">
        <w:t xml:space="preserve">. </w:t>
      </w:r>
      <w:r w:rsidR="0050679D">
        <w:rPr>
          <w:lang w:val="en-US"/>
        </w:rPr>
        <w:t>Special provision 354</w:t>
      </w:r>
      <w:r w:rsidR="0050679D" w:rsidRPr="002A4054">
        <w:t xml:space="preserve"> </w:t>
      </w:r>
      <w:r w:rsidR="0050679D">
        <w:t>i</w:t>
      </w:r>
      <w:r w:rsidR="0050679D" w:rsidRPr="002A4054">
        <w:t xml:space="preserve">s </w:t>
      </w:r>
      <w:r w:rsidR="0050679D">
        <w:t>used as a</w:t>
      </w:r>
      <w:r w:rsidR="0050679D" w:rsidRPr="002A4054">
        <w:t xml:space="preserve"> mean to identify and communicate the hazards of substances that </w:t>
      </w:r>
      <w:r w:rsidR="0050679D">
        <w:t>ar</w:t>
      </w:r>
      <w:r w:rsidR="0050679D" w:rsidRPr="002A4054">
        <w:t xml:space="preserve">e </w:t>
      </w:r>
      <w:r w:rsidR="0050679D">
        <w:t>highly</w:t>
      </w:r>
      <w:r w:rsidR="0050679D" w:rsidRPr="002A4054">
        <w:t xml:space="preserve"> toxic via the inhalation route</w:t>
      </w:r>
      <w:r w:rsidR="00E54A8C">
        <w:t>.</w:t>
      </w:r>
    </w:p>
    <w:p w14:paraId="78A93C10" w14:textId="5A413C3D" w:rsidR="002B5EB7" w:rsidRDefault="00C67A6B" w:rsidP="00425934">
      <w:pPr>
        <w:pStyle w:val="SingleTxtG"/>
        <w:rPr>
          <w:lang w:val="en-US"/>
        </w:rPr>
      </w:pPr>
      <w:r>
        <w:rPr>
          <w:lang w:val="en-US"/>
        </w:rPr>
        <w:t>3</w:t>
      </w:r>
      <w:r w:rsidR="00601D1A">
        <w:rPr>
          <w:lang w:val="en-US"/>
        </w:rPr>
        <w:t xml:space="preserve">. </w:t>
      </w:r>
      <w:r w:rsidR="00601D1A">
        <w:rPr>
          <w:lang w:val="en-US"/>
        </w:rPr>
        <w:tab/>
      </w:r>
      <w:r w:rsidR="00601D1A" w:rsidRPr="004519E2">
        <w:rPr>
          <w:lang w:val="en-US"/>
        </w:rPr>
        <w:t xml:space="preserve">The </w:t>
      </w:r>
      <w:r w:rsidR="00CC400B">
        <w:rPr>
          <w:lang w:val="en-US"/>
        </w:rPr>
        <w:t xml:space="preserve">current </w:t>
      </w:r>
      <w:r w:rsidR="00601D1A" w:rsidRPr="004519E2">
        <w:rPr>
          <w:lang w:val="en-US"/>
        </w:rPr>
        <w:t xml:space="preserve">discussion </w:t>
      </w:r>
      <w:r w:rsidR="00B30E4A">
        <w:rPr>
          <w:lang w:val="en-US"/>
        </w:rPr>
        <w:t>on</w:t>
      </w:r>
      <w:r w:rsidR="00601D1A" w:rsidRPr="004519E2">
        <w:rPr>
          <w:lang w:val="en-US"/>
        </w:rPr>
        <w:t xml:space="preserve"> </w:t>
      </w:r>
      <w:r w:rsidR="00585A1B">
        <w:rPr>
          <w:lang w:val="en-US"/>
        </w:rPr>
        <w:t>special provision 354</w:t>
      </w:r>
      <w:r w:rsidR="00601D1A" w:rsidRPr="004519E2">
        <w:rPr>
          <w:lang w:val="en-US"/>
        </w:rPr>
        <w:t xml:space="preserve"> </w:t>
      </w:r>
      <w:r w:rsidR="00C23EC6">
        <w:rPr>
          <w:lang w:val="en-US"/>
        </w:rPr>
        <w:t xml:space="preserve">is its applicability to all physical </w:t>
      </w:r>
      <w:r w:rsidR="00FD40E1">
        <w:rPr>
          <w:lang w:val="en-US"/>
        </w:rPr>
        <w:t>states</w:t>
      </w:r>
      <w:r w:rsidR="00CF26F8">
        <w:rPr>
          <w:lang w:val="en-US"/>
        </w:rPr>
        <w:t xml:space="preserve"> (to include dust)</w:t>
      </w:r>
      <w:r w:rsidR="00601D1A" w:rsidRPr="00C23EC6">
        <w:rPr>
          <w:lang w:val="en-US"/>
        </w:rPr>
        <w:t xml:space="preserve">, instead of </w:t>
      </w:r>
      <w:r w:rsidR="00C23EC6">
        <w:rPr>
          <w:lang w:val="en-US"/>
        </w:rPr>
        <w:t xml:space="preserve">only </w:t>
      </w:r>
      <w:r w:rsidR="00DF3A2A">
        <w:rPr>
          <w:lang w:val="en-US"/>
        </w:rPr>
        <w:t xml:space="preserve">a </w:t>
      </w:r>
      <w:r w:rsidR="00601D1A" w:rsidRPr="00C23EC6">
        <w:rPr>
          <w:lang w:val="en-US"/>
        </w:rPr>
        <w:t>liquid</w:t>
      </w:r>
      <w:r w:rsidR="00CF26F8">
        <w:rPr>
          <w:lang w:val="en-US"/>
        </w:rPr>
        <w:t xml:space="preserve"> </w:t>
      </w:r>
      <w:r w:rsidR="00FD40E1">
        <w:rPr>
          <w:lang w:val="en-US"/>
        </w:rPr>
        <w:t>state</w:t>
      </w:r>
      <w:r w:rsidR="00601D1A" w:rsidRPr="00C23EC6">
        <w:rPr>
          <w:lang w:val="en-US"/>
        </w:rPr>
        <w:t>.</w:t>
      </w:r>
      <w:r w:rsidR="00601D1A">
        <w:rPr>
          <w:lang w:val="en-US"/>
        </w:rPr>
        <w:t xml:space="preserve"> </w:t>
      </w:r>
      <w:r w:rsidR="006B54F2">
        <w:rPr>
          <w:lang w:val="en-US"/>
        </w:rPr>
        <w:t xml:space="preserve">Assigning the special provision to dust that is toxic by inhalation </w:t>
      </w:r>
      <w:r w:rsidR="00601D1A" w:rsidRPr="004519E2">
        <w:rPr>
          <w:lang w:val="en-US"/>
        </w:rPr>
        <w:t xml:space="preserve">would expand the scope of the special provision. </w:t>
      </w:r>
      <w:r w:rsidR="00601D1A">
        <w:rPr>
          <w:lang w:val="en-US"/>
        </w:rPr>
        <w:t>Additionally, t</w:t>
      </w:r>
      <w:r w:rsidR="00601D1A" w:rsidRPr="004519E2">
        <w:rPr>
          <w:lang w:val="en-US"/>
        </w:rPr>
        <w:t xml:space="preserve">his would mean that </w:t>
      </w:r>
      <w:r w:rsidR="00601D1A">
        <w:rPr>
          <w:lang w:val="en-US"/>
        </w:rPr>
        <w:t xml:space="preserve">an extensive review of the Dangerous Goods List </w:t>
      </w:r>
      <w:r w:rsidR="00037C71">
        <w:rPr>
          <w:lang w:val="en-US"/>
        </w:rPr>
        <w:t xml:space="preserve">should be carried out </w:t>
      </w:r>
      <w:r w:rsidR="00601D1A">
        <w:rPr>
          <w:lang w:val="en-US"/>
        </w:rPr>
        <w:t xml:space="preserve">to assign </w:t>
      </w:r>
      <w:r w:rsidR="00585A1B">
        <w:rPr>
          <w:lang w:val="en-US"/>
        </w:rPr>
        <w:t>special provision 354</w:t>
      </w:r>
      <w:r w:rsidR="00601D1A">
        <w:rPr>
          <w:lang w:val="en-US"/>
        </w:rPr>
        <w:t xml:space="preserve"> to all other </w:t>
      </w:r>
      <w:r w:rsidR="00084D94">
        <w:rPr>
          <w:lang w:val="en-US"/>
        </w:rPr>
        <w:t>substances of Class 6.1</w:t>
      </w:r>
      <w:r w:rsidR="00087FB5">
        <w:rPr>
          <w:lang w:val="en-US"/>
        </w:rPr>
        <w:t xml:space="preserve"> packing group I</w:t>
      </w:r>
      <w:r w:rsidR="00084D94">
        <w:rPr>
          <w:lang w:val="en-US"/>
        </w:rPr>
        <w:t xml:space="preserve"> that have properties of </w:t>
      </w:r>
      <w:r w:rsidR="00601D1A">
        <w:rPr>
          <w:lang w:val="en-US"/>
        </w:rPr>
        <w:t xml:space="preserve">inhalation </w:t>
      </w:r>
      <w:r w:rsidR="00084D94">
        <w:rPr>
          <w:lang w:val="en-US"/>
        </w:rPr>
        <w:t xml:space="preserve">toxicity </w:t>
      </w:r>
      <w:r w:rsidR="00601D1A">
        <w:rPr>
          <w:lang w:val="en-US"/>
        </w:rPr>
        <w:t>or there is an well-defined exception for this particular substance</w:t>
      </w:r>
      <w:r w:rsidR="00084D94">
        <w:rPr>
          <w:lang w:val="en-US"/>
        </w:rPr>
        <w:t xml:space="preserve"> (cobalt </w:t>
      </w:r>
      <w:proofErr w:type="spellStart"/>
      <w:r w:rsidR="00084D94">
        <w:rPr>
          <w:lang w:val="en-US"/>
        </w:rPr>
        <w:t>dihydroxide</w:t>
      </w:r>
      <w:proofErr w:type="spellEnd"/>
      <w:r w:rsidR="00084D94">
        <w:rPr>
          <w:lang w:val="en-US"/>
        </w:rPr>
        <w:t xml:space="preserve"> powder)</w:t>
      </w:r>
      <w:r w:rsidR="00601D1A">
        <w:rPr>
          <w:lang w:val="en-US"/>
        </w:rPr>
        <w:t xml:space="preserve">. </w:t>
      </w:r>
      <w:r w:rsidR="00B30E4A">
        <w:rPr>
          <w:lang w:val="en-US"/>
        </w:rPr>
        <w:t>Now</w:t>
      </w:r>
      <w:r w:rsidR="00F31B77" w:rsidRPr="008E6683">
        <w:rPr>
          <w:lang w:val="en-US"/>
        </w:rPr>
        <w:t xml:space="preserve">, there are no other discussions at the TDG Sub-Committee concerning substances that have inhalation toxicity </w:t>
      </w:r>
      <w:r w:rsidR="002C30A5" w:rsidRPr="008E6683">
        <w:rPr>
          <w:lang w:val="en-US"/>
        </w:rPr>
        <w:t xml:space="preserve">properties requiring </w:t>
      </w:r>
      <w:r w:rsidR="00F31B77" w:rsidRPr="008E6683">
        <w:rPr>
          <w:lang w:val="en-US"/>
        </w:rPr>
        <w:t>special provision 354</w:t>
      </w:r>
      <w:r w:rsidR="00B00533" w:rsidRPr="008E6683">
        <w:rPr>
          <w:lang w:val="en-US"/>
        </w:rPr>
        <w:t>.</w:t>
      </w:r>
      <w:r w:rsidR="002C30A5" w:rsidRPr="008E6683">
        <w:rPr>
          <w:lang w:val="en-US"/>
        </w:rPr>
        <w:t xml:space="preserve"> Therefore, </w:t>
      </w:r>
      <w:r w:rsidR="00601D1A" w:rsidRPr="008E6683">
        <w:rPr>
          <w:lang w:val="en-US"/>
        </w:rPr>
        <w:t xml:space="preserve">there is no indication that expanding the scope </w:t>
      </w:r>
      <w:r w:rsidR="00084D94" w:rsidRPr="008E6683">
        <w:rPr>
          <w:lang w:val="en-US"/>
        </w:rPr>
        <w:t xml:space="preserve">of special provision 354 </w:t>
      </w:r>
      <w:r w:rsidR="00601D1A" w:rsidRPr="008E6683">
        <w:rPr>
          <w:lang w:val="en-US"/>
        </w:rPr>
        <w:t xml:space="preserve">is needed. Furthermore, the </w:t>
      </w:r>
      <w:r w:rsidR="00B00533" w:rsidRPr="008E6683">
        <w:rPr>
          <w:lang w:val="en-US"/>
        </w:rPr>
        <w:t xml:space="preserve">ongoing </w:t>
      </w:r>
      <w:r w:rsidR="00601D1A" w:rsidRPr="008E6683">
        <w:rPr>
          <w:lang w:val="en-US"/>
        </w:rPr>
        <w:t>discussion</w:t>
      </w:r>
      <w:r w:rsidR="002C30A5" w:rsidRPr="008E6683">
        <w:rPr>
          <w:lang w:val="en-US"/>
        </w:rPr>
        <w:t>s</w:t>
      </w:r>
      <w:r w:rsidR="00601D1A" w:rsidRPr="008E6683">
        <w:rPr>
          <w:lang w:val="en-US"/>
        </w:rPr>
        <w:t xml:space="preserve"> </w:t>
      </w:r>
      <w:r w:rsidR="002C30A5" w:rsidRPr="008E6683">
        <w:rPr>
          <w:lang w:val="en-US"/>
        </w:rPr>
        <w:t xml:space="preserve">on </w:t>
      </w:r>
      <w:r w:rsidR="00601D1A" w:rsidRPr="008E6683">
        <w:rPr>
          <w:lang w:val="en-US"/>
        </w:rPr>
        <w:t xml:space="preserve">cobalt </w:t>
      </w:r>
      <w:proofErr w:type="spellStart"/>
      <w:r w:rsidR="00601D1A" w:rsidRPr="008E6683">
        <w:rPr>
          <w:lang w:val="en-US"/>
        </w:rPr>
        <w:t>dihydroxide</w:t>
      </w:r>
      <w:proofErr w:type="spellEnd"/>
      <w:r w:rsidR="00601D1A" w:rsidRPr="008E6683">
        <w:rPr>
          <w:lang w:val="en-US"/>
        </w:rPr>
        <w:t xml:space="preserve"> </w:t>
      </w:r>
      <w:r w:rsidR="00B00533" w:rsidRPr="008E6683">
        <w:rPr>
          <w:lang w:val="en-US"/>
        </w:rPr>
        <w:t xml:space="preserve">indicate </w:t>
      </w:r>
      <w:r w:rsidR="002C30A5" w:rsidRPr="008E6683">
        <w:rPr>
          <w:lang w:val="en-US"/>
        </w:rPr>
        <w:t xml:space="preserve">that </w:t>
      </w:r>
      <w:r w:rsidR="00601D1A" w:rsidRPr="008E6683">
        <w:rPr>
          <w:lang w:val="en-US"/>
        </w:rPr>
        <w:t xml:space="preserve">there </w:t>
      </w:r>
      <w:r w:rsidR="002C30A5" w:rsidRPr="008E6683">
        <w:rPr>
          <w:lang w:val="en-US"/>
        </w:rPr>
        <w:t xml:space="preserve">is </w:t>
      </w:r>
      <w:r w:rsidR="00601D1A" w:rsidRPr="008E6683">
        <w:rPr>
          <w:lang w:val="en-US"/>
        </w:rPr>
        <w:t xml:space="preserve">no reason to make an </w:t>
      </w:r>
      <w:proofErr w:type="spellStart"/>
      <w:r w:rsidR="00601D1A" w:rsidRPr="008E6683">
        <w:rPr>
          <w:lang w:val="en-US"/>
        </w:rPr>
        <w:t>exce</w:t>
      </w:r>
      <w:r w:rsidR="0054726B">
        <w:rPr>
          <w:lang w:val="en-US"/>
        </w:rPr>
        <w:t>m</w:t>
      </w:r>
      <w:r w:rsidR="00601D1A" w:rsidRPr="008E6683">
        <w:rPr>
          <w:lang w:val="en-US"/>
        </w:rPr>
        <w:t>ption</w:t>
      </w:r>
      <w:proofErr w:type="spellEnd"/>
      <w:r w:rsidR="00601D1A" w:rsidRPr="008E6683">
        <w:rPr>
          <w:lang w:val="en-US"/>
        </w:rPr>
        <w:t xml:space="preserve"> for this substance.</w:t>
      </w:r>
    </w:p>
    <w:p w14:paraId="77B538EA" w14:textId="156DD29F" w:rsidR="0077415C" w:rsidRPr="008E6683" w:rsidRDefault="008E6683" w:rsidP="008E6683">
      <w:pPr>
        <w:pStyle w:val="HChG"/>
      </w:pPr>
      <w:r>
        <w:lastRenderedPageBreak/>
        <w:tab/>
      </w:r>
      <w:r>
        <w:tab/>
      </w:r>
      <w:r w:rsidR="0077415C" w:rsidRPr="008E6683">
        <w:t>Background</w:t>
      </w:r>
    </w:p>
    <w:p w14:paraId="4516FB3B" w14:textId="34DA5FF6" w:rsidR="005769A6" w:rsidRPr="00C73C7B" w:rsidRDefault="00037C71" w:rsidP="00AD1B1B">
      <w:pPr>
        <w:pStyle w:val="SingleTxtG"/>
      </w:pPr>
      <w:r>
        <w:rPr>
          <w:lang w:val="en-US"/>
        </w:rPr>
        <w:t>4</w:t>
      </w:r>
      <w:r w:rsidR="00D83C32">
        <w:rPr>
          <w:lang w:val="en-US"/>
        </w:rPr>
        <w:t xml:space="preserve">. </w:t>
      </w:r>
      <w:r w:rsidR="00D83C32">
        <w:rPr>
          <w:lang w:val="en-US"/>
        </w:rPr>
        <w:tab/>
      </w:r>
      <w:r w:rsidR="00AD1B1B">
        <w:t xml:space="preserve">The work on special provision 354 was carried out between 2006 and 2008. It began with a review to identify liquid substances in the Model Regulations that fulfilled the criteria set out in paragraph two of this document as toxic by inhalation and assign the appropriate portable tank instructions (see ST/SG/AC.10/C.3/2006/93, </w:t>
      </w:r>
      <w:r w:rsidR="00DE287D">
        <w:t xml:space="preserve">informal documents </w:t>
      </w:r>
      <w:r w:rsidR="00AD1B1B">
        <w:t>INF.73</w:t>
      </w:r>
      <w:r w:rsidR="00DE287D">
        <w:t xml:space="preserve">, </w:t>
      </w:r>
      <w:r w:rsidR="00AD1B1B">
        <w:t>INF.74 and INF.75</w:t>
      </w:r>
      <w:r w:rsidR="00DE287D">
        <w:t xml:space="preserve"> (30</w:t>
      </w:r>
      <w:r w:rsidR="00DE287D" w:rsidRPr="00DE287D">
        <w:rPr>
          <w:vertAlign w:val="superscript"/>
        </w:rPr>
        <w:t>th</w:t>
      </w:r>
      <w:r w:rsidR="00DE287D">
        <w:t xml:space="preserve"> session)</w:t>
      </w:r>
      <w:r w:rsidR="00AD1B1B">
        <w:t xml:space="preserve">). </w:t>
      </w:r>
      <w:r w:rsidR="0045563B">
        <w:t xml:space="preserve">The second stage was </w:t>
      </w:r>
      <w:r w:rsidR="00C73C7B">
        <w:t xml:space="preserve">that </w:t>
      </w:r>
      <w:r w:rsidR="0045563B">
        <w:t>t</w:t>
      </w:r>
      <w:r w:rsidR="00AD1B1B">
        <w:t>he amendments for the portable tank instructions led to subsequent changes for the packing instructions (see ST/SG/AC.10/C.3/2008/52 and report ST/SG/AC.10/C.3/66). For several substances listed in the documents mentioned above, more information on vapour pressure and acute inhalation (LC</w:t>
      </w:r>
      <w:r w:rsidR="00AD1B1B" w:rsidRPr="0054726B">
        <w:rPr>
          <w:vertAlign w:val="subscript"/>
        </w:rPr>
        <w:t>50</w:t>
      </w:r>
      <w:r w:rsidR="00AD1B1B">
        <w:t xml:space="preserve">) values were needed to decide whether they fulfil the </w:t>
      </w:r>
      <w:r w:rsidR="00001ED9">
        <w:t xml:space="preserve">criteria for </w:t>
      </w:r>
      <w:r w:rsidR="00AD1B1B">
        <w:t xml:space="preserve">classification in </w:t>
      </w:r>
      <w:r w:rsidR="0054726B">
        <w:t>d</w:t>
      </w:r>
      <w:r w:rsidR="00AD1B1B">
        <w:t xml:space="preserve">ivision 6.1. This information </w:t>
      </w:r>
      <w:r w:rsidR="009C6970">
        <w:t>appeared</w:t>
      </w:r>
      <w:r w:rsidR="00AD1B1B">
        <w:t xml:space="preserve"> </w:t>
      </w:r>
      <w:r w:rsidR="0054726B">
        <w:t>later</w:t>
      </w:r>
      <w:r w:rsidR="00AD1B1B">
        <w:t xml:space="preserve"> in documents ST/SG/AC.10/C.3/2008/49 and INF</w:t>
      </w:r>
      <w:r w:rsidR="0054726B">
        <w:t>.</w:t>
      </w:r>
      <w:r w:rsidR="00AD1B1B">
        <w:t>8</w:t>
      </w:r>
      <w:r w:rsidR="00DE287D">
        <w:t xml:space="preserve"> (33</w:t>
      </w:r>
      <w:r w:rsidR="00DE287D" w:rsidRPr="00DE287D">
        <w:rPr>
          <w:vertAlign w:val="superscript"/>
        </w:rPr>
        <w:t>rd</w:t>
      </w:r>
      <w:r w:rsidR="00DE287D">
        <w:t xml:space="preserve"> session)</w:t>
      </w:r>
      <w:r w:rsidR="00AD1B1B">
        <w:t>.</w:t>
      </w:r>
    </w:p>
    <w:p w14:paraId="32AA3B09" w14:textId="1595275B" w:rsidR="007E3D12" w:rsidRDefault="008645EE" w:rsidP="000B42F1">
      <w:pPr>
        <w:pStyle w:val="SingleTxtG"/>
        <w:rPr>
          <w:bCs/>
        </w:rPr>
      </w:pPr>
      <w:r w:rsidRPr="00C73C7B">
        <w:rPr>
          <w:lang w:val="en-US"/>
        </w:rPr>
        <w:t>5</w:t>
      </w:r>
      <w:r w:rsidR="000B42F1" w:rsidRPr="00C73C7B">
        <w:rPr>
          <w:lang w:val="en-US"/>
        </w:rPr>
        <w:t>.</w:t>
      </w:r>
      <w:r w:rsidR="000B42F1">
        <w:rPr>
          <w:lang w:val="en-US"/>
        </w:rPr>
        <w:t xml:space="preserve"> </w:t>
      </w:r>
      <w:r w:rsidR="000B42F1">
        <w:rPr>
          <w:lang w:val="en-US"/>
        </w:rPr>
        <w:tab/>
      </w:r>
      <w:r w:rsidR="001F35F1">
        <w:rPr>
          <w:lang w:val="en-US"/>
        </w:rPr>
        <w:t xml:space="preserve">Additionally, based on data in documents </w:t>
      </w:r>
      <w:r w:rsidR="001F35F1" w:rsidRPr="006E1AF6">
        <w:rPr>
          <w:lang w:val="en-US"/>
        </w:rPr>
        <w:t>ST/SG/AC.10/C.3/2008/49</w:t>
      </w:r>
      <w:r w:rsidR="001F35F1">
        <w:rPr>
          <w:lang w:val="en-US"/>
        </w:rPr>
        <w:t xml:space="preserve"> and </w:t>
      </w:r>
      <w:r w:rsidR="00DE287D">
        <w:rPr>
          <w:lang w:val="en-US"/>
        </w:rPr>
        <w:t>I</w:t>
      </w:r>
      <w:r w:rsidR="001F35F1" w:rsidRPr="00D402AA">
        <w:rPr>
          <w:lang w:val="en-US"/>
        </w:rPr>
        <w:t>NF</w:t>
      </w:r>
      <w:r w:rsidR="009C6970">
        <w:rPr>
          <w:lang w:val="en-US"/>
        </w:rPr>
        <w:t>.</w:t>
      </w:r>
      <w:r w:rsidR="001F35F1" w:rsidRPr="00D402AA">
        <w:rPr>
          <w:lang w:val="en-US"/>
        </w:rPr>
        <w:t>8</w:t>
      </w:r>
      <w:r w:rsidR="00DE287D">
        <w:rPr>
          <w:lang w:val="en-US"/>
        </w:rPr>
        <w:t xml:space="preserve"> (33</w:t>
      </w:r>
      <w:r w:rsidR="00DE287D" w:rsidRPr="00DE287D">
        <w:rPr>
          <w:vertAlign w:val="superscript"/>
          <w:lang w:val="en-US"/>
        </w:rPr>
        <w:t>rd</w:t>
      </w:r>
      <w:r w:rsidR="00DE287D">
        <w:rPr>
          <w:lang w:val="en-US"/>
        </w:rPr>
        <w:t xml:space="preserve"> session)</w:t>
      </w:r>
      <w:r w:rsidR="001F35F1">
        <w:rPr>
          <w:lang w:val="en-US"/>
        </w:rPr>
        <w:t>, the packaging and portable tank provisions</w:t>
      </w:r>
      <w:r w:rsidR="00037C71">
        <w:rPr>
          <w:lang w:val="en-US"/>
        </w:rPr>
        <w:t xml:space="preserve"> of</w:t>
      </w:r>
      <w:r w:rsidR="001F35F1">
        <w:rPr>
          <w:lang w:val="en-US"/>
        </w:rPr>
        <w:t xml:space="preserve"> </w:t>
      </w:r>
      <w:r w:rsidR="00601D1A">
        <w:rPr>
          <w:lang w:val="en-US"/>
        </w:rPr>
        <w:t>the</w:t>
      </w:r>
      <w:r w:rsidR="001F35F1">
        <w:rPr>
          <w:lang w:val="en-US"/>
        </w:rPr>
        <w:t xml:space="preserve"> substances</w:t>
      </w:r>
      <w:r w:rsidR="00B720DF">
        <w:rPr>
          <w:lang w:val="en-US"/>
        </w:rPr>
        <w:t xml:space="preserve"> </w:t>
      </w:r>
      <w:r w:rsidR="00601D1A" w:rsidRPr="00E8139D">
        <w:rPr>
          <w:lang w:val="en-US"/>
        </w:rPr>
        <w:t>mentioned in those document</w:t>
      </w:r>
      <w:r w:rsidR="00037C71" w:rsidRPr="00E8139D">
        <w:rPr>
          <w:lang w:val="en-US"/>
        </w:rPr>
        <w:t>s</w:t>
      </w:r>
      <w:r w:rsidR="00601D1A" w:rsidRPr="00E8139D">
        <w:rPr>
          <w:lang w:val="en-US"/>
        </w:rPr>
        <w:t xml:space="preserve"> </w:t>
      </w:r>
      <w:r w:rsidR="000B42F1" w:rsidRPr="00E8139D">
        <w:rPr>
          <w:lang w:val="en-US"/>
        </w:rPr>
        <w:t>had to be</w:t>
      </w:r>
      <w:r w:rsidR="001F35F1" w:rsidRPr="00E8139D">
        <w:rPr>
          <w:lang w:val="en-US"/>
        </w:rPr>
        <w:t xml:space="preserve"> amended as well</w:t>
      </w:r>
      <w:r w:rsidR="001456C9">
        <w:rPr>
          <w:lang w:val="en-US"/>
        </w:rPr>
        <w:t>. In some cases</w:t>
      </w:r>
      <w:r w:rsidR="009C6970">
        <w:rPr>
          <w:lang w:val="en-US"/>
        </w:rPr>
        <w:t>,</w:t>
      </w:r>
      <w:r w:rsidR="001456C9">
        <w:rPr>
          <w:lang w:val="en-US"/>
        </w:rPr>
        <w:t xml:space="preserve"> this also led to a change of classification based on the precedence of hazard characteristics </w:t>
      </w:r>
      <w:r w:rsidR="00903393">
        <w:rPr>
          <w:lang w:val="en-US"/>
        </w:rPr>
        <w:t>(s</w:t>
      </w:r>
      <w:r w:rsidR="000B42F1">
        <w:rPr>
          <w:lang w:val="en-US"/>
        </w:rPr>
        <w:t xml:space="preserve">ection </w:t>
      </w:r>
      <w:r w:rsidR="001456C9">
        <w:rPr>
          <w:lang w:val="en-US"/>
        </w:rPr>
        <w:t>2.0.3 of the Model Regulations</w:t>
      </w:r>
      <w:r w:rsidR="00903393">
        <w:rPr>
          <w:lang w:val="en-US"/>
        </w:rPr>
        <w:t>)</w:t>
      </w:r>
      <w:r w:rsidR="00562D2B">
        <w:rPr>
          <w:lang w:val="en-US"/>
        </w:rPr>
        <w:t>. At th</w:t>
      </w:r>
      <w:r w:rsidR="004A76D9">
        <w:rPr>
          <w:lang w:val="en-US"/>
        </w:rPr>
        <w:t>at</w:t>
      </w:r>
      <w:r w:rsidR="00562D2B">
        <w:rPr>
          <w:lang w:val="en-US"/>
        </w:rPr>
        <w:t xml:space="preserve"> </w:t>
      </w:r>
      <w:r w:rsidR="004A76D9">
        <w:rPr>
          <w:lang w:val="en-US"/>
        </w:rPr>
        <w:t>point</w:t>
      </w:r>
      <w:r w:rsidR="00562D2B">
        <w:rPr>
          <w:lang w:val="en-US"/>
        </w:rPr>
        <w:t>, i</w:t>
      </w:r>
      <w:r w:rsidR="000B42F1">
        <w:rPr>
          <w:lang w:val="en-US"/>
        </w:rPr>
        <w:t>t</w:t>
      </w:r>
      <w:r w:rsidR="00562D2B">
        <w:rPr>
          <w:lang w:val="en-US"/>
        </w:rPr>
        <w:t xml:space="preserve"> was proposed to assign a new special provision to substances which are toxic by inhalation</w:t>
      </w:r>
      <w:r w:rsidR="006B54F2">
        <w:rPr>
          <w:lang w:val="en-US"/>
        </w:rPr>
        <w:t>, meeting the criteria</w:t>
      </w:r>
      <w:r w:rsidR="00C67A6B">
        <w:rPr>
          <w:lang w:val="en-US"/>
        </w:rPr>
        <w:t xml:space="preserve"> </w:t>
      </w:r>
      <w:r w:rsidR="004A76D9">
        <w:rPr>
          <w:lang w:val="en-US"/>
        </w:rPr>
        <w:t xml:space="preserve">set out </w:t>
      </w:r>
      <w:r w:rsidR="00C67A6B">
        <w:rPr>
          <w:lang w:val="en-US"/>
        </w:rPr>
        <w:t xml:space="preserve">in paragraph </w:t>
      </w:r>
      <w:r w:rsidR="009C6970">
        <w:rPr>
          <w:lang w:val="en-US"/>
        </w:rPr>
        <w:t>2 above</w:t>
      </w:r>
      <w:r w:rsidR="00562D2B">
        <w:rPr>
          <w:lang w:val="en-US"/>
        </w:rPr>
        <w:t xml:space="preserve">. The new special provision would be applicable to </w:t>
      </w:r>
      <w:r w:rsidR="00F25614">
        <w:rPr>
          <w:lang w:val="en-US"/>
        </w:rPr>
        <w:t xml:space="preserve">liquid </w:t>
      </w:r>
      <w:r w:rsidR="00562D2B">
        <w:rPr>
          <w:lang w:val="en-US"/>
        </w:rPr>
        <w:t>substances that were agreed to be toxic by inhalation, as presented in all aforementioned documents</w:t>
      </w:r>
      <w:r w:rsidR="001F35F1">
        <w:rPr>
          <w:lang w:val="en-US"/>
        </w:rPr>
        <w:t xml:space="preserve"> (see </w:t>
      </w:r>
      <w:r w:rsidR="001F35F1" w:rsidRPr="00E8139D">
        <w:rPr>
          <w:lang w:val="en-US"/>
        </w:rPr>
        <w:t>ST/SG/AC</w:t>
      </w:r>
      <w:r w:rsidR="009C6970">
        <w:rPr>
          <w:lang w:val="en-US"/>
        </w:rPr>
        <w:t>.</w:t>
      </w:r>
      <w:r w:rsidR="001F35F1" w:rsidRPr="00E8139D">
        <w:rPr>
          <w:lang w:val="en-US"/>
        </w:rPr>
        <w:t>10/C.3/2008/87).</w:t>
      </w:r>
      <w:r w:rsidR="001F35F1">
        <w:rPr>
          <w:lang w:val="en-US"/>
        </w:rPr>
        <w:t xml:space="preserve"> </w:t>
      </w:r>
      <w:r w:rsidR="001C0320">
        <w:rPr>
          <w:lang w:val="en-US"/>
        </w:rPr>
        <w:t>The s</w:t>
      </w:r>
      <w:r w:rsidR="007E3D12">
        <w:rPr>
          <w:lang w:val="en-US"/>
        </w:rPr>
        <w:t>a</w:t>
      </w:r>
      <w:r w:rsidR="001C0320">
        <w:rPr>
          <w:lang w:val="en-US"/>
        </w:rPr>
        <w:t>m</w:t>
      </w:r>
      <w:r w:rsidR="007E3D12">
        <w:rPr>
          <w:lang w:val="en-US"/>
        </w:rPr>
        <w:t>e</w:t>
      </w:r>
      <w:r w:rsidR="001C0320">
        <w:rPr>
          <w:lang w:val="en-US"/>
        </w:rPr>
        <w:t xml:space="preserve"> rationale was applied to </w:t>
      </w:r>
      <w:r w:rsidR="007E3D12">
        <w:rPr>
          <w:lang w:val="en-US"/>
        </w:rPr>
        <w:t xml:space="preserve">7 isocyanates, which led to changes in the packaging and portable tank provisions and in some cases to a different classification (see </w:t>
      </w:r>
      <w:r w:rsidR="007E3D12" w:rsidRPr="006E1AF6">
        <w:rPr>
          <w:lang w:val="en-US"/>
        </w:rPr>
        <w:t>ST/SG/AC</w:t>
      </w:r>
      <w:r w:rsidR="009C6970">
        <w:rPr>
          <w:lang w:val="en-US"/>
        </w:rPr>
        <w:t>.</w:t>
      </w:r>
      <w:r w:rsidR="007E3D12" w:rsidRPr="006E1AF6">
        <w:rPr>
          <w:lang w:val="en-US"/>
        </w:rPr>
        <w:t>10/C.3/2008/88</w:t>
      </w:r>
      <w:r w:rsidR="007E3D12">
        <w:rPr>
          <w:lang w:val="en-US"/>
        </w:rPr>
        <w:t xml:space="preserve">). And finally, the excepted quantity codes </w:t>
      </w:r>
      <w:r w:rsidR="00B667D4">
        <w:rPr>
          <w:lang w:val="en-US"/>
        </w:rPr>
        <w:t>for several</w:t>
      </w:r>
      <w:r w:rsidR="001E4FD4">
        <w:rPr>
          <w:lang w:val="en-US"/>
        </w:rPr>
        <w:t xml:space="preserve"> UN entries were proposed to </w:t>
      </w:r>
      <w:r w:rsidR="000B42F1">
        <w:rPr>
          <w:lang w:val="en-US"/>
        </w:rPr>
        <w:t xml:space="preserve">be </w:t>
      </w:r>
      <w:r w:rsidR="001E4FD4">
        <w:rPr>
          <w:lang w:val="en-US"/>
        </w:rPr>
        <w:t>change</w:t>
      </w:r>
      <w:r w:rsidR="000B42F1">
        <w:rPr>
          <w:lang w:val="en-US"/>
        </w:rPr>
        <w:t>d</w:t>
      </w:r>
      <w:r w:rsidR="001E4FD4">
        <w:rPr>
          <w:lang w:val="en-US"/>
        </w:rPr>
        <w:t xml:space="preserve"> into “E0” (see </w:t>
      </w:r>
      <w:r w:rsidR="001E4FD4" w:rsidRPr="006E1AF6">
        <w:rPr>
          <w:lang w:val="en-US"/>
        </w:rPr>
        <w:t>S</w:t>
      </w:r>
      <w:r w:rsidR="001E4FD4" w:rsidRPr="00037C71">
        <w:rPr>
          <w:lang w:val="en-US"/>
        </w:rPr>
        <w:t>T/SG/AC</w:t>
      </w:r>
      <w:r w:rsidR="009C6970">
        <w:rPr>
          <w:lang w:val="en-US"/>
        </w:rPr>
        <w:t>.</w:t>
      </w:r>
      <w:r w:rsidR="001E4FD4" w:rsidRPr="00037C71">
        <w:rPr>
          <w:lang w:val="en-US"/>
        </w:rPr>
        <w:t>10/C.3/2008/107).</w:t>
      </w:r>
      <w:r w:rsidR="00037C71" w:rsidRPr="00037C71">
        <w:rPr>
          <w:lang w:val="en-US"/>
        </w:rPr>
        <w:t xml:space="preserve"> </w:t>
      </w:r>
      <w:proofErr w:type="gramStart"/>
      <w:r w:rsidR="00037C71" w:rsidRPr="00E8139D">
        <w:rPr>
          <w:lang w:val="en-US"/>
        </w:rPr>
        <w:t xml:space="preserve">All </w:t>
      </w:r>
      <w:r w:rsidR="00B667D4">
        <w:rPr>
          <w:lang w:val="en-US"/>
        </w:rPr>
        <w:t>of</w:t>
      </w:r>
      <w:proofErr w:type="gramEnd"/>
      <w:r w:rsidR="00B667D4">
        <w:rPr>
          <w:lang w:val="en-US"/>
        </w:rPr>
        <w:t xml:space="preserve"> these </w:t>
      </w:r>
      <w:r w:rsidR="00037C71" w:rsidRPr="00E8139D">
        <w:rPr>
          <w:lang w:val="en-US"/>
        </w:rPr>
        <w:t xml:space="preserve">proposals were adopted (see report </w:t>
      </w:r>
      <w:r w:rsidR="00037C71" w:rsidRPr="00E8139D">
        <w:rPr>
          <w:bCs/>
        </w:rPr>
        <w:t>ST/SG/AC.10/C.3/68).</w:t>
      </w:r>
    </w:p>
    <w:p w14:paraId="112767C8" w14:textId="44773079" w:rsidR="00373A95" w:rsidRPr="00373A95" w:rsidRDefault="00A258A5" w:rsidP="00DE287D">
      <w:pPr>
        <w:pStyle w:val="HChG"/>
        <w:spacing w:before="240" w:after="120"/>
      </w:pPr>
      <w:r>
        <w:tab/>
      </w:r>
      <w:r>
        <w:tab/>
        <w:t>Conclusion</w:t>
      </w:r>
    </w:p>
    <w:p w14:paraId="59C44E32" w14:textId="077FD1BF" w:rsidR="001E4FD4" w:rsidRPr="007E3D12" w:rsidRDefault="00C73C7B" w:rsidP="001E4FD4">
      <w:pPr>
        <w:pStyle w:val="SingleTxtG"/>
        <w:rPr>
          <w:lang w:val="en-US"/>
        </w:rPr>
      </w:pPr>
      <w:r>
        <w:rPr>
          <w:lang w:val="en-US"/>
        </w:rPr>
        <w:t>6</w:t>
      </w:r>
      <w:r w:rsidR="001E4FD4">
        <w:rPr>
          <w:lang w:val="en-US"/>
        </w:rPr>
        <w:t xml:space="preserve">. </w:t>
      </w:r>
      <w:r w:rsidR="001E4FD4">
        <w:rPr>
          <w:lang w:val="en-US"/>
        </w:rPr>
        <w:tab/>
        <w:t xml:space="preserve">Special provision 354 </w:t>
      </w:r>
      <w:r w:rsidR="003A5333">
        <w:rPr>
          <w:lang w:val="en-US"/>
        </w:rPr>
        <w:t>i</w:t>
      </w:r>
      <w:r w:rsidR="001E4FD4">
        <w:rPr>
          <w:lang w:val="en-US"/>
        </w:rPr>
        <w:t xml:space="preserve">s therefore specifically developed for </w:t>
      </w:r>
      <w:r w:rsidR="003A5333">
        <w:rPr>
          <w:lang w:val="en-US"/>
        </w:rPr>
        <w:t>"</w:t>
      </w:r>
      <w:r w:rsidR="001E4FD4">
        <w:rPr>
          <w:lang w:val="en-US"/>
        </w:rPr>
        <w:t>toxic by inhalation</w:t>
      </w:r>
      <w:r w:rsidR="003A5333">
        <w:rPr>
          <w:lang w:val="en-US"/>
        </w:rPr>
        <w:t>"</w:t>
      </w:r>
      <w:r w:rsidR="002B1D49">
        <w:rPr>
          <w:lang w:val="en-US"/>
        </w:rPr>
        <w:t xml:space="preserve"> liquid </w:t>
      </w:r>
      <w:r w:rsidR="00AE1060">
        <w:rPr>
          <w:lang w:val="en-US"/>
        </w:rPr>
        <w:t>substances</w:t>
      </w:r>
      <w:r w:rsidR="006D639B">
        <w:rPr>
          <w:lang w:val="en-US"/>
        </w:rPr>
        <w:t xml:space="preserve"> </w:t>
      </w:r>
      <w:r w:rsidR="001E4FD4">
        <w:rPr>
          <w:lang w:val="en-US"/>
        </w:rPr>
        <w:t xml:space="preserve">that meet the criteria set out in paragraph </w:t>
      </w:r>
      <w:r w:rsidR="002B1D49">
        <w:rPr>
          <w:lang w:val="en-US"/>
        </w:rPr>
        <w:t>t</w:t>
      </w:r>
      <w:r w:rsidR="00C67A6B">
        <w:rPr>
          <w:lang w:val="en-US"/>
        </w:rPr>
        <w:t>wo</w:t>
      </w:r>
      <w:r w:rsidR="002B1D49">
        <w:rPr>
          <w:lang w:val="en-US"/>
        </w:rPr>
        <w:t xml:space="preserve"> </w:t>
      </w:r>
      <w:r w:rsidR="001E4FD4">
        <w:rPr>
          <w:lang w:val="en-US"/>
        </w:rPr>
        <w:t>of this document</w:t>
      </w:r>
      <w:r w:rsidR="00601D1A">
        <w:rPr>
          <w:lang w:val="en-US"/>
        </w:rPr>
        <w:t>.</w:t>
      </w:r>
      <w:r w:rsidR="001E4FD4">
        <w:rPr>
          <w:lang w:val="en-US"/>
        </w:rPr>
        <w:t xml:space="preserve"> </w:t>
      </w:r>
      <w:r w:rsidR="00601D1A">
        <w:rPr>
          <w:lang w:val="en-US"/>
        </w:rPr>
        <w:t xml:space="preserve">It is </w:t>
      </w:r>
      <w:r w:rsidR="001E4FD4">
        <w:rPr>
          <w:lang w:val="en-US"/>
        </w:rPr>
        <w:t>based on a thorough review of substances and consequential amendments for the classification, packing and portable tank provisions, and the excepted quantity code.</w:t>
      </w:r>
    </w:p>
    <w:p w14:paraId="03F7E146" w14:textId="1E616F3E" w:rsidR="00F72B4D" w:rsidRPr="00D73A56" w:rsidRDefault="00C73C7B" w:rsidP="00F01E37">
      <w:pPr>
        <w:pStyle w:val="SingleTxtG"/>
      </w:pPr>
      <w:r>
        <w:rPr>
          <w:lang w:val="en-US"/>
        </w:rPr>
        <w:t>7</w:t>
      </w:r>
      <w:r w:rsidR="0024683F">
        <w:rPr>
          <w:lang w:val="en-US"/>
        </w:rPr>
        <w:t xml:space="preserve">. </w:t>
      </w:r>
      <w:r w:rsidR="0024683F">
        <w:rPr>
          <w:lang w:val="en-US"/>
        </w:rPr>
        <w:tab/>
      </w:r>
      <w:r w:rsidR="00F04806">
        <w:rPr>
          <w:lang w:val="en-US"/>
        </w:rPr>
        <w:t>However, a</w:t>
      </w:r>
      <w:r w:rsidR="00EA4FF7">
        <w:rPr>
          <w:lang w:val="en-US"/>
        </w:rPr>
        <w:t xml:space="preserve">s </w:t>
      </w:r>
      <w:r w:rsidR="00585A1B">
        <w:rPr>
          <w:lang w:val="en-US"/>
        </w:rPr>
        <w:t>special provision 354</w:t>
      </w:r>
      <w:r w:rsidR="00EA4FF7">
        <w:rPr>
          <w:lang w:val="en-US"/>
        </w:rPr>
        <w:t xml:space="preserve"> is written, t</w:t>
      </w:r>
      <w:r w:rsidR="00503612">
        <w:rPr>
          <w:lang w:val="en-US"/>
        </w:rPr>
        <w:t xml:space="preserve">here is no specification </w:t>
      </w:r>
      <w:r w:rsidR="003A5333">
        <w:rPr>
          <w:lang w:val="en-US"/>
        </w:rPr>
        <w:t>on</w:t>
      </w:r>
      <w:r w:rsidR="00464B15">
        <w:rPr>
          <w:lang w:val="en-US"/>
        </w:rPr>
        <w:t xml:space="preserve"> the </w:t>
      </w:r>
      <w:r w:rsidR="001C0785">
        <w:rPr>
          <w:lang w:val="en-US"/>
        </w:rPr>
        <w:t xml:space="preserve">physical </w:t>
      </w:r>
      <w:r w:rsidR="00BC039D">
        <w:rPr>
          <w:lang w:val="en-US"/>
        </w:rPr>
        <w:t>state</w:t>
      </w:r>
      <w:r w:rsidR="001C0785">
        <w:rPr>
          <w:lang w:val="en-US"/>
        </w:rPr>
        <w:t xml:space="preserve"> </w:t>
      </w:r>
      <w:r w:rsidR="00464B15">
        <w:rPr>
          <w:lang w:val="en-US"/>
        </w:rPr>
        <w:t xml:space="preserve">to which this special provision applies, i.e. whether it applies to all toxic by inhalation substances or only to </w:t>
      </w:r>
      <w:r w:rsidR="002B1D49">
        <w:rPr>
          <w:lang w:val="en-US"/>
        </w:rPr>
        <w:t xml:space="preserve">toxic by inhalation </w:t>
      </w:r>
      <w:r w:rsidR="00464B15">
        <w:rPr>
          <w:lang w:val="en-US"/>
        </w:rPr>
        <w:t xml:space="preserve">liquids that </w:t>
      </w:r>
      <w:r w:rsidR="002B5EB7">
        <w:rPr>
          <w:lang w:val="en-US"/>
        </w:rPr>
        <w:t>concur</w:t>
      </w:r>
      <w:r w:rsidR="00464B15">
        <w:rPr>
          <w:lang w:val="en-US"/>
        </w:rPr>
        <w:t xml:space="preserve"> </w:t>
      </w:r>
      <w:r w:rsidR="002B5EB7">
        <w:rPr>
          <w:lang w:val="en-US"/>
        </w:rPr>
        <w:t>with</w:t>
      </w:r>
      <w:r w:rsidR="00464B15">
        <w:rPr>
          <w:lang w:val="en-US"/>
        </w:rPr>
        <w:t xml:space="preserve"> the </w:t>
      </w:r>
      <w:r w:rsidR="00585A1B">
        <w:rPr>
          <w:lang w:val="en-US"/>
        </w:rPr>
        <w:t xml:space="preserve">abovementioned </w:t>
      </w:r>
      <w:r w:rsidR="00464B15">
        <w:rPr>
          <w:lang w:val="en-US"/>
        </w:rPr>
        <w:t>criteria</w:t>
      </w:r>
      <w:r w:rsidR="00585A1B">
        <w:rPr>
          <w:lang w:val="en-US"/>
        </w:rPr>
        <w:t>.</w:t>
      </w:r>
      <w:r w:rsidR="00464B15">
        <w:rPr>
          <w:lang w:val="en-US"/>
        </w:rPr>
        <w:t xml:space="preserve"> That makes it </w:t>
      </w:r>
      <w:r w:rsidR="00EA4FF7">
        <w:rPr>
          <w:lang w:val="en-US"/>
        </w:rPr>
        <w:t xml:space="preserve">less </w:t>
      </w:r>
      <w:r w:rsidR="000B42F1">
        <w:rPr>
          <w:lang w:val="en-US"/>
        </w:rPr>
        <w:t>straightforward</w:t>
      </w:r>
      <w:r w:rsidR="00464B15">
        <w:rPr>
          <w:lang w:val="en-US"/>
        </w:rPr>
        <w:t xml:space="preserve"> to assign this special provision to the appropriate </w:t>
      </w:r>
      <w:r w:rsidR="00F01E37">
        <w:rPr>
          <w:lang w:val="en-US"/>
        </w:rPr>
        <w:t xml:space="preserve">new </w:t>
      </w:r>
      <w:r w:rsidR="00464B15">
        <w:rPr>
          <w:lang w:val="en-US"/>
        </w:rPr>
        <w:t xml:space="preserve">UN entries. </w:t>
      </w:r>
      <w:r w:rsidR="00D83C32" w:rsidRPr="00D73A56">
        <w:t xml:space="preserve">In order to improve the interpretation </w:t>
      </w:r>
      <w:r w:rsidR="00104ABC">
        <w:t xml:space="preserve">and assignment </w:t>
      </w:r>
      <w:r w:rsidR="00D83C32" w:rsidRPr="00D73A56">
        <w:t xml:space="preserve">of </w:t>
      </w:r>
      <w:r w:rsidR="00585A1B">
        <w:rPr>
          <w:lang w:val="en-US"/>
        </w:rPr>
        <w:t>special provision 354</w:t>
      </w:r>
      <w:r w:rsidR="00D83C32" w:rsidRPr="00D73A56">
        <w:t xml:space="preserve">, the Netherlands proposes an amendment to the current </w:t>
      </w:r>
      <w:r w:rsidR="004F146D">
        <w:t>wording</w:t>
      </w:r>
      <w:r w:rsidR="00D83C32" w:rsidRPr="00D73A56">
        <w:t xml:space="preserve"> as shown in paragraph </w:t>
      </w:r>
      <w:r>
        <w:t>9</w:t>
      </w:r>
      <w:r w:rsidR="00D83C32" w:rsidRPr="00D73A56">
        <w:t xml:space="preserve"> below. </w:t>
      </w:r>
    </w:p>
    <w:p w14:paraId="2BC76C41" w14:textId="1F1AF06D" w:rsidR="004F27D7" w:rsidRDefault="00C73C7B" w:rsidP="00443919">
      <w:pPr>
        <w:pStyle w:val="SingleTxtG"/>
      </w:pPr>
      <w:r>
        <w:t>8</w:t>
      </w:r>
      <w:r w:rsidR="00D83C32" w:rsidRPr="00D73A56">
        <w:t xml:space="preserve">. </w:t>
      </w:r>
      <w:r w:rsidR="00D83C32" w:rsidRPr="00D73A56">
        <w:tab/>
        <w:t xml:space="preserve">The proposed changes will increase the </w:t>
      </w:r>
      <w:r w:rsidR="00D73A56" w:rsidRPr="00D73A56">
        <w:t xml:space="preserve">clarity </w:t>
      </w:r>
      <w:r w:rsidR="00F01E37">
        <w:t xml:space="preserve">of the special provision </w:t>
      </w:r>
      <w:r w:rsidR="00D73A56" w:rsidRPr="00D73A56">
        <w:t xml:space="preserve">and will ensure the </w:t>
      </w:r>
      <w:r w:rsidR="00F30E4B">
        <w:t>appropriate</w:t>
      </w:r>
      <w:r w:rsidR="00D73A56" w:rsidRPr="00D73A56">
        <w:t xml:space="preserve"> use </w:t>
      </w:r>
      <w:r w:rsidR="00D83C32" w:rsidRPr="00D73A56">
        <w:t xml:space="preserve">of special provision </w:t>
      </w:r>
      <w:r w:rsidR="00D73A56" w:rsidRPr="00D73A56">
        <w:t>354</w:t>
      </w:r>
      <w:r w:rsidR="00D83C32" w:rsidRPr="00D73A56">
        <w:t>.</w:t>
      </w:r>
      <w:r w:rsidR="004F27D7" w:rsidRPr="002A4054">
        <w:t xml:space="preserve"> </w:t>
      </w:r>
    </w:p>
    <w:p w14:paraId="540C3175" w14:textId="77777777" w:rsidR="00462C42" w:rsidRPr="00736CCC" w:rsidRDefault="00462C42" w:rsidP="00DE287D">
      <w:pPr>
        <w:pStyle w:val="HChG"/>
        <w:spacing w:before="240" w:after="120"/>
      </w:pPr>
      <w:r w:rsidRPr="00736CCC">
        <w:tab/>
      </w:r>
      <w:r w:rsidRPr="00736CCC">
        <w:tab/>
        <w:t>Proposal</w:t>
      </w:r>
    </w:p>
    <w:p w14:paraId="72D23449" w14:textId="5FFD001B" w:rsidR="00462C42" w:rsidRPr="00736CCC" w:rsidRDefault="00C73C7B" w:rsidP="00462C42">
      <w:pPr>
        <w:pStyle w:val="SingleTxtG"/>
      </w:pPr>
      <w:r>
        <w:t>9</w:t>
      </w:r>
      <w:r w:rsidR="00462C42" w:rsidRPr="00736CCC">
        <w:t>.</w:t>
      </w:r>
      <w:r w:rsidR="00462C42" w:rsidRPr="00736CCC">
        <w:tab/>
        <w:t xml:space="preserve">Amend </w:t>
      </w:r>
      <w:r w:rsidR="00462C42">
        <w:t xml:space="preserve">special provision 354 </w:t>
      </w:r>
      <w:r w:rsidR="00462C42" w:rsidRPr="00736CCC">
        <w:t>as follows (</w:t>
      </w:r>
      <w:r w:rsidR="00462C42">
        <w:t>new</w:t>
      </w:r>
      <w:r w:rsidR="00462C42" w:rsidRPr="00736CCC">
        <w:t xml:space="preserve"> text</w:t>
      </w:r>
      <w:r w:rsidR="003A5333">
        <w:t xml:space="preserve"> is</w:t>
      </w:r>
      <w:r w:rsidR="00462C42">
        <w:t xml:space="preserve"> </w:t>
      </w:r>
      <w:r w:rsidR="00462C42" w:rsidRPr="00462C42">
        <w:rPr>
          <w:u w:val="single"/>
        </w:rPr>
        <w:t>underlined</w:t>
      </w:r>
      <w:r w:rsidR="00DF1134">
        <w:t>):</w:t>
      </w:r>
      <w:r w:rsidR="00462C42">
        <w:t xml:space="preserve"> </w:t>
      </w:r>
    </w:p>
    <w:p w14:paraId="639BA28D" w14:textId="135A6DF7" w:rsidR="00462C42" w:rsidRPr="0041652B" w:rsidRDefault="00462C42" w:rsidP="00DE287D">
      <w:pPr>
        <w:pStyle w:val="SingleTxtG"/>
        <w:ind w:firstLine="567"/>
        <w:rPr>
          <w:u w:val="single"/>
        </w:rPr>
      </w:pPr>
      <w:r w:rsidRPr="0041652B">
        <w:t>“354</w:t>
      </w:r>
      <w:r w:rsidR="003A5333">
        <w:tab/>
      </w:r>
      <w:r w:rsidRPr="0041652B">
        <w:t>This substance</w:t>
      </w:r>
      <w:r w:rsidR="002B5EB7">
        <w:t xml:space="preserve"> is</w:t>
      </w:r>
      <w:r w:rsidRPr="0041652B">
        <w:t xml:space="preserve"> toxic by inhalation </w:t>
      </w:r>
      <w:r w:rsidRPr="0041652B">
        <w:rPr>
          <w:u w:val="single"/>
        </w:rPr>
        <w:t>meeting the criteria of</w:t>
      </w:r>
      <w:r w:rsidR="003A5333">
        <w:rPr>
          <w:u w:val="single"/>
        </w:rPr>
        <w:t>:</w:t>
      </w:r>
    </w:p>
    <w:p w14:paraId="64B7F9C6" w14:textId="7E131120" w:rsidR="00462C42" w:rsidRPr="0041652B" w:rsidRDefault="00462C42" w:rsidP="00DE287D">
      <w:pPr>
        <w:pStyle w:val="SingleTxtG"/>
        <w:numPr>
          <w:ilvl w:val="0"/>
          <w:numId w:val="15"/>
        </w:numPr>
        <w:ind w:left="2268" w:hanging="567"/>
        <w:rPr>
          <w:u w:val="single"/>
        </w:rPr>
      </w:pPr>
      <w:r w:rsidRPr="0041652B">
        <w:rPr>
          <w:u w:val="single"/>
        </w:rPr>
        <w:t xml:space="preserve">having </w:t>
      </w:r>
      <w:r w:rsidR="005B16DC" w:rsidRPr="007352C2">
        <w:rPr>
          <w:u w:val="single"/>
        </w:rPr>
        <w:t xml:space="preserve">an </w:t>
      </w:r>
      <w:r w:rsidR="005B16DC" w:rsidRPr="0041652B">
        <w:rPr>
          <w:u w:val="single"/>
        </w:rPr>
        <w:t>LC</w:t>
      </w:r>
      <w:r w:rsidR="005B16DC" w:rsidRPr="004F146D">
        <w:rPr>
          <w:u w:val="single"/>
          <w:vertAlign w:val="subscript"/>
        </w:rPr>
        <w:t>50</w:t>
      </w:r>
      <w:r w:rsidR="005B16DC" w:rsidRPr="0041652B">
        <w:rPr>
          <w:u w:val="single"/>
        </w:rPr>
        <w:t xml:space="preserve"> l</w:t>
      </w:r>
      <w:r w:rsidR="005B16DC">
        <w:rPr>
          <w:u w:val="single"/>
        </w:rPr>
        <w:t>ower</w:t>
      </w:r>
      <w:r w:rsidR="005B16DC" w:rsidRPr="0041652B">
        <w:rPr>
          <w:u w:val="single"/>
        </w:rPr>
        <w:t xml:space="preserve"> than or equal to 1000 ml/m</w:t>
      </w:r>
      <w:r w:rsidR="005B16DC" w:rsidRPr="00F72B4D">
        <w:rPr>
          <w:u w:val="single"/>
          <w:vertAlign w:val="superscript"/>
        </w:rPr>
        <w:t>3</w:t>
      </w:r>
      <w:r w:rsidR="005B16DC">
        <w:rPr>
          <w:u w:val="single"/>
          <w:vertAlign w:val="superscript"/>
        </w:rPr>
        <w:t xml:space="preserve"> </w:t>
      </w:r>
      <w:r w:rsidRPr="0041652B">
        <w:rPr>
          <w:u w:val="single"/>
        </w:rPr>
        <w:t>a</w:t>
      </w:r>
      <w:r w:rsidR="005B16DC">
        <w:rPr>
          <w:u w:val="single"/>
        </w:rPr>
        <w:t>nd</w:t>
      </w:r>
      <w:r w:rsidRPr="0041652B">
        <w:rPr>
          <w:u w:val="single"/>
        </w:rPr>
        <w:t xml:space="preserve"> </w:t>
      </w:r>
      <w:r w:rsidR="005B16DC">
        <w:rPr>
          <w:u w:val="single"/>
        </w:rPr>
        <w:t xml:space="preserve">a </w:t>
      </w:r>
      <w:r w:rsidR="007352C2" w:rsidRPr="0041652B">
        <w:rPr>
          <w:u w:val="single"/>
        </w:rPr>
        <w:t>saturated vapour concentration greater than or equal to 10 LC</w:t>
      </w:r>
      <w:r w:rsidR="007352C2" w:rsidRPr="004F146D">
        <w:rPr>
          <w:u w:val="single"/>
          <w:vertAlign w:val="subscript"/>
        </w:rPr>
        <w:t>50</w:t>
      </w:r>
      <w:r w:rsidRPr="0041652B">
        <w:rPr>
          <w:u w:val="single"/>
        </w:rPr>
        <w:t xml:space="preserve">, or </w:t>
      </w:r>
    </w:p>
    <w:p w14:paraId="00F6191E" w14:textId="3E900910" w:rsidR="00462C42" w:rsidRPr="0041652B" w:rsidRDefault="00462C42" w:rsidP="00DE287D">
      <w:pPr>
        <w:pStyle w:val="SingleTxtG"/>
        <w:numPr>
          <w:ilvl w:val="0"/>
          <w:numId w:val="15"/>
        </w:numPr>
        <w:ind w:left="2268" w:hanging="567"/>
      </w:pPr>
      <w:r w:rsidRPr="0041652B">
        <w:rPr>
          <w:u w:val="single"/>
        </w:rPr>
        <w:t xml:space="preserve">having </w:t>
      </w:r>
      <w:r w:rsidR="005B16DC">
        <w:rPr>
          <w:u w:val="single"/>
        </w:rPr>
        <w:t>a</w:t>
      </w:r>
      <w:r w:rsidR="005B16DC" w:rsidRPr="0041652B">
        <w:rPr>
          <w:u w:val="single"/>
        </w:rPr>
        <w:t>n LC</w:t>
      </w:r>
      <w:r w:rsidR="005B16DC" w:rsidRPr="004F146D">
        <w:rPr>
          <w:u w:val="single"/>
          <w:vertAlign w:val="subscript"/>
        </w:rPr>
        <w:t>50</w:t>
      </w:r>
      <w:r w:rsidR="005B16DC" w:rsidRPr="0041652B">
        <w:rPr>
          <w:u w:val="single"/>
        </w:rPr>
        <w:t xml:space="preserve"> l</w:t>
      </w:r>
      <w:r w:rsidR="005B16DC">
        <w:rPr>
          <w:u w:val="single"/>
        </w:rPr>
        <w:t>ower</w:t>
      </w:r>
      <w:r w:rsidR="005B16DC" w:rsidRPr="0041652B">
        <w:rPr>
          <w:u w:val="single"/>
        </w:rPr>
        <w:t xml:space="preserve"> than or equal to 200 ml/m</w:t>
      </w:r>
      <w:r w:rsidR="005B16DC" w:rsidRPr="00F72B4D">
        <w:rPr>
          <w:u w:val="single"/>
          <w:vertAlign w:val="superscript"/>
        </w:rPr>
        <w:t>3</w:t>
      </w:r>
      <w:r w:rsidR="005B16DC">
        <w:rPr>
          <w:u w:val="single"/>
          <w:vertAlign w:val="superscript"/>
        </w:rPr>
        <w:t xml:space="preserve"> </w:t>
      </w:r>
      <w:r w:rsidR="00DB0EFA" w:rsidRPr="0041652B">
        <w:rPr>
          <w:u w:val="single"/>
        </w:rPr>
        <w:t>a</w:t>
      </w:r>
      <w:r w:rsidR="005B16DC">
        <w:rPr>
          <w:u w:val="single"/>
        </w:rPr>
        <w:t>nd a</w:t>
      </w:r>
      <w:r w:rsidR="00DB0EFA" w:rsidRPr="0041652B">
        <w:rPr>
          <w:u w:val="single"/>
        </w:rPr>
        <w:t xml:space="preserve"> saturated vapour concentration greater than or equal to 500 LC</w:t>
      </w:r>
      <w:r w:rsidR="00DB0EFA" w:rsidRPr="004F146D">
        <w:rPr>
          <w:u w:val="single"/>
          <w:vertAlign w:val="subscript"/>
        </w:rPr>
        <w:t>50</w:t>
      </w:r>
      <w:r w:rsidRPr="0041652B">
        <w:rPr>
          <w:u w:val="single"/>
        </w:rPr>
        <w:t>.</w:t>
      </w:r>
      <w:r w:rsidRPr="0041652B">
        <w:t>”</w:t>
      </w:r>
    </w:p>
    <w:p w14:paraId="54B858A4" w14:textId="573355F9" w:rsidR="00493B59" w:rsidRDefault="00462C42" w:rsidP="00F04806">
      <w:pPr>
        <w:spacing w:before="240"/>
        <w:jc w:val="center"/>
      </w:pPr>
      <w:r>
        <w:rPr>
          <w:u w:val="single"/>
        </w:rPr>
        <w:tab/>
      </w:r>
      <w:r>
        <w:rPr>
          <w:u w:val="single"/>
        </w:rPr>
        <w:tab/>
      </w:r>
      <w:r>
        <w:rPr>
          <w:u w:val="single"/>
        </w:rPr>
        <w:tab/>
      </w:r>
    </w:p>
    <w:sectPr w:rsidR="00493B59" w:rsidSect="00750F56">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DA89D" w14:textId="77777777" w:rsidR="00750F56" w:rsidRPr="00C47B2E" w:rsidRDefault="00750F56" w:rsidP="00C47B2E">
      <w:pPr>
        <w:pStyle w:val="Footer"/>
      </w:pPr>
    </w:p>
  </w:endnote>
  <w:endnote w:type="continuationSeparator" w:id="0">
    <w:p w14:paraId="736B8336" w14:textId="77777777" w:rsidR="00750F56" w:rsidRPr="00C47B2E" w:rsidRDefault="00750F56" w:rsidP="00C47B2E">
      <w:pPr>
        <w:pStyle w:val="Footer"/>
      </w:pPr>
    </w:p>
  </w:endnote>
  <w:endnote w:type="continuationNotice" w:id="1">
    <w:p w14:paraId="4ED0C680" w14:textId="77777777" w:rsidR="00750F56" w:rsidRPr="00C47B2E" w:rsidRDefault="00750F5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F96F" w14:textId="77777777" w:rsidR="00D94B05" w:rsidRPr="00750F56" w:rsidRDefault="00750F56" w:rsidP="00750F56">
    <w:pPr>
      <w:pStyle w:val="Footer"/>
      <w:tabs>
        <w:tab w:val="right" w:pos="9598"/>
        <w:tab w:val="right" w:pos="9638"/>
      </w:tabs>
      <w:rPr>
        <w:sz w:val="18"/>
      </w:rPr>
    </w:pPr>
    <w:r w:rsidRPr="00750F56">
      <w:rPr>
        <w:b/>
        <w:sz w:val="18"/>
      </w:rPr>
      <w:fldChar w:fldCharType="begin"/>
    </w:r>
    <w:r w:rsidRPr="00750F56">
      <w:rPr>
        <w:b/>
        <w:sz w:val="18"/>
      </w:rPr>
      <w:instrText xml:space="preserve"> PAGE  \* MERGEFORMAT </w:instrText>
    </w:r>
    <w:r w:rsidRPr="00750F56">
      <w:rPr>
        <w:b/>
        <w:sz w:val="18"/>
      </w:rPr>
      <w:fldChar w:fldCharType="separate"/>
    </w:r>
    <w:r w:rsidRPr="00750F56">
      <w:rPr>
        <w:b/>
        <w:noProof/>
        <w:sz w:val="18"/>
      </w:rPr>
      <w:t>2</w:t>
    </w:r>
    <w:r w:rsidRPr="00750F5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DB8A" w14:textId="77777777" w:rsidR="00D94B05" w:rsidRPr="00345148" w:rsidRDefault="00750F56" w:rsidP="00345148">
    <w:pPr>
      <w:pStyle w:val="Footer"/>
      <w:tabs>
        <w:tab w:val="left" w:pos="5775"/>
        <w:tab w:val="right" w:pos="9598"/>
        <w:tab w:val="right" w:pos="9638"/>
      </w:tabs>
      <w:jc w:val="right"/>
      <w:rPr>
        <w:b/>
        <w:bCs/>
        <w:sz w:val="18"/>
      </w:rPr>
    </w:pPr>
    <w:r w:rsidRPr="00345148">
      <w:rPr>
        <w:b/>
        <w:bCs/>
        <w:sz w:val="18"/>
      </w:rPr>
      <w:fldChar w:fldCharType="begin"/>
    </w:r>
    <w:r w:rsidRPr="00345148">
      <w:rPr>
        <w:b/>
        <w:bCs/>
        <w:sz w:val="18"/>
      </w:rPr>
      <w:instrText xml:space="preserve"> PAGE  \* MERGEFORMAT </w:instrText>
    </w:r>
    <w:r w:rsidRPr="00345148">
      <w:rPr>
        <w:b/>
        <w:bCs/>
        <w:sz w:val="18"/>
      </w:rPr>
      <w:fldChar w:fldCharType="separate"/>
    </w:r>
    <w:r w:rsidRPr="00345148">
      <w:rPr>
        <w:b/>
        <w:bCs/>
        <w:noProof/>
        <w:sz w:val="18"/>
      </w:rPr>
      <w:t>3</w:t>
    </w:r>
    <w:r w:rsidRPr="0034514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36A6" w14:textId="77777777" w:rsidR="00750F56" w:rsidRPr="00C47B2E" w:rsidRDefault="00750F56" w:rsidP="00C47B2E">
      <w:pPr>
        <w:tabs>
          <w:tab w:val="right" w:pos="2155"/>
        </w:tabs>
        <w:spacing w:after="80" w:line="240" w:lineRule="auto"/>
        <w:ind w:left="680"/>
      </w:pPr>
      <w:r>
        <w:rPr>
          <w:u w:val="single"/>
        </w:rPr>
        <w:tab/>
      </w:r>
    </w:p>
  </w:footnote>
  <w:footnote w:type="continuationSeparator" w:id="0">
    <w:p w14:paraId="6434F177" w14:textId="77777777" w:rsidR="00750F56" w:rsidRPr="00C47B2E" w:rsidRDefault="00750F56" w:rsidP="005E716E">
      <w:pPr>
        <w:tabs>
          <w:tab w:val="right" w:pos="2155"/>
        </w:tabs>
        <w:spacing w:after="80" w:line="240" w:lineRule="auto"/>
        <w:ind w:left="680"/>
      </w:pPr>
      <w:r>
        <w:rPr>
          <w:u w:val="single"/>
        </w:rPr>
        <w:tab/>
      </w:r>
    </w:p>
  </w:footnote>
  <w:footnote w:type="continuationNotice" w:id="1">
    <w:p w14:paraId="185F312D" w14:textId="77777777" w:rsidR="00750F56" w:rsidRPr="00C47B2E" w:rsidRDefault="00750F56" w:rsidP="00C47B2E">
      <w:pPr>
        <w:pStyle w:val="Footer"/>
      </w:pPr>
    </w:p>
  </w:footnote>
  <w:footnote w:id="2">
    <w:p w14:paraId="60369503" w14:textId="13B0CB20" w:rsidR="00B34E88" w:rsidRPr="00B34E88" w:rsidRDefault="00B34E88" w:rsidP="00B34E88">
      <w:pPr>
        <w:pStyle w:val="FootnoteText"/>
        <w:tabs>
          <w:tab w:val="left" w:pos="1418"/>
        </w:tabs>
        <w:ind w:firstLine="0"/>
        <w:rPr>
          <w:lang w:val="fr-CH"/>
        </w:rPr>
      </w:pPr>
      <w:r>
        <w:rPr>
          <w:rStyle w:val="FootnoteReference"/>
        </w:rPr>
        <w:footnoteRef/>
      </w:r>
      <w:r>
        <w:t xml:space="preserve"> </w:t>
      </w:r>
      <w:r>
        <w:tab/>
      </w:r>
      <w:r w:rsidRPr="00B34E88">
        <w:rPr>
          <w:rStyle w:val="FootnoteReference"/>
          <w:sz w:val="20"/>
          <w:vertAlign w:val="baseline"/>
        </w:rPr>
        <w:t>2020 (A/74/6 (Sect.20)) and Supplementary, Subprogramme 2</w:t>
      </w:r>
      <w:r w:rsidR="00F763D6">
        <w:rPr>
          <w:sz w:val="20"/>
        </w:rPr>
        <w:t>.</w:t>
      </w:r>
      <w:r w:rsidR="0054726B">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5552" w14:textId="379B5CF1" w:rsidR="00750F56" w:rsidRPr="00FC09C4" w:rsidRDefault="00FC09C4">
    <w:pPr>
      <w:pStyle w:val="Header"/>
      <w:rPr>
        <w:lang w:val="fr-CH"/>
      </w:rPr>
    </w:pPr>
    <w:r w:rsidRPr="00DE287D">
      <w:rPr>
        <w:lang w:val="fr-CH"/>
      </w:rPr>
      <w:t>ST/SG/AC.10/C.3/2020/</w:t>
    </w:r>
    <w:r w:rsidR="00DE287D">
      <w:rPr>
        <w:lang w:val="fr-CH"/>
      </w:rPr>
      <w:t>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1BBF" w14:textId="77777777" w:rsidR="00D94B05" w:rsidRPr="00750F56" w:rsidRDefault="00FC09C4" w:rsidP="00750F56">
    <w:pPr>
      <w:pStyle w:val="Header"/>
      <w:jc w:val="right"/>
    </w:pPr>
    <w:r>
      <w:t>ST/SG/AC.10/C.3/2020/2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4D9F" w14:textId="77777777" w:rsidR="00FC09C4" w:rsidRDefault="00FC09C4" w:rsidP="00FC09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EA4"/>
    <w:multiLevelType w:val="hybridMultilevel"/>
    <w:tmpl w:val="D7D8F6E2"/>
    <w:lvl w:ilvl="0" w:tplc="54FE1F3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15:restartNumberingAfterBreak="0">
    <w:nsid w:val="0A27243F"/>
    <w:multiLevelType w:val="hybridMultilevel"/>
    <w:tmpl w:val="7158AB2E"/>
    <w:lvl w:ilvl="0" w:tplc="F34C49AA">
      <w:numFmt w:val="bullet"/>
      <w:lvlText w:val="-"/>
      <w:lvlJc w:val="left"/>
      <w:pPr>
        <w:ind w:left="720" w:hanging="360"/>
      </w:pPr>
      <w:rPr>
        <w:rFonts w:ascii="Verdana" w:eastAsia="Calibri" w:hAnsi="Verdana" w:cs="Calibri Light" w:hint="default"/>
        <w:u w:val="singl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B010C"/>
    <w:multiLevelType w:val="hybridMultilevel"/>
    <w:tmpl w:val="B9127DE4"/>
    <w:lvl w:ilvl="0" w:tplc="EA240A7C">
      <w:start w:val="4"/>
      <w:numFmt w:val="bullet"/>
      <w:lvlText w:val=""/>
      <w:lvlJc w:val="left"/>
      <w:pPr>
        <w:ind w:left="720" w:hanging="360"/>
      </w:pPr>
      <w:rPr>
        <w:rFonts w:ascii="Wingdings" w:eastAsia="SimSu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FC204F"/>
    <w:multiLevelType w:val="hybridMultilevel"/>
    <w:tmpl w:val="28663DC0"/>
    <w:lvl w:ilvl="0" w:tplc="5D68EE86">
      <w:numFmt w:val="bullet"/>
      <w:lvlText w:val="-"/>
      <w:lvlJc w:val="left"/>
      <w:pPr>
        <w:ind w:left="1494" w:hanging="360"/>
      </w:pPr>
      <w:rPr>
        <w:rFonts w:ascii="Times New Roman" w:eastAsia="SimSu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9" w15:restartNumberingAfterBreak="0">
    <w:nsid w:val="3057346B"/>
    <w:multiLevelType w:val="hybridMultilevel"/>
    <w:tmpl w:val="A05433C4"/>
    <w:lvl w:ilvl="0" w:tplc="A8B6F258">
      <w:start w:val="4"/>
      <w:numFmt w:val="bullet"/>
      <w:lvlText w:val=""/>
      <w:lvlJc w:val="left"/>
      <w:pPr>
        <w:ind w:left="720" w:hanging="360"/>
      </w:pPr>
      <w:rPr>
        <w:rFonts w:ascii="Wingdings" w:eastAsia="SimSu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E770E"/>
    <w:multiLevelType w:val="hybridMultilevel"/>
    <w:tmpl w:val="5E601DDE"/>
    <w:lvl w:ilvl="0" w:tplc="68BA4542">
      <w:start w:val="1"/>
      <w:numFmt w:val="decimal"/>
      <w:lvlText w:val="%1."/>
      <w:lvlJc w:val="left"/>
      <w:pPr>
        <w:ind w:left="1689" w:hanging="555"/>
      </w:pPr>
      <w:rPr>
        <w:rFonts w:hint="default"/>
        <w:color w:val="auto"/>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72D8112B"/>
    <w:multiLevelType w:val="multilevel"/>
    <w:tmpl w:val="93A6E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0"/>
  </w:num>
  <w:num w:numId="4">
    <w:abstractNumId w:val="11"/>
  </w:num>
  <w:num w:numId="5">
    <w:abstractNumId w:val="12"/>
  </w:num>
  <w:num w:numId="6">
    <w:abstractNumId w:val="16"/>
  </w:num>
  <w:num w:numId="7">
    <w:abstractNumId w:val="5"/>
  </w:num>
  <w:num w:numId="8">
    <w:abstractNumId w:val="1"/>
  </w:num>
  <w:num w:numId="9">
    <w:abstractNumId w:val="13"/>
  </w:num>
  <w:num w:numId="10">
    <w:abstractNumId w:val="1"/>
  </w:num>
  <w:num w:numId="11">
    <w:abstractNumId w:val="13"/>
  </w:num>
  <w:num w:numId="12">
    <w:abstractNumId w:val="4"/>
  </w:num>
  <w:num w:numId="13">
    <w:abstractNumId w:val="4"/>
  </w:num>
  <w:num w:numId="14">
    <w:abstractNumId w:val="3"/>
  </w:num>
  <w:num w:numId="15">
    <w:abstractNumId w:val="8"/>
  </w:num>
  <w:num w:numId="16">
    <w:abstractNumId w:val="14"/>
  </w:num>
  <w:num w:numId="17">
    <w:abstractNumId w:val="2"/>
  </w:num>
  <w:num w:numId="18">
    <w:abstractNumId w:val="15"/>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614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56"/>
    <w:rsid w:val="00001ED9"/>
    <w:rsid w:val="000036D8"/>
    <w:rsid w:val="00016288"/>
    <w:rsid w:val="00037C71"/>
    <w:rsid w:val="000423B7"/>
    <w:rsid w:val="00046807"/>
    <w:rsid w:val="00046E92"/>
    <w:rsid w:val="00047949"/>
    <w:rsid w:val="00056D5E"/>
    <w:rsid w:val="00063C90"/>
    <w:rsid w:val="00081398"/>
    <w:rsid w:val="00084D94"/>
    <w:rsid w:val="00087FB5"/>
    <w:rsid w:val="000A74C3"/>
    <w:rsid w:val="000B29E9"/>
    <w:rsid w:val="000B42F1"/>
    <w:rsid w:val="000C31BF"/>
    <w:rsid w:val="001010A5"/>
    <w:rsid w:val="00101B98"/>
    <w:rsid w:val="00104ABC"/>
    <w:rsid w:val="00112B4E"/>
    <w:rsid w:val="001456C9"/>
    <w:rsid w:val="00150D64"/>
    <w:rsid w:val="001514D1"/>
    <w:rsid w:val="00177CC6"/>
    <w:rsid w:val="00180A71"/>
    <w:rsid w:val="00186935"/>
    <w:rsid w:val="001A3062"/>
    <w:rsid w:val="001C0320"/>
    <w:rsid w:val="001C0785"/>
    <w:rsid w:val="001C10DB"/>
    <w:rsid w:val="001D4AE0"/>
    <w:rsid w:val="001E4FD4"/>
    <w:rsid w:val="001F0807"/>
    <w:rsid w:val="001F0D40"/>
    <w:rsid w:val="001F35F1"/>
    <w:rsid w:val="00205445"/>
    <w:rsid w:val="00224F3C"/>
    <w:rsid w:val="00237B8F"/>
    <w:rsid w:val="0024683F"/>
    <w:rsid w:val="0024797E"/>
    <w:rsid w:val="00247E2C"/>
    <w:rsid w:val="00250989"/>
    <w:rsid w:val="0025312C"/>
    <w:rsid w:val="00264765"/>
    <w:rsid w:val="00280821"/>
    <w:rsid w:val="002A12A3"/>
    <w:rsid w:val="002A32CB"/>
    <w:rsid w:val="002A4054"/>
    <w:rsid w:val="002B1D49"/>
    <w:rsid w:val="002B5EB7"/>
    <w:rsid w:val="002C30A5"/>
    <w:rsid w:val="002D5B2C"/>
    <w:rsid w:val="002D6C53"/>
    <w:rsid w:val="002E1EB9"/>
    <w:rsid w:val="002F5595"/>
    <w:rsid w:val="00320502"/>
    <w:rsid w:val="00334AB7"/>
    <w:rsid w:val="00334F6A"/>
    <w:rsid w:val="00342AC8"/>
    <w:rsid w:val="00343302"/>
    <w:rsid w:val="00345148"/>
    <w:rsid w:val="0035531C"/>
    <w:rsid w:val="00365A46"/>
    <w:rsid w:val="003702D8"/>
    <w:rsid w:val="00372E98"/>
    <w:rsid w:val="00373A95"/>
    <w:rsid w:val="003867A3"/>
    <w:rsid w:val="00392129"/>
    <w:rsid w:val="003957DC"/>
    <w:rsid w:val="003979DE"/>
    <w:rsid w:val="003A5333"/>
    <w:rsid w:val="003B1717"/>
    <w:rsid w:val="003B4550"/>
    <w:rsid w:val="003B5123"/>
    <w:rsid w:val="003B72A1"/>
    <w:rsid w:val="003D2A18"/>
    <w:rsid w:val="003E71F7"/>
    <w:rsid w:val="003F01D6"/>
    <w:rsid w:val="003F744C"/>
    <w:rsid w:val="00413386"/>
    <w:rsid w:val="0041652B"/>
    <w:rsid w:val="00425934"/>
    <w:rsid w:val="00434EB5"/>
    <w:rsid w:val="004426F0"/>
    <w:rsid w:val="00443919"/>
    <w:rsid w:val="00447B6F"/>
    <w:rsid w:val="004519E2"/>
    <w:rsid w:val="0045563B"/>
    <w:rsid w:val="00461253"/>
    <w:rsid w:val="00461801"/>
    <w:rsid w:val="00462C42"/>
    <w:rsid w:val="00463016"/>
    <w:rsid w:val="00464B15"/>
    <w:rsid w:val="00465186"/>
    <w:rsid w:val="004735C0"/>
    <w:rsid w:val="0048566F"/>
    <w:rsid w:val="004858F5"/>
    <w:rsid w:val="00493A43"/>
    <w:rsid w:val="00493B59"/>
    <w:rsid w:val="004A2814"/>
    <w:rsid w:val="004A76D9"/>
    <w:rsid w:val="004C0622"/>
    <w:rsid w:val="004C2DBB"/>
    <w:rsid w:val="004F146D"/>
    <w:rsid w:val="004F27D7"/>
    <w:rsid w:val="00501190"/>
    <w:rsid w:val="00503612"/>
    <w:rsid w:val="005042C2"/>
    <w:rsid w:val="0050679D"/>
    <w:rsid w:val="0051524C"/>
    <w:rsid w:val="005374AE"/>
    <w:rsid w:val="0054726B"/>
    <w:rsid w:val="0056016D"/>
    <w:rsid w:val="00562D2B"/>
    <w:rsid w:val="00563C39"/>
    <w:rsid w:val="00575FE5"/>
    <w:rsid w:val="005769A6"/>
    <w:rsid w:val="00585A1B"/>
    <w:rsid w:val="005B16DC"/>
    <w:rsid w:val="005B75BF"/>
    <w:rsid w:val="005E716E"/>
    <w:rsid w:val="005F4C76"/>
    <w:rsid w:val="00601D1A"/>
    <w:rsid w:val="00615223"/>
    <w:rsid w:val="006175B8"/>
    <w:rsid w:val="006215FD"/>
    <w:rsid w:val="0062239B"/>
    <w:rsid w:val="0064259A"/>
    <w:rsid w:val="006476E1"/>
    <w:rsid w:val="00650C33"/>
    <w:rsid w:val="0065647F"/>
    <w:rsid w:val="006604DF"/>
    <w:rsid w:val="00671529"/>
    <w:rsid w:val="006754DA"/>
    <w:rsid w:val="00694043"/>
    <w:rsid w:val="00695C98"/>
    <w:rsid w:val="006A0E03"/>
    <w:rsid w:val="006B022D"/>
    <w:rsid w:val="006B54F2"/>
    <w:rsid w:val="006D4F6E"/>
    <w:rsid w:val="006D639B"/>
    <w:rsid w:val="006E1AF6"/>
    <w:rsid w:val="006E27CA"/>
    <w:rsid w:val="006F4C5F"/>
    <w:rsid w:val="0070489D"/>
    <w:rsid w:val="00704F44"/>
    <w:rsid w:val="007268F9"/>
    <w:rsid w:val="00731BA4"/>
    <w:rsid w:val="007352C2"/>
    <w:rsid w:val="00750282"/>
    <w:rsid w:val="00750F56"/>
    <w:rsid w:val="00764440"/>
    <w:rsid w:val="0077101B"/>
    <w:rsid w:val="0077415C"/>
    <w:rsid w:val="00784886"/>
    <w:rsid w:val="00795B77"/>
    <w:rsid w:val="007C52B0"/>
    <w:rsid w:val="007C6033"/>
    <w:rsid w:val="007D1085"/>
    <w:rsid w:val="007D121A"/>
    <w:rsid w:val="007D3029"/>
    <w:rsid w:val="007E3D12"/>
    <w:rsid w:val="007F20CB"/>
    <w:rsid w:val="008029EE"/>
    <w:rsid w:val="008147C8"/>
    <w:rsid w:val="0081753A"/>
    <w:rsid w:val="00820C9F"/>
    <w:rsid w:val="00831A0C"/>
    <w:rsid w:val="00837155"/>
    <w:rsid w:val="00844E70"/>
    <w:rsid w:val="008506BA"/>
    <w:rsid w:val="00857D23"/>
    <w:rsid w:val="008645EE"/>
    <w:rsid w:val="0086732C"/>
    <w:rsid w:val="00870C36"/>
    <w:rsid w:val="008E476D"/>
    <w:rsid w:val="008E6683"/>
    <w:rsid w:val="009029A3"/>
    <w:rsid w:val="00903393"/>
    <w:rsid w:val="00926B6D"/>
    <w:rsid w:val="00935936"/>
    <w:rsid w:val="009403A3"/>
    <w:rsid w:val="009411B4"/>
    <w:rsid w:val="00941510"/>
    <w:rsid w:val="00946F1D"/>
    <w:rsid w:val="00947C4C"/>
    <w:rsid w:val="00971091"/>
    <w:rsid w:val="00975BDB"/>
    <w:rsid w:val="00977892"/>
    <w:rsid w:val="009A630D"/>
    <w:rsid w:val="009B35AB"/>
    <w:rsid w:val="009C4383"/>
    <w:rsid w:val="009C5426"/>
    <w:rsid w:val="009C6970"/>
    <w:rsid w:val="009D0139"/>
    <w:rsid w:val="009D717D"/>
    <w:rsid w:val="009F5CDC"/>
    <w:rsid w:val="00A072D7"/>
    <w:rsid w:val="00A11AA8"/>
    <w:rsid w:val="00A258A5"/>
    <w:rsid w:val="00A25EEB"/>
    <w:rsid w:val="00A36693"/>
    <w:rsid w:val="00A51607"/>
    <w:rsid w:val="00A52DF2"/>
    <w:rsid w:val="00A56FEC"/>
    <w:rsid w:val="00A6163E"/>
    <w:rsid w:val="00A775CF"/>
    <w:rsid w:val="00A80B52"/>
    <w:rsid w:val="00A95977"/>
    <w:rsid w:val="00A96349"/>
    <w:rsid w:val="00AB2A61"/>
    <w:rsid w:val="00AB2E07"/>
    <w:rsid w:val="00AC0177"/>
    <w:rsid w:val="00AD1A9C"/>
    <w:rsid w:val="00AD1B1B"/>
    <w:rsid w:val="00AE1060"/>
    <w:rsid w:val="00AE168B"/>
    <w:rsid w:val="00AE17FC"/>
    <w:rsid w:val="00AE3339"/>
    <w:rsid w:val="00AE499D"/>
    <w:rsid w:val="00AF5DE1"/>
    <w:rsid w:val="00B00533"/>
    <w:rsid w:val="00B06045"/>
    <w:rsid w:val="00B206DD"/>
    <w:rsid w:val="00B30E4A"/>
    <w:rsid w:val="00B34E88"/>
    <w:rsid w:val="00B42178"/>
    <w:rsid w:val="00B43BF2"/>
    <w:rsid w:val="00B52EF4"/>
    <w:rsid w:val="00B54F52"/>
    <w:rsid w:val="00B625A3"/>
    <w:rsid w:val="00B667D4"/>
    <w:rsid w:val="00B720DF"/>
    <w:rsid w:val="00B777AD"/>
    <w:rsid w:val="00B80F6F"/>
    <w:rsid w:val="00B878AF"/>
    <w:rsid w:val="00B938C1"/>
    <w:rsid w:val="00BB165B"/>
    <w:rsid w:val="00BB3456"/>
    <w:rsid w:val="00BC039D"/>
    <w:rsid w:val="00BC27A6"/>
    <w:rsid w:val="00C022E7"/>
    <w:rsid w:val="00C03015"/>
    <w:rsid w:val="00C0358D"/>
    <w:rsid w:val="00C23EC6"/>
    <w:rsid w:val="00C241D8"/>
    <w:rsid w:val="00C33C2C"/>
    <w:rsid w:val="00C35A27"/>
    <w:rsid w:val="00C47B2E"/>
    <w:rsid w:val="00C6470A"/>
    <w:rsid w:val="00C67A6B"/>
    <w:rsid w:val="00C737A1"/>
    <w:rsid w:val="00C73C7B"/>
    <w:rsid w:val="00C74F29"/>
    <w:rsid w:val="00C97439"/>
    <w:rsid w:val="00CC1C70"/>
    <w:rsid w:val="00CC400B"/>
    <w:rsid w:val="00CC47D2"/>
    <w:rsid w:val="00CC587D"/>
    <w:rsid w:val="00CD585A"/>
    <w:rsid w:val="00CE05A7"/>
    <w:rsid w:val="00CE6F8E"/>
    <w:rsid w:val="00CF26F8"/>
    <w:rsid w:val="00CF69CF"/>
    <w:rsid w:val="00D3612E"/>
    <w:rsid w:val="00D402AA"/>
    <w:rsid w:val="00D54DFE"/>
    <w:rsid w:val="00D63CD2"/>
    <w:rsid w:val="00D73A56"/>
    <w:rsid w:val="00D82FEB"/>
    <w:rsid w:val="00D83C32"/>
    <w:rsid w:val="00D87DC2"/>
    <w:rsid w:val="00D909F1"/>
    <w:rsid w:val="00D94B05"/>
    <w:rsid w:val="00D963A1"/>
    <w:rsid w:val="00D970AA"/>
    <w:rsid w:val="00DA5396"/>
    <w:rsid w:val="00DB0EFA"/>
    <w:rsid w:val="00DC140D"/>
    <w:rsid w:val="00DD2EA7"/>
    <w:rsid w:val="00DE287D"/>
    <w:rsid w:val="00DF1134"/>
    <w:rsid w:val="00DF3A2A"/>
    <w:rsid w:val="00E02C2B"/>
    <w:rsid w:val="00E21C27"/>
    <w:rsid w:val="00E26BCF"/>
    <w:rsid w:val="00E36309"/>
    <w:rsid w:val="00E44F6C"/>
    <w:rsid w:val="00E52109"/>
    <w:rsid w:val="00E54A8C"/>
    <w:rsid w:val="00E670D9"/>
    <w:rsid w:val="00E75317"/>
    <w:rsid w:val="00E8139D"/>
    <w:rsid w:val="00EA4FF7"/>
    <w:rsid w:val="00EB27AD"/>
    <w:rsid w:val="00EC0CE6"/>
    <w:rsid w:val="00EC7C1D"/>
    <w:rsid w:val="00ED6C48"/>
    <w:rsid w:val="00EE3045"/>
    <w:rsid w:val="00EE4C69"/>
    <w:rsid w:val="00EF1AC3"/>
    <w:rsid w:val="00F01E37"/>
    <w:rsid w:val="00F04806"/>
    <w:rsid w:val="00F07B01"/>
    <w:rsid w:val="00F25614"/>
    <w:rsid w:val="00F30E4B"/>
    <w:rsid w:val="00F31B77"/>
    <w:rsid w:val="00F53B05"/>
    <w:rsid w:val="00F574F5"/>
    <w:rsid w:val="00F65F5D"/>
    <w:rsid w:val="00F72B4D"/>
    <w:rsid w:val="00F763D6"/>
    <w:rsid w:val="00F82B50"/>
    <w:rsid w:val="00F85D01"/>
    <w:rsid w:val="00F86A3A"/>
    <w:rsid w:val="00FB3FFF"/>
    <w:rsid w:val="00FC09C4"/>
    <w:rsid w:val="00FD40E1"/>
    <w:rsid w:val="00FE185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90A195"/>
  <w15:docId w15:val="{BF16E55C-CBCC-4E2A-91FD-4FC1DA6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493B59"/>
    <w:rPr>
      <w:b/>
      <w:sz w:val="28"/>
    </w:rPr>
  </w:style>
  <w:style w:type="character" w:customStyle="1" w:styleId="H1GChar">
    <w:name w:val="_ H_1_G Char"/>
    <w:link w:val="H1G"/>
    <w:locked/>
    <w:rsid w:val="00493B59"/>
    <w:rPr>
      <w:b/>
      <w:sz w:val="24"/>
    </w:rPr>
  </w:style>
  <w:style w:type="character" w:customStyle="1" w:styleId="H23GChar">
    <w:name w:val="_ H_2/3_G Char"/>
    <w:link w:val="H23G"/>
    <w:rsid w:val="00493B59"/>
    <w:rPr>
      <w:b/>
    </w:rPr>
  </w:style>
  <w:style w:type="paragraph" w:customStyle="1" w:styleId="Default">
    <w:name w:val="Default"/>
    <w:basedOn w:val="Normal"/>
    <w:rsid w:val="002A4054"/>
    <w:pPr>
      <w:suppressAutoHyphens w:val="0"/>
      <w:kinsoku/>
      <w:overflowPunct/>
      <w:adjustRightInd/>
      <w:snapToGrid/>
      <w:spacing w:line="240" w:lineRule="auto"/>
    </w:pPr>
    <w:rPr>
      <w:rFonts w:eastAsiaTheme="minorHAnsi"/>
      <w:color w:val="000000"/>
      <w:sz w:val="24"/>
      <w:szCs w:val="24"/>
      <w:lang w:val="nl-NL" w:eastAsia="en-US"/>
    </w:rPr>
  </w:style>
  <w:style w:type="character" w:customStyle="1" w:styleId="SingleTxtGChar">
    <w:name w:val="_ Single Txt_G Char"/>
    <w:basedOn w:val="DefaultParagraphFont"/>
    <w:link w:val="SingleTxtG"/>
    <w:rsid w:val="00462C42"/>
  </w:style>
  <w:style w:type="character" w:styleId="CommentReference">
    <w:name w:val="annotation reference"/>
    <w:basedOn w:val="DefaultParagraphFont"/>
    <w:uiPriority w:val="99"/>
    <w:semiHidden/>
    <w:unhideWhenUsed/>
    <w:rsid w:val="00A80B52"/>
    <w:rPr>
      <w:sz w:val="16"/>
      <w:szCs w:val="16"/>
    </w:rPr>
  </w:style>
  <w:style w:type="paragraph" w:styleId="CommentText">
    <w:name w:val="annotation text"/>
    <w:basedOn w:val="Normal"/>
    <w:link w:val="CommentTextChar"/>
    <w:uiPriority w:val="99"/>
    <w:semiHidden/>
    <w:unhideWhenUsed/>
    <w:rsid w:val="00A80B52"/>
    <w:pPr>
      <w:spacing w:line="240" w:lineRule="auto"/>
    </w:pPr>
  </w:style>
  <w:style w:type="character" w:customStyle="1" w:styleId="CommentTextChar">
    <w:name w:val="Comment Text Char"/>
    <w:basedOn w:val="DefaultParagraphFont"/>
    <w:link w:val="CommentText"/>
    <w:uiPriority w:val="99"/>
    <w:semiHidden/>
    <w:rsid w:val="00A80B52"/>
  </w:style>
  <w:style w:type="paragraph" w:styleId="CommentSubject">
    <w:name w:val="annotation subject"/>
    <w:basedOn w:val="CommentText"/>
    <w:next w:val="CommentText"/>
    <w:link w:val="CommentSubjectChar"/>
    <w:uiPriority w:val="99"/>
    <w:semiHidden/>
    <w:unhideWhenUsed/>
    <w:rsid w:val="00A80B52"/>
    <w:rPr>
      <w:b/>
      <w:bCs/>
    </w:rPr>
  </w:style>
  <w:style w:type="character" w:customStyle="1" w:styleId="CommentSubjectChar">
    <w:name w:val="Comment Subject Char"/>
    <w:basedOn w:val="CommentTextChar"/>
    <w:link w:val="CommentSubject"/>
    <w:uiPriority w:val="99"/>
    <w:semiHidden/>
    <w:rsid w:val="00A80B52"/>
    <w:rPr>
      <w:b/>
      <w:bCs/>
    </w:rPr>
  </w:style>
  <w:style w:type="paragraph" w:styleId="Revision">
    <w:name w:val="Revision"/>
    <w:hidden/>
    <w:uiPriority w:val="99"/>
    <w:semiHidden/>
    <w:rsid w:val="008E6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7378">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7819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D4E4-7547-418F-8B4E-64FCE490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TotalTime>
  <Pages>2</Pages>
  <Words>935</Words>
  <Characters>5183</Characters>
  <Application>Microsoft Office Word</Application>
  <DocSecurity>0</DocSecurity>
  <Lines>91</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ST/SG/AC.10/C.3/2020/xx</vt:lpstr>
      <vt:lpstr>ST/SG/AC.10/C.3/2020/xx</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ST/SG/AC.10/C.3/2020/xx</dc:title>
  <dc:subject/>
  <dc:creator>Rosa</dc:creator>
  <cp:lastModifiedBy>Laurence Berthet</cp:lastModifiedBy>
  <cp:revision>3</cp:revision>
  <cp:lastPrinted>2020-09-04T08:58:00Z</cp:lastPrinted>
  <dcterms:created xsi:type="dcterms:W3CDTF">2020-09-04T08:16:00Z</dcterms:created>
  <dcterms:modified xsi:type="dcterms:W3CDTF">2020-09-04T08:58:00Z</dcterms:modified>
</cp:coreProperties>
</file>