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004AB5B4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827E788" w14:textId="77777777" w:rsidR="00132EA9" w:rsidRPr="00DB58B5" w:rsidRDefault="00132EA9" w:rsidP="000C6DD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DEA067A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6074765" w14:textId="77777777" w:rsidR="00132EA9" w:rsidRPr="00DB58B5" w:rsidRDefault="000C6DDB" w:rsidP="000C6DDB">
            <w:pPr>
              <w:jc w:val="right"/>
            </w:pPr>
            <w:r w:rsidRPr="000C6DDB">
              <w:rPr>
                <w:sz w:val="40"/>
              </w:rPr>
              <w:t>ST</w:t>
            </w:r>
            <w:r>
              <w:t>/SG/AC.10/C.3/2020/56/Rev.1</w:t>
            </w:r>
          </w:p>
        </w:tc>
      </w:tr>
      <w:tr w:rsidR="00132EA9" w:rsidRPr="00DB58B5" w14:paraId="2FB446B6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D295CDB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5A9D634" wp14:editId="5F8B41E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DC2CAE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7AADF63" w14:textId="77777777" w:rsidR="00132EA9" w:rsidRDefault="000C6DDB" w:rsidP="00F01738">
            <w:pPr>
              <w:spacing w:before="240"/>
            </w:pPr>
            <w:r>
              <w:t>Distr. générale</w:t>
            </w:r>
          </w:p>
          <w:p w14:paraId="41489A14" w14:textId="77777777" w:rsidR="000C6DDB" w:rsidRDefault="000C6DDB" w:rsidP="000C6DDB">
            <w:pPr>
              <w:spacing w:line="240" w:lineRule="exact"/>
            </w:pPr>
            <w:r>
              <w:t>14 septembre 2020</w:t>
            </w:r>
          </w:p>
          <w:p w14:paraId="194BC530" w14:textId="77777777" w:rsidR="000C6DDB" w:rsidRDefault="000C6DDB" w:rsidP="000C6DDB">
            <w:pPr>
              <w:spacing w:line="240" w:lineRule="exact"/>
            </w:pPr>
            <w:r>
              <w:t>Français</w:t>
            </w:r>
          </w:p>
          <w:p w14:paraId="0AD886B3" w14:textId="77777777" w:rsidR="000C6DDB" w:rsidRPr="00DB58B5" w:rsidRDefault="000C6DDB" w:rsidP="000C6DDB">
            <w:pPr>
              <w:spacing w:line="240" w:lineRule="exact"/>
            </w:pPr>
            <w:r>
              <w:t>Original : anglais</w:t>
            </w:r>
          </w:p>
        </w:tc>
      </w:tr>
    </w:tbl>
    <w:p w14:paraId="32098B1C" w14:textId="77777777" w:rsidR="000C6DDB" w:rsidRPr="00CA0680" w:rsidRDefault="000C6DDB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3F55D3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3F55D3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332A8697" w14:textId="77777777" w:rsidR="000C6DDB" w:rsidRPr="00CA0680" w:rsidRDefault="000C6DDB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3F55D3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017A2B65" w14:textId="77777777" w:rsidR="000C6DDB" w:rsidRDefault="000C6DDB" w:rsidP="000305D3">
      <w:pPr>
        <w:spacing w:before="120"/>
        <w:rPr>
          <w:b/>
        </w:rPr>
      </w:pPr>
      <w:r>
        <w:rPr>
          <w:b/>
          <w:bCs/>
          <w:lang w:val="fr-FR"/>
        </w:rPr>
        <w:t xml:space="preserve">Cinquante-septième </w:t>
      </w:r>
      <w:r w:rsidRPr="00CA0680">
        <w:rPr>
          <w:b/>
        </w:rPr>
        <w:t>session</w:t>
      </w:r>
    </w:p>
    <w:p w14:paraId="46DF81AE" w14:textId="77777777" w:rsidR="000C6DDB" w:rsidRDefault="000C6DDB" w:rsidP="000305D3">
      <w:r>
        <w:t xml:space="preserve">Genève, </w:t>
      </w:r>
      <w:r>
        <w:rPr>
          <w:lang w:val="fr-FR"/>
        </w:rPr>
        <w:t>30 novembre-8 décembre 2020</w:t>
      </w:r>
    </w:p>
    <w:p w14:paraId="077ECEB3" w14:textId="77777777" w:rsidR="000C6DDB" w:rsidRDefault="000C6DDB" w:rsidP="000305D3">
      <w:r>
        <w:t>Point 4 c) de l</w:t>
      </w:r>
      <w:r w:rsidR="003F55D3">
        <w:t>’</w:t>
      </w:r>
      <w:r>
        <w:t>ordre du jour provisoire</w:t>
      </w:r>
    </w:p>
    <w:p w14:paraId="26CC69D8" w14:textId="77777777" w:rsidR="000C6DDB" w:rsidRPr="00F74567" w:rsidRDefault="000C6DDB" w:rsidP="000C6DDB">
      <w:pPr>
        <w:rPr>
          <w:b/>
          <w:bCs/>
          <w:lang w:val="fr-FR"/>
        </w:rPr>
      </w:pPr>
      <w:r>
        <w:rPr>
          <w:b/>
          <w:bCs/>
          <w:lang w:val="fr-FR"/>
        </w:rPr>
        <w:t>Systèmes de stockage de l</w:t>
      </w:r>
      <w:r w:rsidR="003F55D3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électricité : </w:t>
      </w:r>
      <w:r>
        <w:rPr>
          <w:b/>
          <w:bCs/>
          <w:lang w:val="fr-FR"/>
        </w:rPr>
        <w:br/>
        <w:t>dispositions relatives au transport</w:t>
      </w:r>
    </w:p>
    <w:p w14:paraId="0B053B85" w14:textId="77777777" w:rsidR="000C6DDB" w:rsidRPr="00F74567" w:rsidRDefault="000C6DDB" w:rsidP="000C6DD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Emballages intérieurs pour piles et batteries au lithium − Précisions apportées aux prescriptions de l</w:t>
      </w:r>
      <w:r w:rsidR="003F55D3">
        <w:rPr>
          <w:lang w:val="fr-FR"/>
        </w:rPr>
        <w:t>’</w:t>
      </w:r>
      <w:r>
        <w:rPr>
          <w:lang w:val="fr-FR"/>
        </w:rPr>
        <w:t>instruction d</w:t>
      </w:r>
      <w:r w:rsidR="003F55D3">
        <w:rPr>
          <w:lang w:val="fr-FR"/>
        </w:rPr>
        <w:t>’</w:t>
      </w:r>
      <w:r>
        <w:rPr>
          <w:lang w:val="fr-FR"/>
        </w:rPr>
        <w:t>emballage P903</w:t>
      </w:r>
    </w:p>
    <w:p w14:paraId="62C90BB2" w14:textId="77777777" w:rsidR="000C6DDB" w:rsidRPr="00F74567" w:rsidRDefault="000C6DDB" w:rsidP="000C6DDB">
      <w:pPr>
        <w:pStyle w:val="H1G"/>
        <w:spacing w:before="240" w:after="120"/>
        <w:rPr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Communication de l</w:t>
      </w:r>
      <w:r w:rsidR="003F55D3">
        <w:rPr>
          <w:bCs/>
          <w:lang w:val="fr-FR"/>
        </w:rPr>
        <w:t>’</w:t>
      </w:r>
      <w:r>
        <w:rPr>
          <w:bCs/>
          <w:lang w:val="fr-FR"/>
        </w:rPr>
        <w:t>expert des États-Unis d</w:t>
      </w:r>
      <w:r w:rsidR="003F55D3">
        <w:rPr>
          <w:bCs/>
          <w:lang w:val="fr-FR"/>
        </w:rPr>
        <w:t>’</w:t>
      </w:r>
      <w:r>
        <w:rPr>
          <w:bCs/>
          <w:lang w:val="fr-FR"/>
        </w:rPr>
        <w:t>Amérique</w:t>
      </w:r>
      <w:r w:rsidRPr="000C6DD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5D29636" w14:textId="77777777" w:rsidR="000C6DDB" w:rsidRPr="00F74567" w:rsidRDefault="000C6DDB" w:rsidP="000C6DDB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Révision</w:t>
      </w:r>
    </w:p>
    <w:p w14:paraId="0AD97AB3" w14:textId="77777777" w:rsidR="000C6DDB" w:rsidRPr="00F74567" w:rsidRDefault="000C6DDB" w:rsidP="000C6DDB">
      <w:pPr>
        <w:pStyle w:val="HChG"/>
        <w:rPr>
          <w:rFonts w:eastAsia="MS Mincho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5444D9C7" w14:textId="77777777" w:rsidR="000C6DDB" w:rsidRPr="00F74567" w:rsidRDefault="000C6DDB" w:rsidP="000C6DDB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Il a été fait remarquer, à propos du document ST/SG/AC.10/C.3/2020/56, que la formulation « qui les contiennent complètement » prêtait à confusion. En effet, certains dispositifs couramment utilisés pour les expéditions, tels que les plateaux et les séparateurs, n</w:t>
      </w:r>
      <w:r w:rsidR="003F55D3">
        <w:rPr>
          <w:lang w:val="fr-FR"/>
        </w:rPr>
        <w:t>’</w:t>
      </w:r>
      <w:r>
        <w:rPr>
          <w:lang w:val="fr-FR"/>
        </w:rPr>
        <w:t>étant pas des emballages intérieurs, la proposition réduirait la marge de manœuvre dont disposent les expéditeurs pour choisir une solution d</w:t>
      </w:r>
      <w:r w:rsidR="003F55D3">
        <w:rPr>
          <w:lang w:val="fr-FR"/>
        </w:rPr>
        <w:t>’</w:t>
      </w:r>
      <w:r>
        <w:rPr>
          <w:lang w:val="fr-FR"/>
        </w:rPr>
        <w:t>emballage appropriée.</w:t>
      </w:r>
    </w:p>
    <w:p w14:paraId="70637C55" w14:textId="77777777" w:rsidR="000C6DDB" w:rsidRPr="00F74567" w:rsidRDefault="000C6DDB" w:rsidP="000C6DDB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Il est ressorti des débats qui ont suivi que les prescriptions du paragraphe 1) de la norme P903 visaient à éviter que les piles ou les batteries au lithium soient endommagées. Deux solutions conformes ont alors émergé. La première consiste à placer les piles ou les batteries dans un emballage intérieur puis à placer cet emballage intérieur dans l</w:t>
      </w:r>
      <w:r w:rsidR="003F55D3">
        <w:rPr>
          <w:lang w:val="fr-FR"/>
        </w:rPr>
        <w:t>’</w:t>
      </w:r>
      <w:r>
        <w:rPr>
          <w:lang w:val="fr-FR"/>
        </w:rPr>
        <w:t>emballage extérieur ; la deuxième consiste à disposer les piles ou les batteries dans l</w:t>
      </w:r>
      <w:r w:rsidR="003F55D3">
        <w:rPr>
          <w:lang w:val="fr-FR"/>
        </w:rPr>
        <w:t>’</w:t>
      </w:r>
      <w:r>
        <w:rPr>
          <w:lang w:val="fr-FR"/>
        </w:rPr>
        <w:t>emballage de telle manière qu</w:t>
      </w:r>
      <w:r w:rsidR="003F55D3">
        <w:rPr>
          <w:lang w:val="fr-FR"/>
        </w:rPr>
        <w:t>’</w:t>
      </w:r>
      <w:r>
        <w:rPr>
          <w:lang w:val="fr-FR"/>
        </w:rPr>
        <w:t>elles soient séparées les unes des autres par un matériau de rembourrage ou des séparateurs.</w:t>
      </w:r>
    </w:p>
    <w:p w14:paraId="33A5CF4D" w14:textId="77777777" w:rsidR="000C6DDB" w:rsidRPr="00F74567" w:rsidRDefault="000C6DDB" w:rsidP="003F55D3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Proposition</w:t>
      </w:r>
    </w:p>
    <w:p w14:paraId="7B0E91B7" w14:textId="77777777" w:rsidR="000C6DDB" w:rsidRPr="00F74567" w:rsidRDefault="000C6DDB" w:rsidP="003F55D3">
      <w:pPr>
        <w:pStyle w:val="SingleTxtG"/>
        <w:keepNext/>
        <w:rPr>
          <w:lang w:val="fr-FR"/>
        </w:rPr>
      </w:pPr>
      <w:r>
        <w:rPr>
          <w:lang w:val="fr-FR"/>
        </w:rPr>
        <w:t>Modifier le paragraphe 1) de l</w:t>
      </w:r>
      <w:r w:rsidR="003F55D3">
        <w:rPr>
          <w:lang w:val="fr-FR"/>
        </w:rPr>
        <w:t>’</w:t>
      </w:r>
      <w:r>
        <w:rPr>
          <w:lang w:val="fr-FR"/>
        </w:rPr>
        <w:t>instruction d</w:t>
      </w:r>
      <w:r w:rsidR="003F55D3">
        <w:rPr>
          <w:lang w:val="fr-FR"/>
        </w:rPr>
        <w:t>’</w:t>
      </w:r>
      <w:r>
        <w:rPr>
          <w:lang w:val="fr-FR"/>
        </w:rPr>
        <w:t>emballage P903 comme suit (le texte qu</w:t>
      </w:r>
      <w:r w:rsidR="003F55D3">
        <w:rPr>
          <w:lang w:val="fr-FR"/>
        </w:rPr>
        <w:t>’</w:t>
      </w:r>
      <w:r>
        <w:rPr>
          <w:lang w:val="fr-FR"/>
        </w:rPr>
        <w:t>il est proposé d</w:t>
      </w:r>
      <w:r w:rsidR="003F55D3">
        <w:rPr>
          <w:lang w:val="fr-FR"/>
        </w:rPr>
        <w:t>’</w:t>
      </w:r>
      <w:r>
        <w:rPr>
          <w:lang w:val="fr-FR"/>
        </w:rPr>
        <w:t xml:space="preserve">ajouter est en caractères </w:t>
      </w:r>
      <w:r>
        <w:rPr>
          <w:u w:val="single"/>
          <w:lang w:val="fr-FR"/>
        </w:rPr>
        <w:t>soulignés</w:t>
      </w:r>
      <w:r>
        <w:rPr>
          <w:lang w:val="fr-FR"/>
        </w:rPr>
        <w:t>)</w:t>
      </w:r>
      <w:r w:rsidR="003F55D3">
        <w:rPr>
          <w:lang w:val="fr-FR"/>
        </w:rPr>
        <w:t> </w:t>
      </w:r>
      <w:r>
        <w:rPr>
          <w:lang w:val="fr-FR"/>
        </w:rPr>
        <w:t>:</w:t>
      </w:r>
    </w:p>
    <w:p w14:paraId="78F90406" w14:textId="77777777" w:rsidR="000C6DDB" w:rsidRPr="00F74567" w:rsidRDefault="003F55D3" w:rsidP="003F55D3">
      <w:pPr>
        <w:pStyle w:val="SingleTxtG"/>
        <w:keepNext/>
        <w:spacing w:after="0"/>
        <w:rPr>
          <w:lang w:val="fr-FR"/>
        </w:rPr>
      </w:pPr>
      <w:r>
        <w:rPr>
          <w:lang w:val="fr-FR"/>
        </w:rPr>
        <w:t>« </w:t>
      </w:r>
      <w:r w:rsidR="000C6DDB">
        <w:rPr>
          <w:lang w:val="fr-FR"/>
        </w:rPr>
        <w:t>1)</w:t>
      </w:r>
      <w:r w:rsidR="000C6DDB">
        <w:rPr>
          <w:lang w:val="fr-FR"/>
        </w:rPr>
        <w:tab/>
        <w:t>Pour les piles et les batteries</w:t>
      </w:r>
      <w:r>
        <w:rPr>
          <w:lang w:val="fr-FR"/>
        </w:rPr>
        <w:t> </w:t>
      </w:r>
      <w:r w:rsidR="000C6DDB">
        <w:rPr>
          <w:lang w:val="fr-FR"/>
        </w:rPr>
        <w:t>:</w:t>
      </w:r>
    </w:p>
    <w:p w14:paraId="041C65C6" w14:textId="77777777" w:rsidR="000C6DDB" w:rsidRPr="001B36C7" w:rsidRDefault="000C6DDB" w:rsidP="003F55D3">
      <w:pPr>
        <w:pStyle w:val="SingleTxtG"/>
        <w:keepNext/>
        <w:spacing w:after="0"/>
        <w:ind w:firstLine="567"/>
      </w:pPr>
      <w:r w:rsidRPr="00F74567">
        <w:rPr>
          <w:lang w:val="en-US"/>
        </w:rPr>
        <w:t>Fûts (1A2, 1B2, 1N2, 1H2, 1D, 1G) ;</w:t>
      </w:r>
    </w:p>
    <w:p w14:paraId="50791FB1" w14:textId="77777777" w:rsidR="000C6DDB" w:rsidRPr="00F74567" w:rsidRDefault="000C6DDB" w:rsidP="000C6DDB">
      <w:pPr>
        <w:pStyle w:val="SingleTxtG"/>
        <w:spacing w:after="0"/>
        <w:ind w:firstLine="567"/>
        <w:rPr>
          <w:lang w:val="fr-FR"/>
        </w:rPr>
      </w:pPr>
      <w:r>
        <w:rPr>
          <w:lang w:val="fr-FR"/>
        </w:rPr>
        <w:t>Caisses (4A, 4B, 4N, 4C1, 4C2, 4D, 4F, 4G, 4H1, 4H2) ;</w:t>
      </w:r>
    </w:p>
    <w:p w14:paraId="51C19D12" w14:textId="77777777" w:rsidR="000C6DDB" w:rsidRPr="00F74567" w:rsidRDefault="000C6DDB" w:rsidP="000C6DDB">
      <w:pPr>
        <w:pStyle w:val="SingleTxtG"/>
        <w:ind w:firstLine="567"/>
        <w:rPr>
          <w:lang w:val="fr-FR"/>
        </w:rPr>
      </w:pPr>
      <w:r>
        <w:rPr>
          <w:lang w:val="fr-FR"/>
        </w:rPr>
        <w:t>Bidons (jerricanes) (3A2, 3B2, 3H2).</w:t>
      </w:r>
    </w:p>
    <w:p w14:paraId="0BB3983B" w14:textId="77777777" w:rsidR="000C6DDB" w:rsidRPr="00F74567" w:rsidRDefault="000C6DDB" w:rsidP="000C6DDB">
      <w:pPr>
        <w:pStyle w:val="SingleTxtG"/>
        <w:ind w:left="1701"/>
        <w:rPr>
          <w:lang w:val="fr-FR"/>
        </w:rPr>
      </w:pPr>
      <w:r>
        <w:rPr>
          <w:lang w:val="fr-FR"/>
        </w:rPr>
        <w:t xml:space="preserve">Les piles et les batteries doivent être emballées dans des emballages </w:t>
      </w:r>
      <w:r>
        <w:rPr>
          <w:u w:val="single"/>
          <w:lang w:val="fr-FR"/>
        </w:rPr>
        <w:t>intérieurs ou placées dans l</w:t>
      </w:r>
      <w:r w:rsidR="003F55D3">
        <w:rPr>
          <w:u w:val="single"/>
          <w:lang w:val="fr-FR"/>
        </w:rPr>
        <w:t>’</w:t>
      </w:r>
      <w:r>
        <w:rPr>
          <w:u w:val="single"/>
          <w:lang w:val="fr-FR"/>
        </w:rPr>
        <w:t>emballage extérieur avec un matériau de rembourrage ou une ou plusieurs séparations</w:t>
      </w:r>
      <w:r w:rsidRPr="00396CA5">
        <w:rPr>
          <w:lang w:val="fr-FR"/>
        </w:rPr>
        <w:t xml:space="preserve"> </w:t>
      </w:r>
      <w:r>
        <w:rPr>
          <w:lang w:val="fr-FR"/>
        </w:rPr>
        <w:t>de manière à être protégées contre les dommages qui pourraient être causés par le mouvement ou le placement des piles ou des batteries dans l</w:t>
      </w:r>
      <w:r w:rsidR="003F55D3">
        <w:rPr>
          <w:lang w:val="fr-FR"/>
        </w:rPr>
        <w:t>’</w:t>
      </w:r>
      <w:r>
        <w:rPr>
          <w:lang w:val="fr-FR"/>
        </w:rPr>
        <w:t xml:space="preserve">emballage </w:t>
      </w:r>
      <w:r>
        <w:rPr>
          <w:u w:val="single"/>
          <w:lang w:val="fr-FR"/>
        </w:rPr>
        <w:t>extérieur</w:t>
      </w:r>
      <w:r>
        <w:rPr>
          <w:lang w:val="fr-FR"/>
        </w:rPr>
        <w:t>.</w:t>
      </w:r>
    </w:p>
    <w:p w14:paraId="03E3B700" w14:textId="77777777" w:rsidR="000C6DDB" w:rsidRPr="00F74567" w:rsidRDefault="000C6DDB" w:rsidP="000C6DDB">
      <w:pPr>
        <w:pStyle w:val="SingleTxtG"/>
        <w:ind w:firstLine="567"/>
        <w:rPr>
          <w:lang w:val="fr-FR"/>
        </w:rPr>
      </w:pPr>
      <w:r>
        <w:rPr>
          <w:lang w:val="fr-FR"/>
        </w:rPr>
        <w:t>Les emballages doivent satisfaire au niveau d</w:t>
      </w:r>
      <w:r w:rsidR="003F55D3">
        <w:rPr>
          <w:lang w:val="fr-FR"/>
        </w:rPr>
        <w:t>’</w:t>
      </w:r>
      <w:r>
        <w:rPr>
          <w:lang w:val="fr-FR"/>
        </w:rPr>
        <w:t>épreuve du groupe d</w:t>
      </w:r>
      <w:r w:rsidR="003F55D3">
        <w:rPr>
          <w:lang w:val="fr-FR"/>
        </w:rPr>
        <w:t>’</w:t>
      </w:r>
      <w:r>
        <w:rPr>
          <w:lang w:val="fr-FR"/>
        </w:rPr>
        <w:t>emballage II.</w:t>
      </w:r>
      <w:r w:rsidR="003F55D3">
        <w:rPr>
          <w:lang w:val="fr-FR"/>
        </w:rPr>
        <w:t> ».</w:t>
      </w:r>
    </w:p>
    <w:p w14:paraId="51F02AE1" w14:textId="77777777" w:rsidR="000C6DDB" w:rsidRPr="000C6DDB" w:rsidRDefault="000C6DDB" w:rsidP="000C6DD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C6DDB" w:rsidRPr="000C6DDB" w:rsidSect="000C6DD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9BB90" w14:textId="77777777" w:rsidR="00915816" w:rsidRDefault="00915816" w:rsidP="00F95C08">
      <w:pPr>
        <w:spacing w:line="240" w:lineRule="auto"/>
      </w:pPr>
    </w:p>
  </w:endnote>
  <w:endnote w:type="continuationSeparator" w:id="0">
    <w:p w14:paraId="4F0A18A9" w14:textId="77777777" w:rsidR="00915816" w:rsidRPr="00AC3823" w:rsidRDefault="00915816" w:rsidP="00AC3823">
      <w:pPr>
        <w:pStyle w:val="Footer"/>
      </w:pPr>
    </w:p>
  </w:endnote>
  <w:endnote w:type="continuationNotice" w:id="1">
    <w:p w14:paraId="0C416C3E" w14:textId="77777777" w:rsidR="00915816" w:rsidRDefault="009158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0752" w14:textId="77777777" w:rsidR="000C6DDB" w:rsidRPr="000C6DDB" w:rsidRDefault="000C6DDB" w:rsidP="000C6DDB">
    <w:pPr>
      <w:pStyle w:val="Footer"/>
      <w:tabs>
        <w:tab w:val="right" w:pos="9638"/>
      </w:tabs>
    </w:pPr>
    <w:r w:rsidRPr="000C6DDB">
      <w:rPr>
        <w:b/>
        <w:sz w:val="18"/>
      </w:rPr>
      <w:fldChar w:fldCharType="begin"/>
    </w:r>
    <w:r w:rsidRPr="000C6DDB">
      <w:rPr>
        <w:b/>
        <w:sz w:val="18"/>
      </w:rPr>
      <w:instrText xml:space="preserve"> PAGE  \* MERGEFORMAT </w:instrText>
    </w:r>
    <w:r w:rsidRPr="000C6DDB">
      <w:rPr>
        <w:b/>
        <w:sz w:val="18"/>
      </w:rPr>
      <w:fldChar w:fldCharType="separate"/>
    </w:r>
    <w:r w:rsidRPr="000C6DDB">
      <w:rPr>
        <w:b/>
        <w:noProof/>
        <w:sz w:val="18"/>
      </w:rPr>
      <w:t>2</w:t>
    </w:r>
    <w:r w:rsidRPr="000C6DDB">
      <w:rPr>
        <w:b/>
        <w:sz w:val="18"/>
      </w:rPr>
      <w:fldChar w:fldCharType="end"/>
    </w:r>
    <w:r>
      <w:rPr>
        <w:b/>
        <w:sz w:val="18"/>
      </w:rPr>
      <w:tab/>
    </w:r>
    <w:r>
      <w:t>GE.20-11794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4218" w14:textId="77777777" w:rsidR="000C6DDB" w:rsidRPr="000C6DDB" w:rsidRDefault="000C6DDB" w:rsidP="000C6DDB">
    <w:pPr>
      <w:pStyle w:val="Footer"/>
      <w:tabs>
        <w:tab w:val="right" w:pos="9638"/>
      </w:tabs>
      <w:rPr>
        <w:b/>
        <w:sz w:val="18"/>
      </w:rPr>
    </w:pPr>
    <w:r>
      <w:t>GE.20-11794</w:t>
    </w:r>
    <w:r>
      <w:tab/>
    </w:r>
    <w:r w:rsidRPr="000C6DDB">
      <w:rPr>
        <w:b/>
        <w:sz w:val="18"/>
      </w:rPr>
      <w:fldChar w:fldCharType="begin"/>
    </w:r>
    <w:r w:rsidRPr="000C6DDB">
      <w:rPr>
        <w:b/>
        <w:sz w:val="18"/>
      </w:rPr>
      <w:instrText xml:space="preserve"> PAGE  \* MERGEFORMAT </w:instrText>
    </w:r>
    <w:r w:rsidRPr="000C6DDB">
      <w:rPr>
        <w:b/>
        <w:sz w:val="18"/>
      </w:rPr>
      <w:fldChar w:fldCharType="separate"/>
    </w:r>
    <w:r w:rsidRPr="000C6DDB">
      <w:rPr>
        <w:b/>
        <w:noProof/>
        <w:sz w:val="18"/>
      </w:rPr>
      <w:t>3</w:t>
    </w:r>
    <w:r w:rsidRPr="000C6D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6C28" w14:textId="77777777" w:rsidR="0068456F" w:rsidRPr="000C6DDB" w:rsidRDefault="000C6DDB" w:rsidP="000C6DDB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FCF38DE" wp14:editId="1BC5640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20-11794  (F)</w:t>
    </w:r>
    <w:r w:rsidR="006A74C1">
      <w:rPr>
        <w:sz w:val="20"/>
      </w:rPr>
      <w:t xml:space="preserve">    181120    181120</w:t>
    </w:r>
    <w:r>
      <w:rPr>
        <w:sz w:val="20"/>
      </w:rPr>
      <w:br/>
    </w:r>
    <w:r w:rsidRPr="000C6DDB">
      <w:rPr>
        <w:rFonts w:ascii="C39T30Lfz" w:hAnsi="C39T30Lfz"/>
        <w:sz w:val="56"/>
      </w:rPr>
      <w:t>*2011794*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E9C61E5" wp14:editId="5064953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4F496" w14:textId="77777777" w:rsidR="00915816" w:rsidRPr="00AC3823" w:rsidRDefault="0091581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8B8A9E" w14:textId="77777777" w:rsidR="00915816" w:rsidRPr="00AC3823" w:rsidRDefault="0091581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9A290E" w14:textId="77777777" w:rsidR="00915816" w:rsidRPr="00AC3823" w:rsidRDefault="00915816">
      <w:pPr>
        <w:spacing w:line="240" w:lineRule="auto"/>
        <w:rPr>
          <w:sz w:val="2"/>
          <w:szCs w:val="2"/>
        </w:rPr>
      </w:pPr>
    </w:p>
  </w:footnote>
  <w:footnote w:id="2">
    <w:p w14:paraId="3DBD1EBF" w14:textId="77777777" w:rsidR="000C6DDB" w:rsidRPr="000C6DDB" w:rsidRDefault="000C6DDB">
      <w:pPr>
        <w:pStyle w:val="FootnoteText"/>
      </w:pPr>
      <w:r>
        <w:rPr>
          <w:rStyle w:val="FootnoteReference"/>
        </w:rPr>
        <w:tab/>
      </w:r>
      <w:r w:rsidRPr="000C6DD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Sous-programme 2 du budget-programme pour 2020 (A/74/6 (Sect.</w:t>
      </w:r>
      <w:r w:rsidR="003F55D3">
        <w:rPr>
          <w:lang w:val="fr-FR"/>
        </w:rPr>
        <w:t> </w:t>
      </w:r>
      <w:r>
        <w:rPr>
          <w:lang w:val="fr-FR"/>
        </w:rPr>
        <w:t>20) et informations complémentaires.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1352" w14:textId="77777777" w:rsidR="000C6DDB" w:rsidRPr="000C6DDB" w:rsidRDefault="0061594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C6DDB">
      <w:t>ST/SG/AC.10/C.3/2020/56/Rev.1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7511" w14:textId="77777777" w:rsidR="000C6DDB" w:rsidRPr="000C6DDB" w:rsidRDefault="00615944" w:rsidP="000C6DD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C6DDB">
      <w:t>ST/SG/AC.10/C.3/2020/56/Rev.1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16"/>
    <w:rsid w:val="00017F94"/>
    <w:rsid w:val="00023842"/>
    <w:rsid w:val="000305D3"/>
    <w:rsid w:val="000334F9"/>
    <w:rsid w:val="0007796D"/>
    <w:rsid w:val="000B7790"/>
    <w:rsid w:val="000C6DDB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F55D3"/>
    <w:rsid w:val="00441C3B"/>
    <w:rsid w:val="00446FE5"/>
    <w:rsid w:val="00452396"/>
    <w:rsid w:val="004E468C"/>
    <w:rsid w:val="004F1917"/>
    <w:rsid w:val="005505B7"/>
    <w:rsid w:val="00573BE5"/>
    <w:rsid w:val="00584DC4"/>
    <w:rsid w:val="00586ED3"/>
    <w:rsid w:val="00596AA9"/>
    <w:rsid w:val="00615944"/>
    <w:rsid w:val="0068456F"/>
    <w:rsid w:val="006A74C1"/>
    <w:rsid w:val="0071601D"/>
    <w:rsid w:val="007A62E6"/>
    <w:rsid w:val="0080684C"/>
    <w:rsid w:val="00871C75"/>
    <w:rsid w:val="008776DC"/>
    <w:rsid w:val="008B40CD"/>
    <w:rsid w:val="00915816"/>
    <w:rsid w:val="009705C8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B50BF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C6124"/>
  <w15:docId w15:val="{F11216B8-1873-4B54-AEC7-3E6F4D04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Zchn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0C6DD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0C6DD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Zchn">
    <w:name w:val="_ Single Txt_G Zchn"/>
    <w:link w:val="SingleTxtG"/>
    <w:rsid w:val="000C6DD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8C7FD-428C-4F55-BBB8-CC1579CCD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1BCF-E1A4-4F0F-9F25-48A6F0E81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562D1-BE4D-46BE-851D-17D434A5FF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ST/SG/AC.10/C.3/2020/56/Rev.1</vt:lpstr>
    </vt:vector>
  </TitlesOfParts>
  <Company>DCM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ST/SG/AC.10/C.3/2020/56/Rev.1</dc:title>
  <dc:subject/>
  <dc:creator>Fabienne CRELIER</dc:creator>
  <cp:keywords/>
  <cp:lastModifiedBy>Laurence Berthet</cp:lastModifiedBy>
  <cp:revision>2</cp:revision>
  <cp:lastPrinted>2014-05-14T10:59:00Z</cp:lastPrinted>
  <dcterms:created xsi:type="dcterms:W3CDTF">2020-11-18T10:29:00Z</dcterms:created>
  <dcterms:modified xsi:type="dcterms:W3CDTF">2020-11-18T10:29:00Z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