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A2FE610" w14:textId="77777777" w:rsidTr="006476E1">
        <w:trPr>
          <w:trHeight w:val="851"/>
        </w:trPr>
        <w:tc>
          <w:tcPr>
            <w:tcW w:w="1259" w:type="dxa"/>
            <w:tcBorders>
              <w:top w:val="nil"/>
              <w:left w:val="nil"/>
              <w:bottom w:val="single" w:sz="4" w:space="0" w:color="auto"/>
              <w:right w:val="nil"/>
            </w:tcBorders>
          </w:tcPr>
          <w:p w14:paraId="28C3DB10" w14:textId="77777777" w:rsidR="00E52109" w:rsidRPr="002A32CB" w:rsidRDefault="00E52109" w:rsidP="004858F5"/>
        </w:tc>
        <w:tc>
          <w:tcPr>
            <w:tcW w:w="2236" w:type="dxa"/>
            <w:tcBorders>
              <w:top w:val="nil"/>
              <w:left w:val="nil"/>
              <w:bottom w:val="single" w:sz="4" w:space="0" w:color="auto"/>
              <w:right w:val="nil"/>
            </w:tcBorders>
            <w:vAlign w:val="bottom"/>
          </w:tcPr>
          <w:p w14:paraId="7CB7AA6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106CEF" w14:textId="77777777" w:rsidR="00E52109" w:rsidRDefault="00A01375" w:rsidP="00A01375">
            <w:pPr>
              <w:suppressAutoHyphens w:val="0"/>
              <w:jc w:val="right"/>
            </w:pPr>
            <w:r w:rsidRPr="00A01375">
              <w:rPr>
                <w:sz w:val="40"/>
              </w:rPr>
              <w:t>ST</w:t>
            </w:r>
            <w:r>
              <w:t>/SG/AC.10/C.3/2020/52</w:t>
            </w:r>
          </w:p>
        </w:tc>
      </w:tr>
      <w:tr w:rsidR="00E52109" w14:paraId="0E94E7B6" w14:textId="77777777" w:rsidTr="006476E1">
        <w:trPr>
          <w:trHeight w:val="2835"/>
        </w:trPr>
        <w:tc>
          <w:tcPr>
            <w:tcW w:w="1259" w:type="dxa"/>
            <w:tcBorders>
              <w:top w:val="single" w:sz="4" w:space="0" w:color="auto"/>
              <w:left w:val="nil"/>
              <w:bottom w:val="single" w:sz="12" w:space="0" w:color="auto"/>
              <w:right w:val="nil"/>
            </w:tcBorders>
          </w:tcPr>
          <w:p w14:paraId="4A99DA77" w14:textId="77777777" w:rsidR="00E52109" w:rsidRDefault="00E52109" w:rsidP="006476E1">
            <w:pPr>
              <w:spacing w:before="120"/>
              <w:jc w:val="center"/>
            </w:pPr>
            <w:r>
              <w:rPr>
                <w:noProof/>
                <w:lang w:val="fr-CH" w:eastAsia="fr-CH"/>
              </w:rPr>
              <w:drawing>
                <wp:inline distT="0" distB="0" distL="0" distR="0" wp14:anchorId="5344BFFB" wp14:editId="0F85F51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B5EDB3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10D0B4C" w14:textId="77777777" w:rsidR="00D94B05" w:rsidRDefault="00A01375" w:rsidP="00A01375">
            <w:pPr>
              <w:suppressAutoHyphens w:val="0"/>
              <w:spacing w:before="240" w:line="240" w:lineRule="exact"/>
            </w:pPr>
            <w:r>
              <w:t>Distr.: General</w:t>
            </w:r>
          </w:p>
          <w:p w14:paraId="7C774A88" w14:textId="77777777" w:rsidR="00A01375" w:rsidRDefault="00DA0850" w:rsidP="00A01375">
            <w:pPr>
              <w:suppressAutoHyphens w:val="0"/>
              <w:spacing w:line="240" w:lineRule="exact"/>
            </w:pPr>
            <w:r>
              <w:t>1</w:t>
            </w:r>
            <w:r w:rsidR="00D5089B">
              <w:t>7</w:t>
            </w:r>
            <w:r w:rsidR="00A01375">
              <w:t xml:space="preserve"> April 2020</w:t>
            </w:r>
          </w:p>
          <w:p w14:paraId="07734124" w14:textId="77777777" w:rsidR="00A01375" w:rsidRDefault="00A01375" w:rsidP="00A01375">
            <w:pPr>
              <w:suppressAutoHyphens w:val="0"/>
              <w:spacing w:line="240" w:lineRule="exact"/>
            </w:pPr>
          </w:p>
          <w:p w14:paraId="6B96ADC2" w14:textId="77777777" w:rsidR="00A01375" w:rsidRDefault="00A01375" w:rsidP="00A01375">
            <w:pPr>
              <w:suppressAutoHyphens w:val="0"/>
              <w:spacing w:line="240" w:lineRule="exact"/>
            </w:pPr>
            <w:r>
              <w:t>Original: English</w:t>
            </w:r>
          </w:p>
        </w:tc>
      </w:tr>
    </w:tbl>
    <w:p w14:paraId="0189EAE4" w14:textId="77777777" w:rsidR="00095370" w:rsidRPr="006500BA" w:rsidRDefault="0009537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w:t>
      </w:r>
      <w:bookmarkStart w:id="0" w:name="_GoBack"/>
      <w:bookmarkEnd w:id="0"/>
      <w:r w:rsidRPr="006500BA">
        <w:rPr>
          <w:b/>
          <w:sz w:val="24"/>
          <w:szCs w:val="24"/>
        </w:rPr>
        <w:t xml:space="preserve"> Classification</w:t>
      </w:r>
      <w:r w:rsidRPr="006500BA">
        <w:rPr>
          <w:b/>
          <w:sz w:val="24"/>
          <w:szCs w:val="24"/>
        </w:rPr>
        <w:br/>
        <w:t>and Labelling of Chemicals</w:t>
      </w:r>
    </w:p>
    <w:p w14:paraId="2304E208" w14:textId="77777777" w:rsidR="00095370" w:rsidRPr="006500BA" w:rsidRDefault="00095370" w:rsidP="004858F5">
      <w:pPr>
        <w:spacing w:before="120"/>
        <w:rPr>
          <w:rFonts w:ascii="Helv" w:hAnsi="Helv" w:cs="Helv"/>
          <w:b/>
          <w:color w:val="000000"/>
        </w:rPr>
      </w:pPr>
      <w:r w:rsidRPr="006500BA">
        <w:rPr>
          <w:b/>
        </w:rPr>
        <w:t xml:space="preserve">Sub-Committee of Experts on the </w:t>
      </w:r>
      <w:r>
        <w:rPr>
          <w:b/>
        </w:rPr>
        <w:t>Transport of Dangerous Goods</w:t>
      </w:r>
    </w:p>
    <w:p w14:paraId="0D5FFF0A" w14:textId="77777777" w:rsidR="00095370" w:rsidRDefault="00095370" w:rsidP="00095370">
      <w:pPr>
        <w:spacing w:before="120"/>
        <w:rPr>
          <w:b/>
        </w:rPr>
      </w:pPr>
      <w:r>
        <w:rPr>
          <w:b/>
        </w:rPr>
        <w:t>Fifty-seventh session</w:t>
      </w:r>
    </w:p>
    <w:p w14:paraId="36C7CF1B" w14:textId="77777777" w:rsidR="00095370" w:rsidRDefault="00095370" w:rsidP="00095370">
      <w:r>
        <w:t>Geneva, 29 June-8 July 2020</w:t>
      </w:r>
      <w:r>
        <w:br/>
        <w:t>Item 3 of the provisional agenda</w:t>
      </w:r>
    </w:p>
    <w:p w14:paraId="2A60FDF0" w14:textId="77777777" w:rsidR="00AF5DE1" w:rsidRDefault="00095370" w:rsidP="00095370">
      <w:pPr>
        <w:rPr>
          <w:b/>
          <w:bCs/>
        </w:rPr>
      </w:pPr>
      <w:r>
        <w:rPr>
          <w:b/>
          <w:bCs/>
        </w:rPr>
        <w:t xml:space="preserve">Listing, classification and </w:t>
      </w:r>
      <w:r w:rsidR="00BD7CDF">
        <w:rPr>
          <w:b/>
          <w:bCs/>
        </w:rPr>
        <w:t>p</w:t>
      </w:r>
      <w:r>
        <w:rPr>
          <w:b/>
          <w:bCs/>
        </w:rPr>
        <w:t>acking</w:t>
      </w:r>
    </w:p>
    <w:p w14:paraId="65FAA81E" w14:textId="77777777" w:rsidR="00095370" w:rsidRDefault="00095370" w:rsidP="00095370">
      <w:pPr>
        <w:pStyle w:val="HChG"/>
      </w:pPr>
      <w:r>
        <w:tab/>
      </w:r>
      <w:r>
        <w:tab/>
      </w:r>
      <w:r w:rsidR="00967F32">
        <w:t>Proposed amendment to packing instruction LP903</w:t>
      </w:r>
    </w:p>
    <w:p w14:paraId="5C106F1F" w14:textId="77777777" w:rsidR="00095370" w:rsidRPr="00D5089B" w:rsidRDefault="00095370" w:rsidP="00095370">
      <w:pPr>
        <w:pStyle w:val="H1G"/>
      </w:pPr>
      <w:r>
        <w:tab/>
      </w:r>
      <w:r>
        <w:tab/>
        <w:t>Transmitted by the</w:t>
      </w:r>
      <w:r w:rsidR="001E7595">
        <w:t xml:space="preserve"> expert from</w:t>
      </w:r>
      <w:r w:rsidR="00BD7CDF">
        <w:t xml:space="preserve"> the</w:t>
      </w:r>
      <w:r>
        <w:t xml:space="preserve"> United Kingdom of Great Britain and Northern Ireland</w:t>
      </w:r>
      <w:r>
        <w:rPr>
          <w:rStyle w:val="FootnoteReference"/>
        </w:rPr>
        <w:footnoteReference w:id="2"/>
      </w:r>
      <w:r w:rsidR="00D5089B">
        <w:rPr>
          <w:vertAlign w:val="superscript"/>
        </w:rPr>
        <w:t xml:space="preserve"> </w:t>
      </w:r>
      <w:r w:rsidR="00D5089B">
        <w:rPr>
          <w:rStyle w:val="FootnoteReference"/>
        </w:rPr>
        <w:footnoteReference w:customMarkFollows="1" w:id="3"/>
        <w:t>**</w:t>
      </w:r>
    </w:p>
    <w:p w14:paraId="7D83EB7F" w14:textId="77777777" w:rsidR="00095370" w:rsidRDefault="00095370" w:rsidP="00095370">
      <w:pPr>
        <w:pStyle w:val="HChG"/>
      </w:pPr>
      <w:r>
        <w:tab/>
      </w:r>
      <w:r>
        <w:tab/>
      </w:r>
      <w:r w:rsidR="00BD7CDF">
        <w:t>Introduction</w:t>
      </w:r>
    </w:p>
    <w:p w14:paraId="48EE7547" w14:textId="77777777" w:rsidR="00095370" w:rsidRDefault="00095370" w:rsidP="00095370">
      <w:pPr>
        <w:pStyle w:val="SingleTxtG"/>
      </w:pPr>
      <w:r>
        <w:t>1.</w:t>
      </w:r>
      <w:r>
        <w:tab/>
      </w:r>
      <w:r w:rsidR="00BD7CDF">
        <w:t>The United Kingdom</w:t>
      </w:r>
      <w:r>
        <w:t xml:space="preserve"> propose</w:t>
      </w:r>
      <w:r w:rsidR="00BD7CDF">
        <w:t>s</w:t>
      </w:r>
      <w:r>
        <w:t xml:space="preserve"> a modification to Large Packing Instruction LP903 to allow multiple batteries or pieces of equipment subject to certain packing conditions.</w:t>
      </w:r>
    </w:p>
    <w:p w14:paraId="7F15EE4B" w14:textId="77777777" w:rsidR="00095370" w:rsidRDefault="00095370" w:rsidP="00095370">
      <w:pPr>
        <w:pStyle w:val="SingleTxtG"/>
      </w:pPr>
      <w:r>
        <w:tab/>
        <w:t>2.</w:t>
      </w:r>
      <w:r>
        <w:tab/>
        <w:t>The packaging expert from the United Kingdom was recently presented with a situation that focused attention on Large Packing Instruction LP903. A large packaging had been approved for a single battery comprising of 12 fully integrated battery modules. The manufacturing facility was able to build the batteries (modules) but unable to combine them into the final single item. Since there was no other packaging available, the manufacturer asked if it would be possible for them to pack separately the (module) batteries and then transport them in the large packaging for final assembly elsewhere. This would be in contravention of the restriction in LP903 that the packaging only contains either a single battery or a single piece of equipment.</w:t>
      </w:r>
    </w:p>
    <w:p w14:paraId="0763BAB8" w14:textId="77777777" w:rsidR="00095370" w:rsidRDefault="00095370" w:rsidP="00095370">
      <w:pPr>
        <w:pStyle w:val="SingleTxtG"/>
      </w:pPr>
      <w:r>
        <w:t>3.</w:t>
      </w:r>
      <w:r>
        <w:tab/>
        <w:t>The expert from the United Kingdom believes that this restriction of a single battery in the large packaging came from a fear that large packaging would be used as jumble packs for large numbers of small batteries and cells. However, from a package testing and performance viewpoint the restriction runs counter to the philosophy and principles of UN testing and approval.</w:t>
      </w:r>
    </w:p>
    <w:p w14:paraId="17FEE7E8" w14:textId="77777777" w:rsidR="00095370" w:rsidRDefault="00095370" w:rsidP="00095370">
      <w:pPr>
        <w:pStyle w:val="SingleTxtG"/>
      </w:pPr>
      <w:r>
        <w:t>4.</w:t>
      </w:r>
      <w:r>
        <w:tab/>
        <w:t>In addition the expert from the United Kingdom also notes that no such numeric restriction applies in the reciprocal packaging instruction P903 (up to 400</w:t>
      </w:r>
      <w:r w:rsidR="00BD7CDF">
        <w:t xml:space="preserve"> </w:t>
      </w:r>
      <w:r>
        <w:t>kg net mass) and that for batteries over 12</w:t>
      </w:r>
      <w:r w:rsidR="00BD7CDF">
        <w:t xml:space="preserve"> </w:t>
      </w:r>
      <w:r>
        <w:t>kg with an impact resistant outer casing under P903 (2) there is no limit on either the number of batteries or the size of the packaging when used.</w:t>
      </w:r>
    </w:p>
    <w:p w14:paraId="29137890" w14:textId="77777777" w:rsidR="00095370" w:rsidRDefault="00095370" w:rsidP="00095370">
      <w:pPr>
        <w:pStyle w:val="HChG"/>
      </w:pPr>
      <w:r>
        <w:lastRenderedPageBreak/>
        <w:tab/>
      </w:r>
      <w:r>
        <w:tab/>
        <w:t>Proposal</w:t>
      </w:r>
    </w:p>
    <w:p w14:paraId="6B04F883" w14:textId="77777777" w:rsidR="00095370" w:rsidRDefault="00095370" w:rsidP="00095370">
      <w:pPr>
        <w:pStyle w:val="SingleTxtG"/>
      </w:pPr>
      <w:r>
        <w:t>5.</w:t>
      </w:r>
      <w:r>
        <w:tab/>
        <w:t xml:space="preserve">Amend LP903 as follows </w:t>
      </w:r>
      <w:r w:rsidR="00967F32">
        <w:t>(</w:t>
      </w:r>
      <w:r>
        <w:t xml:space="preserve">deleted text </w:t>
      </w:r>
      <w:r>
        <w:rPr>
          <w:strike/>
        </w:rPr>
        <w:t>struck through</w:t>
      </w:r>
      <w:r>
        <w:t xml:space="preserve"> new text </w:t>
      </w:r>
      <w:r>
        <w:rPr>
          <w:u w:val="single"/>
        </w:rPr>
        <w:t>underlined</w:t>
      </w:r>
      <w:r w:rsidR="00967F32" w:rsidRPr="00D5089B">
        <w:t>):</w:t>
      </w:r>
    </w:p>
    <w:tbl>
      <w:tblPr>
        <w:tblStyle w:val="TableGrid"/>
        <w:tblW w:w="0" w:type="auto"/>
        <w:jc w:val="center"/>
        <w:tblLook w:val="04A0" w:firstRow="1" w:lastRow="0" w:firstColumn="1" w:lastColumn="0" w:noHBand="0" w:noVBand="1"/>
      </w:tblPr>
      <w:tblGrid>
        <w:gridCol w:w="1101"/>
        <w:gridCol w:w="7891"/>
      </w:tblGrid>
      <w:tr w:rsidR="00095370" w14:paraId="065AE466" w14:textId="77777777" w:rsidTr="00095370">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38BEAF61" w14:textId="77777777" w:rsidR="00095370" w:rsidRDefault="00095370" w:rsidP="00D5089B">
            <w:pPr>
              <w:pStyle w:val="SingleTxtG"/>
              <w:ind w:right="345"/>
              <w:rPr>
                <w:b/>
              </w:rPr>
            </w:pPr>
            <w:r>
              <w:rPr>
                <w:b/>
              </w:rPr>
              <w:t>LP903                                      PACKING INSTRUCTION                                              LP903</w:t>
            </w:r>
          </w:p>
        </w:tc>
      </w:tr>
      <w:tr w:rsidR="00095370" w14:paraId="4EEEE861" w14:textId="77777777" w:rsidTr="00095370">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67F8CD75" w14:textId="77777777" w:rsidR="00095370" w:rsidRDefault="00095370" w:rsidP="00095370">
            <w:pPr>
              <w:pStyle w:val="SingleTxtG"/>
            </w:pPr>
            <w:r>
              <w:t>This instruction applies to UN Nos. 3090, 3091, 3480 and 3481</w:t>
            </w:r>
          </w:p>
        </w:tc>
      </w:tr>
      <w:tr w:rsidR="00095370" w14:paraId="239AC79A" w14:textId="77777777" w:rsidTr="00095370">
        <w:trPr>
          <w:jc w:val="center"/>
        </w:trPr>
        <w:tc>
          <w:tcPr>
            <w:tcW w:w="8992" w:type="dxa"/>
            <w:gridSpan w:val="2"/>
            <w:tcBorders>
              <w:top w:val="single" w:sz="4" w:space="0" w:color="auto"/>
              <w:left w:val="single" w:sz="4" w:space="0" w:color="auto"/>
              <w:bottom w:val="nil"/>
              <w:right w:val="single" w:sz="4" w:space="0" w:color="auto"/>
            </w:tcBorders>
            <w:hideMark/>
          </w:tcPr>
          <w:p w14:paraId="3E55BA23" w14:textId="77777777" w:rsidR="00095370" w:rsidRDefault="00095370" w:rsidP="00095370">
            <w:pPr>
              <w:pStyle w:val="SingleTxtG"/>
              <w:rPr>
                <w:sz w:val="18"/>
                <w:szCs w:val="18"/>
              </w:rPr>
            </w:pPr>
            <w:r>
              <w:t>The fo</w:t>
            </w:r>
            <w:r>
              <w:rPr>
                <w:sz w:val="18"/>
                <w:szCs w:val="18"/>
              </w:rPr>
              <w:t xml:space="preserve">llowing large packagings are authorized for </w:t>
            </w:r>
            <w:r>
              <w:rPr>
                <w:strike/>
                <w:sz w:val="18"/>
                <w:szCs w:val="18"/>
              </w:rPr>
              <w:t>a single</w:t>
            </w:r>
            <w:r>
              <w:rPr>
                <w:sz w:val="18"/>
                <w:szCs w:val="18"/>
              </w:rPr>
              <w:t xml:space="preserve"> </w:t>
            </w:r>
            <w:proofErr w:type="spellStart"/>
            <w:r>
              <w:rPr>
                <w:sz w:val="18"/>
                <w:szCs w:val="18"/>
              </w:rPr>
              <w:t>batter</w:t>
            </w:r>
            <w:r>
              <w:rPr>
                <w:strike/>
                <w:sz w:val="18"/>
                <w:szCs w:val="18"/>
              </w:rPr>
              <w:t>y</w:t>
            </w:r>
            <w:r>
              <w:rPr>
                <w:sz w:val="18"/>
                <w:szCs w:val="18"/>
                <w:u w:val="single"/>
              </w:rPr>
              <w:t>ies</w:t>
            </w:r>
            <w:proofErr w:type="spellEnd"/>
            <w:r>
              <w:rPr>
                <w:sz w:val="18"/>
                <w:szCs w:val="18"/>
              </w:rPr>
              <w:t xml:space="preserve"> and for </w:t>
            </w:r>
            <w:r>
              <w:rPr>
                <w:strike/>
                <w:sz w:val="18"/>
                <w:szCs w:val="18"/>
              </w:rPr>
              <w:t>a single item of</w:t>
            </w:r>
            <w:r>
              <w:rPr>
                <w:sz w:val="18"/>
                <w:szCs w:val="18"/>
              </w:rPr>
              <w:t xml:space="preserve"> equipment containing batteries, provided that the general provisions of </w:t>
            </w:r>
            <w:r>
              <w:rPr>
                <w:b/>
                <w:sz w:val="18"/>
                <w:szCs w:val="18"/>
              </w:rPr>
              <w:t>4.1.1</w:t>
            </w:r>
            <w:r>
              <w:rPr>
                <w:sz w:val="18"/>
                <w:szCs w:val="18"/>
              </w:rPr>
              <w:t xml:space="preserve"> and </w:t>
            </w:r>
            <w:r>
              <w:rPr>
                <w:b/>
                <w:sz w:val="18"/>
                <w:szCs w:val="18"/>
              </w:rPr>
              <w:t>4.1.3</w:t>
            </w:r>
            <w:r>
              <w:rPr>
                <w:sz w:val="18"/>
                <w:szCs w:val="18"/>
              </w:rPr>
              <w:t xml:space="preserve"> are met:</w:t>
            </w:r>
          </w:p>
          <w:p w14:paraId="79D2B5F1" w14:textId="77777777" w:rsidR="00095370" w:rsidRDefault="00095370" w:rsidP="00095370">
            <w:pPr>
              <w:pStyle w:val="SingleTxtG"/>
            </w:pPr>
            <w:r>
              <w:rPr>
                <w:sz w:val="18"/>
                <w:szCs w:val="18"/>
              </w:rPr>
              <w:t>Rigid large packagings conforming to the packing group II performance level, made of:</w:t>
            </w:r>
          </w:p>
        </w:tc>
      </w:tr>
      <w:tr w:rsidR="00095370" w14:paraId="009098FE" w14:textId="77777777" w:rsidTr="00095370">
        <w:trPr>
          <w:jc w:val="center"/>
        </w:trPr>
        <w:tc>
          <w:tcPr>
            <w:tcW w:w="1101" w:type="dxa"/>
            <w:tcBorders>
              <w:top w:val="nil"/>
              <w:left w:val="single" w:sz="4" w:space="0" w:color="auto"/>
              <w:bottom w:val="nil"/>
              <w:right w:val="nil"/>
            </w:tcBorders>
          </w:tcPr>
          <w:p w14:paraId="03E82BE7" w14:textId="77777777" w:rsidR="00095370" w:rsidRDefault="00095370" w:rsidP="00095370">
            <w:pPr>
              <w:pStyle w:val="SingleTxtG"/>
              <w:rPr>
                <w:sz w:val="22"/>
                <w:szCs w:val="22"/>
              </w:rPr>
            </w:pPr>
          </w:p>
        </w:tc>
        <w:tc>
          <w:tcPr>
            <w:tcW w:w="7891" w:type="dxa"/>
            <w:tcBorders>
              <w:top w:val="nil"/>
              <w:left w:val="nil"/>
              <w:bottom w:val="nil"/>
              <w:right w:val="single" w:sz="4" w:space="0" w:color="auto"/>
            </w:tcBorders>
            <w:hideMark/>
          </w:tcPr>
          <w:p w14:paraId="7CE8DEEF" w14:textId="77777777" w:rsidR="00095370" w:rsidRDefault="00095370" w:rsidP="00095370">
            <w:pPr>
              <w:pStyle w:val="SingleTxtG"/>
              <w:rPr>
                <w:sz w:val="18"/>
                <w:szCs w:val="18"/>
              </w:rPr>
            </w:pPr>
            <w:r>
              <w:rPr>
                <w:sz w:val="18"/>
                <w:szCs w:val="18"/>
              </w:rPr>
              <w:t>steel (50A);</w:t>
            </w:r>
          </w:p>
          <w:p w14:paraId="0CBD6280" w14:textId="77777777" w:rsidR="00095370" w:rsidRDefault="00095370" w:rsidP="00095370">
            <w:pPr>
              <w:pStyle w:val="SingleTxtG"/>
              <w:rPr>
                <w:sz w:val="18"/>
                <w:szCs w:val="18"/>
              </w:rPr>
            </w:pPr>
            <w:proofErr w:type="spellStart"/>
            <w:r>
              <w:rPr>
                <w:sz w:val="18"/>
                <w:szCs w:val="18"/>
              </w:rPr>
              <w:t>aluminium</w:t>
            </w:r>
            <w:proofErr w:type="spellEnd"/>
            <w:r>
              <w:rPr>
                <w:sz w:val="18"/>
                <w:szCs w:val="18"/>
              </w:rPr>
              <w:t xml:space="preserve"> (50B);</w:t>
            </w:r>
          </w:p>
          <w:p w14:paraId="58787CB9" w14:textId="77777777" w:rsidR="00095370" w:rsidRDefault="00095370" w:rsidP="00095370">
            <w:pPr>
              <w:pStyle w:val="SingleTxtG"/>
              <w:rPr>
                <w:sz w:val="18"/>
                <w:szCs w:val="18"/>
              </w:rPr>
            </w:pPr>
            <w:r>
              <w:rPr>
                <w:sz w:val="18"/>
                <w:szCs w:val="18"/>
              </w:rPr>
              <w:t xml:space="preserve">metal other than steel or </w:t>
            </w:r>
            <w:proofErr w:type="spellStart"/>
            <w:r>
              <w:rPr>
                <w:sz w:val="18"/>
                <w:szCs w:val="18"/>
              </w:rPr>
              <w:t>aluminium</w:t>
            </w:r>
            <w:proofErr w:type="spellEnd"/>
            <w:r>
              <w:rPr>
                <w:sz w:val="18"/>
                <w:szCs w:val="18"/>
              </w:rPr>
              <w:t xml:space="preserve"> (50N);</w:t>
            </w:r>
          </w:p>
          <w:p w14:paraId="2155B633" w14:textId="77777777" w:rsidR="00095370" w:rsidRDefault="00095370" w:rsidP="00095370">
            <w:pPr>
              <w:pStyle w:val="SingleTxtG"/>
              <w:rPr>
                <w:sz w:val="18"/>
                <w:szCs w:val="18"/>
              </w:rPr>
            </w:pPr>
            <w:r>
              <w:rPr>
                <w:sz w:val="18"/>
                <w:szCs w:val="18"/>
              </w:rPr>
              <w:t>rigid plastics (50H);</w:t>
            </w:r>
          </w:p>
          <w:p w14:paraId="703B9911" w14:textId="77777777" w:rsidR="00095370" w:rsidRDefault="00095370" w:rsidP="00095370">
            <w:pPr>
              <w:pStyle w:val="SingleTxtG"/>
              <w:rPr>
                <w:sz w:val="18"/>
                <w:szCs w:val="18"/>
              </w:rPr>
            </w:pPr>
            <w:r>
              <w:rPr>
                <w:sz w:val="18"/>
                <w:szCs w:val="18"/>
              </w:rPr>
              <w:t>natural wood (50C);</w:t>
            </w:r>
          </w:p>
          <w:p w14:paraId="396C1983" w14:textId="77777777" w:rsidR="00095370" w:rsidRDefault="00095370" w:rsidP="00095370">
            <w:pPr>
              <w:pStyle w:val="SingleTxtG"/>
              <w:rPr>
                <w:sz w:val="18"/>
                <w:szCs w:val="18"/>
              </w:rPr>
            </w:pPr>
            <w:r>
              <w:rPr>
                <w:sz w:val="18"/>
                <w:szCs w:val="18"/>
              </w:rPr>
              <w:t>plywood (50D);</w:t>
            </w:r>
          </w:p>
          <w:p w14:paraId="031B85A5" w14:textId="77777777" w:rsidR="00095370" w:rsidRDefault="00095370" w:rsidP="00095370">
            <w:pPr>
              <w:pStyle w:val="SingleTxtG"/>
              <w:rPr>
                <w:sz w:val="18"/>
                <w:szCs w:val="18"/>
              </w:rPr>
            </w:pPr>
            <w:r>
              <w:rPr>
                <w:sz w:val="18"/>
                <w:szCs w:val="18"/>
              </w:rPr>
              <w:t>reconstituted wood (50F);</w:t>
            </w:r>
          </w:p>
          <w:p w14:paraId="51E2B041" w14:textId="77777777" w:rsidR="00095370" w:rsidRDefault="00095370" w:rsidP="00095370">
            <w:pPr>
              <w:pStyle w:val="SingleTxtG"/>
              <w:rPr>
                <w:sz w:val="18"/>
                <w:szCs w:val="18"/>
              </w:rPr>
            </w:pPr>
            <w:r>
              <w:rPr>
                <w:sz w:val="18"/>
                <w:szCs w:val="18"/>
              </w:rPr>
              <w:t xml:space="preserve">rigid </w:t>
            </w:r>
            <w:proofErr w:type="spellStart"/>
            <w:r>
              <w:rPr>
                <w:sz w:val="18"/>
                <w:szCs w:val="18"/>
              </w:rPr>
              <w:t>fibreboard</w:t>
            </w:r>
            <w:proofErr w:type="spellEnd"/>
            <w:r>
              <w:rPr>
                <w:sz w:val="18"/>
                <w:szCs w:val="18"/>
              </w:rPr>
              <w:t xml:space="preserve"> (50G).</w:t>
            </w:r>
          </w:p>
        </w:tc>
      </w:tr>
      <w:tr w:rsidR="00095370" w14:paraId="1EAACDAB" w14:textId="77777777" w:rsidTr="00095370">
        <w:trPr>
          <w:jc w:val="center"/>
        </w:trPr>
        <w:tc>
          <w:tcPr>
            <w:tcW w:w="8992" w:type="dxa"/>
            <w:gridSpan w:val="2"/>
            <w:tcBorders>
              <w:top w:val="nil"/>
              <w:left w:val="single" w:sz="4" w:space="0" w:color="auto"/>
              <w:bottom w:val="single" w:sz="4" w:space="0" w:color="auto"/>
              <w:right w:val="single" w:sz="4" w:space="0" w:color="auto"/>
            </w:tcBorders>
            <w:hideMark/>
          </w:tcPr>
          <w:p w14:paraId="4649F78E" w14:textId="77777777" w:rsidR="00095370" w:rsidRDefault="00095370" w:rsidP="00095370">
            <w:pPr>
              <w:pStyle w:val="SingleTxtG"/>
              <w:rPr>
                <w:sz w:val="18"/>
                <w:szCs w:val="18"/>
              </w:rPr>
            </w:pPr>
            <w:r>
              <w:rPr>
                <w:strike/>
                <w:sz w:val="18"/>
                <w:szCs w:val="18"/>
              </w:rPr>
              <w:t>The</w:t>
            </w:r>
            <w:r>
              <w:rPr>
                <w:sz w:val="18"/>
                <w:szCs w:val="18"/>
              </w:rPr>
              <w:t xml:space="preserve"> </w:t>
            </w:r>
            <w:r>
              <w:rPr>
                <w:sz w:val="18"/>
                <w:szCs w:val="18"/>
                <w:u w:val="single"/>
              </w:rPr>
              <w:t>Each</w:t>
            </w:r>
            <w:r>
              <w:rPr>
                <w:sz w:val="18"/>
                <w:szCs w:val="18"/>
              </w:rPr>
              <w:t xml:space="preserve"> battery or </w:t>
            </w:r>
            <w:r>
              <w:rPr>
                <w:strike/>
                <w:sz w:val="18"/>
                <w:szCs w:val="18"/>
              </w:rPr>
              <w:t xml:space="preserve">the </w:t>
            </w:r>
            <w:r>
              <w:rPr>
                <w:sz w:val="18"/>
                <w:szCs w:val="18"/>
                <w:u w:val="single"/>
              </w:rPr>
              <w:t xml:space="preserve">piece of </w:t>
            </w:r>
            <w:r>
              <w:rPr>
                <w:sz w:val="18"/>
                <w:szCs w:val="18"/>
              </w:rPr>
              <w:t xml:space="preserve">equipment shall be </w:t>
            </w:r>
            <w:r>
              <w:rPr>
                <w:sz w:val="18"/>
                <w:szCs w:val="18"/>
                <w:u w:val="single"/>
              </w:rPr>
              <w:t xml:space="preserve">wrapped or packed in an inner packaging and the outer packaging provided with dividers or partitions so that each battery or piece of equipment is separated to ensure </w:t>
            </w:r>
            <w:r>
              <w:rPr>
                <w:strike/>
                <w:sz w:val="18"/>
                <w:szCs w:val="18"/>
              </w:rPr>
              <w:t xml:space="preserve">packed so </w:t>
            </w:r>
            <w:r>
              <w:rPr>
                <w:sz w:val="18"/>
                <w:szCs w:val="18"/>
              </w:rPr>
              <w:t>that the battery or the equipment is protected against damage that may be caused by its movement of placement within the large packaging.</w:t>
            </w:r>
          </w:p>
        </w:tc>
      </w:tr>
      <w:tr w:rsidR="00095370" w14:paraId="13EB430F" w14:textId="77777777" w:rsidTr="00095370">
        <w:trPr>
          <w:jc w:val="center"/>
        </w:trPr>
        <w:tc>
          <w:tcPr>
            <w:tcW w:w="8992" w:type="dxa"/>
            <w:gridSpan w:val="2"/>
            <w:tcBorders>
              <w:top w:val="single" w:sz="4" w:space="0" w:color="auto"/>
              <w:left w:val="single" w:sz="4" w:space="0" w:color="auto"/>
              <w:bottom w:val="single" w:sz="4" w:space="0" w:color="auto"/>
              <w:right w:val="single" w:sz="4" w:space="0" w:color="auto"/>
            </w:tcBorders>
            <w:hideMark/>
          </w:tcPr>
          <w:p w14:paraId="19A0D837" w14:textId="77777777" w:rsidR="00095370" w:rsidRDefault="00095370" w:rsidP="00095370">
            <w:pPr>
              <w:pStyle w:val="SingleTxtG"/>
              <w:rPr>
                <w:b/>
                <w:sz w:val="18"/>
                <w:szCs w:val="18"/>
              </w:rPr>
            </w:pPr>
            <w:r>
              <w:rPr>
                <w:b/>
                <w:sz w:val="18"/>
                <w:szCs w:val="18"/>
              </w:rPr>
              <w:t>Additional requirement:</w:t>
            </w:r>
          </w:p>
          <w:p w14:paraId="4A936735" w14:textId="77777777" w:rsidR="00095370" w:rsidRDefault="00095370" w:rsidP="00095370">
            <w:pPr>
              <w:pStyle w:val="SingleTxtG"/>
              <w:rPr>
                <w:sz w:val="18"/>
                <w:szCs w:val="18"/>
              </w:rPr>
            </w:pPr>
            <w:r>
              <w:rPr>
                <w:sz w:val="18"/>
                <w:szCs w:val="18"/>
              </w:rPr>
              <w:t>Batteries shall be protected against short circuit.</w:t>
            </w:r>
          </w:p>
        </w:tc>
      </w:tr>
    </w:tbl>
    <w:p w14:paraId="43785204" w14:textId="77777777" w:rsidR="00095370" w:rsidRDefault="00095370" w:rsidP="00095370">
      <w:pPr>
        <w:pStyle w:val="H1G"/>
      </w:pPr>
      <w:r>
        <w:tab/>
      </w:r>
      <w:r>
        <w:tab/>
        <w:t>Justification</w:t>
      </w:r>
    </w:p>
    <w:p w14:paraId="79EF4CCD" w14:textId="77777777" w:rsidR="00095370" w:rsidRDefault="00095370" w:rsidP="00095370">
      <w:pPr>
        <w:pStyle w:val="SingleTxtG"/>
      </w:pPr>
      <w:r>
        <w:t>6.</w:t>
      </w:r>
      <w:r>
        <w:tab/>
        <w:t>There is no reduction in safety. Indeed, this may encourage increased use of the certified packaging rather than the open approach of P903 (2). The requirement to wrap or package each battery separately and segregate in the large packaging will help to mitigate the adverse effects should a battery short circuit by slowing or preventing spread to other batteries. The packaging arrangement is such that it prevents the use of these packagings as jumble packs.</w:t>
      </w:r>
    </w:p>
    <w:p w14:paraId="6C623D25" w14:textId="77777777" w:rsidR="00095370" w:rsidRPr="00095370" w:rsidRDefault="00095370" w:rsidP="00095370">
      <w:pPr>
        <w:spacing w:before="240"/>
        <w:jc w:val="center"/>
        <w:rPr>
          <w:u w:val="single"/>
        </w:rPr>
      </w:pPr>
      <w:r>
        <w:rPr>
          <w:u w:val="single"/>
        </w:rPr>
        <w:tab/>
      </w:r>
      <w:r>
        <w:rPr>
          <w:u w:val="single"/>
        </w:rPr>
        <w:tab/>
      </w:r>
      <w:r>
        <w:rPr>
          <w:u w:val="single"/>
        </w:rPr>
        <w:tab/>
      </w:r>
    </w:p>
    <w:p w14:paraId="0FD0AB35" w14:textId="77777777" w:rsidR="00095370" w:rsidRPr="00A01375" w:rsidRDefault="00095370" w:rsidP="00967F32">
      <w:pPr>
        <w:pStyle w:val="SingleTxtG"/>
      </w:pPr>
    </w:p>
    <w:sectPr w:rsidR="00095370" w:rsidRPr="00A01375" w:rsidSect="00A01375">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DABC" w14:textId="77777777" w:rsidR="00A01375" w:rsidRPr="00C47B2E" w:rsidRDefault="00A01375" w:rsidP="00C47B2E">
      <w:pPr>
        <w:pStyle w:val="Footer"/>
      </w:pPr>
    </w:p>
  </w:endnote>
  <w:endnote w:type="continuationSeparator" w:id="0">
    <w:p w14:paraId="4557549E" w14:textId="77777777" w:rsidR="00A01375" w:rsidRPr="00C47B2E" w:rsidRDefault="00A01375" w:rsidP="00C47B2E">
      <w:pPr>
        <w:pStyle w:val="Footer"/>
      </w:pPr>
    </w:p>
  </w:endnote>
  <w:endnote w:type="continuationNotice" w:id="1">
    <w:p w14:paraId="786786EF" w14:textId="77777777" w:rsidR="00A01375" w:rsidRPr="00C47B2E" w:rsidRDefault="00A0137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32B2" w14:textId="77777777" w:rsidR="00D94B05" w:rsidRPr="00A01375" w:rsidRDefault="00A01375" w:rsidP="00A01375">
    <w:pPr>
      <w:pStyle w:val="Footer"/>
      <w:tabs>
        <w:tab w:val="right" w:pos="9598"/>
        <w:tab w:val="right" w:pos="9638"/>
      </w:tabs>
      <w:rPr>
        <w:sz w:val="18"/>
      </w:rPr>
    </w:pPr>
    <w:r w:rsidRPr="00A01375">
      <w:rPr>
        <w:b/>
        <w:sz w:val="18"/>
      </w:rPr>
      <w:fldChar w:fldCharType="begin"/>
    </w:r>
    <w:r w:rsidRPr="00A01375">
      <w:rPr>
        <w:b/>
        <w:sz w:val="18"/>
      </w:rPr>
      <w:instrText xml:space="preserve"> PAGE  \* MERGEFORMAT </w:instrText>
    </w:r>
    <w:r w:rsidRPr="00A01375">
      <w:rPr>
        <w:b/>
        <w:sz w:val="18"/>
      </w:rPr>
      <w:fldChar w:fldCharType="separate"/>
    </w:r>
    <w:r w:rsidRPr="00A01375">
      <w:rPr>
        <w:b/>
        <w:noProof/>
        <w:sz w:val="18"/>
      </w:rPr>
      <w:t>2</w:t>
    </w:r>
    <w:r w:rsidRPr="00A013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CAD6" w14:textId="77777777" w:rsidR="00D94B05" w:rsidRPr="00A01375" w:rsidRDefault="00A01375" w:rsidP="00A01375">
    <w:pPr>
      <w:pStyle w:val="Footer"/>
      <w:tabs>
        <w:tab w:val="left" w:pos="5775"/>
        <w:tab w:val="right" w:pos="9598"/>
        <w:tab w:val="right" w:pos="9638"/>
      </w:tabs>
      <w:rPr>
        <w:sz w:val="18"/>
      </w:rPr>
    </w:pPr>
    <w:r>
      <w:rPr>
        <w:b/>
        <w:sz w:val="18"/>
      </w:rPr>
      <w:tab/>
    </w:r>
    <w:r w:rsidRPr="00A01375">
      <w:rPr>
        <w:sz w:val="18"/>
      </w:rPr>
      <w:fldChar w:fldCharType="begin"/>
    </w:r>
    <w:r w:rsidRPr="00A01375">
      <w:rPr>
        <w:sz w:val="18"/>
      </w:rPr>
      <w:instrText xml:space="preserve"> PAGE  \* MERGEFORMAT </w:instrText>
    </w:r>
    <w:r w:rsidRPr="00A01375">
      <w:rPr>
        <w:sz w:val="18"/>
      </w:rPr>
      <w:fldChar w:fldCharType="separate"/>
    </w:r>
    <w:r w:rsidRPr="00A01375">
      <w:rPr>
        <w:noProof/>
        <w:sz w:val="18"/>
      </w:rPr>
      <w:t>3</w:t>
    </w:r>
    <w:r w:rsidRPr="00A0137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51C1" w14:textId="77777777" w:rsidR="00D94B05" w:rsidRPr="00A0137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2BA2B9E" wp14:editId="5B28218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9C5D" w14:textId="77777777" w:rsidR="00A01375" w:rsidRPr="00C47B2E" w:rsidRDefault="00A01375" w:rsidP="00C47B2E">
      <w:pPr>
        <w:tabs>
          <w:tab w:val="right" w:pos="2155"/>
        </w:tabs>
        <w:spacing w:after="80" w:line="240" w:lineRule="auto"/>
        <w:ind w:left="680"/>
      </w:pPr>
      <w:r>
        <w:rPr>
          <w:u w:val="single"/>
        </w:rPr>
        <w:tab/>
      </w:r>
    </w:p>
  </w:footnote>
  <w:footnote w:type="continuationSeparator" w:id="0">
    <w:p w14:paraId="74E7A3ED" w14:textId="77777777" w:rsidR="00A01375" w:rsidRPr="00C47B2E" w:rsidRDefault="00A01375" w:rsidP="005E716E">
      <w:pPr>
        <w:tabs>
          <w:tab w:val="right" w:pos="2155"/>
        </w:tabs>
        <w:spacing w:after="80" w:line="240" w:lineRule="auto"/>
        <w:ind w:left="680"/>
      </w:pPr>
      <w:r>
        <w:rPr>
          <w:u w:val="single"/>
        </w:rPr>
        <w:tab/>
      </w:r>
    </w:p>
  </w:footnote>
  <w:footnote w:type="continuationNotice" w:id="1">
    <w:p w14:paraId="19CB479E" w14:textId="77777777" w:rsidR="00A01375" w:rsidRPr="00C47B2E" w:rsidRDefault="00A01375" w:rsidP="00C47B2E">
      <w:pPr>
        <w:pStyle w:val="Footer"/>
      </w:pPr>
    </w:p>
  </w:footnote>
  <w:footnote w:id="2">
    <w:p w14:paraId="2D9AABFB" w14:textId="77777777" w:rsidR="00095370" w:rsidRPr="00095370" w:rsidRDefault="00095370" w:rsidP="00D5089B">
      <w:pPr>
        <w:tabs>
          <w:tab w:val="left" w:pos="1418"/>
        </w:tabs>
        <w:ind w:firstLine="1134"/>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BD7CDF">
        <w:rPr>
          <w:lang w:val="en-US"/>
        </w:rPr>
        <w:t>)</w:t>
      </w:r>
    </w:p>
  </w:footnote>
  <w:footnote w:id="3">
    <w:p w14:paraId="21C48CA9" w14:textId="77777777" w:rsidR="00D5089B" w:rsidRDefault="00D5089B" w:rsidP="00D5089B">
      <w:pPr>
        <w:tabs>
          <w:tab w:val="left" w:pos="1418"/>
        </w:tabs>
        <w:ind w:left="1134"/>
        <w:rPr>
          <w:lang w:val="en-US"/>
        </w:rPr>
      </w:pPr>
      <w:r>
        <w:rPr>
          <w:rStyle w:val="FootnoteReference"/>
        </w:rPr>
        <w:t>**</w:t>
      </w:r>
      <w:r>
        <w:t xml:space="preserve"> </w:t>
      </w:r>
      <w:r>
        <w:tab/>
      </w:r>
      <w:r>
        <w:rPr>
          <w:lang w:val="en-US"/>
        </w:rPr>
        <w:t>This document was scheduled for publication after the standard publication date owing to circumstances (CORVID-19) beyond the submitter's control.</w:t>
      </w:r>
    </w:p>
    <w:p w14:paraId="0C54E605" w14:textId="77777777" w:rsidR="00D5089B" w:rsidRPr="00D5089B" w:rsidRDefault="00D5089B">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3F7B" w14:textId="3C47E4AA" w:rsidR="00A01375" w:rsidRPr="00A01375" w:rsidRDefault="00967F32">
    <w:pPr>
      <w:pStyle w:val="Header"/>
    </w:pPr>
    <w:fldSimple w:instr=" TITLE  \* MERGEFORMAT ">
      <w:r w:rsidR="00202B92">
        <w:t>ST/SG/AC.10/C.3/2020/52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FB77" w14:textId="2A000316" w:rsidR="00D94B05" w:rsidRPr="00A01375" w:rsidRDefault="00967F32" w:rsidP="00A01375">
    <w:pPr>
      <w:pStyle w:val="Header"/>
      <w:jc w:val="right"/>
    </w:pPr>
    <w:fldSimple w:instr=" TITLE  \* MERGEFORMAT ">
      <w:r w:rsidR="00202B92">
        <w:t>ST/SG/AC.10/C.3/2020/52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75"/>
    <w:rsid w:val="00046E92"/>
    <w:rsid w:val="00063C90"/>
    <w:rsid w:val="00095370"/>
    <w:rsid w:val="00101B98"/>
    <w:rsid w:val="001514D1"/>
    <w:rsid w:val="001E7595"/>
    <w:rsid w:val="00202B92"/>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67F32"/>
    <w:rsid w:val="009D0139"/>
    <w:rsid w:val="009D717D"/>
    <w:rsid w:val="009F5CDC"/>
    <w:rsid w:val="00A01375"/>
    <w:rsid w:val="00A072D7"/>
    <w:rsid w:val="00A775CF"/>
    <w:rsid w:val="00AD1A9C"/>
    <w:rsid w:val="00AF5DE1"/>
    <w:rsid w:val="00B06045"/>
    <w:rsid w:val="00B206DD"/>
    <w:rsid w:val="00B52EF4"/>
    <w:rsid w:val="00B777AD"/>
    <w:rsid w:val="00BD7CDF"/>
    <w:rsid w:val="00C03015"/>
    <w:rsid w:val="00C0358D"/>
    <w:rsid w:val="00C35A27"/>
    <w:rsid w:val="00C47B2E"/>
    <w:rsid w:val="00D5089B"/>
    <w:rsid w:val="00D63CD2"/>
    <w:rsid w:val="00D87DC2"/>
    <w:rsid w:val="00D94B05"/>
    <w:rsid w:val="00DA0850"/>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44FAB"/>
  <w15:docId w15:val="{1A38B2AD-2B1C-47E4-8160-A379A228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520775665">
      <w:bodyDiv w:val="1"/>
      <w:marLeft w:val="0"/>
      <w:marRight w:val="0"/>
      <w:marTop w:val="0"/>
      <w:marBottom w:val="0"/>
      <w:divBdr>
        <w:top w:val="none" w:sz="0" w:space="0" w:color="auto"/>
        <w:left w:val="none" w:sz="0" w:space="0" w:color="auto"/>
        <w:bottom w:val="none" w:sz="0" w:space="0" w:color="auto"/>
        <w:right w:val="none" w:sz="0" w:space="0" w:color="auto"/>
      </w:divBdr>
    </w:div>
    <w:div w:id="20256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BB91-5225-4C79-B74E-B93B4153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42</TotalTime>
  <Pages>2</Pages>
  <Words>594</Words>
  <Characters>3182</Characters>
  <Application>Microsoft Office Word</Application>
  <DocSecurity>0</DocSecurity>
  <Lines>71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ST/SG/AC.10/C.3/2020/52</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ST/SG/AC.10/C.3/2020/52</dc:title>
  <dc:subject/>
  <dc:creator>Editorial</dc:creator>
  <cp:lastModifiedBy>Laurence Berthet</cp:lastModifiedBy>
  <cp:revision>6</cp:revision>
  <cp:lastPrinted>2020-04-17T08:11:00Z</cp:lastPrinted>
  <dcterms:created xsi:type="dcterms:W3CDTF">2020-04-06T10:18:00Z</dcterms:created>
  <dcterms:modified xsi:type="dcterms:W3CDTF">2020-04-17T08:14:00Z</dcterms:modified>
</cp:coreProperties>
</file>