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CDF4011" w14:textId="77777777" w:rsidTr="00F01738">
        <w:trPr>
          <w:trHeight w:hRule="exact" w:val="851"/>
        </w:trPr>
        <w:tc>
          <w:tcPr>
            <w:tcW w:w="1276" w:type="dxa"/>
            <w:tcBorders>
              <w:bottom w:val="single" w:sz="4" w:space="0" w:color="auto"/>
            </w:tcBorders>
          </w:tcPr>
          <w:p w14:paraId="05BE2E40" w14:textId="77777777" w:rsidR="00132EA9" w:rsidRPr="00DB58B5" w:rsidRDefault="00132EA9" w:rsidP="00624A0A"/>
        </w:tc>
        <w:tc>
          <w:tcPr>
            <w:tcW w:w="2268" w:type="dxa"/>
            <w:tcBorders>
              <w:bottom w:val="single" w:sz="4" w:space="0" w:color="auto"/>
            </w:tcBorders>
            <w:vAlign w:val="bottom"/>
          </w:tcPr>
          <w:p w14:paraId="6C00F91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607E6E" w14:textId="77777777" w:rsidR="00132EA9" w:rsidRPr="00DB58B5" w:rsidRDefault="00624A0A" w:rsidP="00624A0A">
            <w:pPr>
              <w:jc w:val="right"/>
            </w:pPr>
            <w:r w:rsidRPr="00624A0A">
              <w:rPr>
                <w:sz w:val="40"/>
              </w:rPr>
              <w:t>ST</w:t>
            </w:r>
            <w:r>
              <w:t>/SG/AC.10/C.3/2020/45</w:t>
            </w:r>
          </w:p>
        </w:tc>
      </w:tr>
      <w:tr w:rsidR="00132EA9" w:rsidRPr="00DB58B5" w14:paraId="3555B75D" w14:textId="77777777" w:rsidTr="00F01738">
        <w:trPr>
          <w:trHeight w:hRule="exact" w:val="2835"/>
        </w:trPr>
        <w:tc>
          <w:tcPr>
            <w:tcW w:w="1276" w:type="dxa"/>
            <w:tcBorders>
              <w:top w:val="single" w:sz="4" w:space="0" w:color="auto"/>
              <w:bottom w:val="single" w:sz="12" w:space="0" w:color="auto"/>
            </w:tcBorders>
          </w:tcPr>
          <w:p w14:paraId="3BA99AA0" w14:textId="77777777" w:rsidR="00132EA9" w:rsidRPr="00DB58B5" w:rsidRDefault="00132EA9" w:rsidP="00F01738">
            <w:pPr>
              <w:spacing w:before="120"/>
              <w:jc w:val="center"/>
            </w:pPr>
            <w:r>
              <w:rPr>
                <w:noProof/>
                <w:lang w:eastAsia="fr-CH"/>
              </w:rPr>
              <w:drawing>
                <wp:inline distT="0" distB="0" distL="0" distR="0" wp14:anchorId="559AC2EB" wp14:editId="2D34A31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9DCCC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4C5FAA2" w14:textId="77777777" w:rsidR="00132EA9" w:rsidRDefault="00624A0A" w:rsidP="00F01738">
            <w:pPr>
              <w:spacing w:before="240"/>
            </w:pPr>
            <w:r>
              <w:t>Distr. générale</w:t>
            </w:r>
          </w:p>
          <w:p w14:paraId="1A2CFAEF" w14:textId="77777777" w:rsidR="00624A0A" w:rsidRDefault="00624A0A" w:rsidP="00624A0A">
            <w:pPr>
              <w:spacing w:line="240" w:lineRule="exact"/>
            </w:pPr>
            <w:r>
              <w:t>9 avril 2020</w:t>
            </w:r>
          </w:p>
          <w:p w14:paraId="4AA373BF" w14:textId="77777777" w:rsidR="00624A0A" w:rsidRDefault="00624A0A" w:rsidP="00624A0A">
            <w:pPr>
              <w:spacing w:line="240" w:lineRule="exact"/>
            </w:pPr>
            <w:r>
              <w:t>Français</w:t>
            </w:r>
          </w:p>
          <w:p w14:paraId="7B9C46D1" w14:textId="77777777" w:rsidR="00624A0A" w:rsidRPr="00DB58B5" w:rsidRDefault="00624A0A" w:rsidP="00624A0A">
            <w:pPr>
              <w:spacing w:line="240" w:lineRule="exact"/>
            </w:pPr>
            <w:r>
              <w:t>Original : anglais</w:t>
            </w:r>
          </w:p>
        </w:tc>
      </w:tr>
    </w:tbl>
    <w:p w14:paraId="346832F1" w14:textId="77777777" w:rsidR="00624A0A" w:rsidRPr="00CA0680" w:rsidRDefault="00624A0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1C771E52" w14:textId="77777777" w:rsidR="00624A0A" w:rsidRPr="00CA0680" w:rsidRDefault="00624A0A" w:rsidP="000305D3">
      <w:pPr>
        <w:spacing w:before="120"/>
        <w:rPr>
          <w:b/>
        </w:rPr>
      </w:pPr>
      <w:r w:rsidRPr="00CA0680">
        <w:rPr>
          <w:b/>
        </w:rPr>
        <w:t>Sous</w:t>
      </w:r>
      <w:r>
        <w:rPr>
          <w:b/>
        </w:rPr>
        <w:t>-</w:t>
      </w:r>
      <w:r w:rsidRPr="00CA0680">
        <w:rPr>
          <w:b/>
        </w:rPr>
        <w:t>Comité d’experts du transport des marchandises dangereuses</w:t>
      </w:r>
    </w:p>
    <w:p w14:paraId="20D2F04E" w14:textId="77777777" w:rsidR="00624A0A" w:rsidRDefault="00624A0A" w:rsidP="000305D3">
      <w:pPr>
        <w:spacing w:before="120"/>
        <w:rPr>
          <w:b/>
        </w:rPr>
      </w:pPr>
      <w:r>
        <w:rPr>
          <w:b/>
          <w:bCs/>
          <w:lang w:val="fr-FR"/>
        </w:rPr>
        <w:t>Cinquante-septième</w:t>
      </w:r>
      <w:r>
        <w:rPr>
          <w:b/>
        </w:rPr>
        <w:t xml:space="preserve"> </w:t>
      </w:r>
      <w:r w:rsidRPr="00CA0680">
        <w:rPr>
          <w:b/>
        </w:rPr>
        <w:t>session</w:t>
      </w:r>
    </w:p>
    <w:p w14:paraId="5759A2DF" w14:textId="77777777" w:rsidR="00624A0A" w:rsidRDefault="00624A0A" w:rsidP="000305D3">
      <w:r>
        <w:t xml:space="preserve">Genève, </w:t>
      </w:r>
      <w:r>
        <w:rPr>
          <w:lang w:val="fr-FR"/>
        </w:rPr>
        <w:t>29 juin-8 juillet 2020</w:t>
      </w:r>
    </w:p>
    <w:p w14:paraId="24CA2A3E" w14:textId="77777777" w:rsidR="00624A0A" w:rsidRDefault="00624A0A" w:rsidP="000305D3">
      <w:r>
        <w:t xml:space="preserve">Point </w:t>
      </w:r>
      <w:r>
        <w:rPr>
          <w:lang w:val="fr-FR"/>
        </w:rPr>
        <w:t>4 e)</w:t>
      </w:r>
      <w:r>
        <w:t xml:space="preserve"> de l’ordre du jour provisoire</w:t>
      </w:r>
    </w:p>
    <w:p w14:paraId="7AC34F35" w14:textId="77777777" w:rsidR="00624A0A" w:rsidRPr="00624A0A" w:rsidRDefault="00624A0A" w:rsidP="00624A0A">
      <w:pPr>
        <w:rPr>
          <w:b/>
          <w:bCs/>
          <w:lang w:val="fr-FR"/>
        </w:rPr>
      </w:pPr>
      <w:r w:rsidRPr="00624A0A">
        <w:rPr>
          <w:b/>
          <w:bCs/>
          <w:lang w:val="fr-FR"/>
        </w:rPr>
        <w:t>Systèmes de stockage de l’électricité</w:t>
      </w:r>
      <w:r w:rsidR="002C7FBF">
        <w:rPr>
          <w:b/>
          <w:bCs/>
          <w:lang w:val="fr-FR"/>
        </w:rPr>
        <w:t> </w:t>
      </w:r>
      <w:r w:rsidRPr="00624A0A">
        <w:rPr>
          <w:b/>
          <w:bCs/>
          <w:lang w:val="fr-FR"/>
        </w:rPr>
        <w:t>: Batteries sodium-ion</w:t>
      </w:r>
    </w:p>
    <w:p w14:paraId="31C2976B" w14:textId="77777777" w:rsidR="00624A0A" w:rsidRPr="00624A0A" w:rsidRDefault="00624A0A" w:rsidP="00765B59">
      <w:pPr>
        <w:pStyle w:val="HChG"/>
        <w:rPr>
          <w:lang w:val="fr-FR"/>
        </w:rPr>
      </w:pPr>
      <w:r w:rsidRPr="00624A0A">
        <w:rPr>
          <w:lang w:val="fr-FR"/>
        </w:rPr>
        <w:tab/>
      </w:r>
      <w:r w:rsidRPr="00624A0A">
        <w:rPr>
          <w:lang w:val="fr-FR"/>
        </w:rPr>
        <w:tab/>
        <w:t xml:space="preserve">Batteries sodium-ion </w:t>
      </w:r>
      <w:r w:rsidR="002C7FBF">
        <w:rPr>
          <w:lang w:val="fr-FR"/>
        </w:rPr>
        <w:t>− </w:t>
      </w:r>
      <w:r w:rsidRPr="00624A0A">
        <w:rPr>
          <w:lang w:val="fr-FR"/>
        </w:rPr>
        <w:t xml:space="preserve">Affectation d’un numéro ONU </w:t>
      </w:r>
      <w:r w:rsidR="00765B59">
        <w:rPr>
          <w:lang w:val="fr-FR"/>
        </w:rPr>
        <w:br/>
      </w:r>
      <w:r w:rsidRPr="00624A0A">
        <w:rPr>
          <w:lang w:val="fr-FR"/>
        </w:rPr>
        <w:t>ad hoc et dispositions spéciales correspondantes</w:t>
      </w:r>
    </w:p>
    <w:p w14:paraId="1137C4C2" w14:textId="77777777" w:rsidR="00624A0A" w:rsidRPr="00624A0A" w:rsidRDefault="00624A0A" w:rsidP="00765B59">
      <w:pPr>
        <w:pStyle w:val="H1G"/>
        <w:rPr>
          <w:lang w:val="fr-FR"/>
        </w:rPr>
      </w:pPr>
      <w:r w:rsidRPr="00624A0A">
        <w:rPr>
          <w:lang w:val="fr-FR"/>
        </w:rPr>
        <w:tab/>
      </w:r>
      <w:r w:rsidRPr="00624A0A">
        <w:rPr>
          <w:lang w:val="fr-FR"/>
        </w:rPr>
        <w:tab/>
        <w:t>Communication des experts de la France et du Royaume-Uni</w:t>
      </w:r>
      <w:r w:rsidR="00765B59" w:rsidRPr="00765B59">
        <w:rPr>
          <w:rStyle w:val="FootnoteReference"/>
          <w:b w:val="0"/>
          <w:sz w:val="20"/>
          <w:vertAlign w:val="baseline"/>
        </w:rPr>
        <w:footnoteReference w:customMarkFollows="1" w:id="2"/>
        <w:t>*</w:t>
      </w:r>
    </w:p>
    <w:p w14:paraId="2383F4A2" w14:textId="77777777" w:rsidR="00624A0A" w:rsidRPr="00624A0A" w:rsidRDefault="00624A0A" w:rsidP="00765B59">
      <w:pPr>
        <w:pStyle w:val="HChG"/>
      </w:pPr>
      <w:r w:rsidRPr="00624A0A">
        <w:rPr>
          <w:lang w:val="fr-FR"/>
        </w:rPr>
        <w:tab/>
      </w:r>
      <w:r w:rsidRPr="00624A0A">
        <w:rPr>
          <w:lang w:val="fr-FR"/>
        </w:rPr>
        <w:tab/>
        <w:t>Introduction</w:t>
      </w:r>
      <w:bookmarkStart w:id="0" w:name="_Hlk6568840"/>
      <w:bookmarkEnd w:id="0"/>
    </w:p>
    <w:p w14:paraId="184CC07F" w14:textId="77777777" w:rsidR="00624A0A" w:rsidRPr="00624A0A" w:rsidRDefault="00624A0A" w:rsidP="00765B59">
      <w:pPr>
        <w:pStyle w:val="SingleTxtG"/>
        <w:rPr>
          <w:lang w:val="fr-FR"/>
        </w:rPr>
      </w:pPr>
      <w:r w:rsidRPr="00624A0A">
        <w:rPr>
          <w:lang w:val="fr-FR"/>
        </w:rPr>
        <w:t>1.</w:t>
      </w:r>
      <w:r w:rsidRPr="00624A0A">
        <w:rPr>
          <w:lang w:val="fr-FR"/>
        </w:rPr>
        <w:tab/>
      </w:r>
      <w:r w:rsidR="00765B59" w:rsidRPr="00765B59">
        <w:rPr>
          <w:caps/>
          <w:lang w:val="fr-FR"/>
        </w:rPr>
        <w:t>à</w:t>
      </w:r>
      <w:r w:rsidRPr="00624A0A">
        <w:rPr>
          <w:lang w:val="fr-FR"/>
        </w:rPr>
        <w:t xml:space="preserve"> la cinquante-cinquième session, la France, appuyée par le Royaume-Uni, a présenté un document informel (document informel INF.38 (55</w:t>
      </w:r>
      <w:r w:rsidRPr="00765B59">
        <w:rPr>
          <w:vertAlign w:val="superscript"/>
          <w:lang w:val="fr-FR"/>
        </w:rPr>
        <w:t>e</w:t>
      </w:r>
      <w:r w:rsidRPr="00624A0A">
        <w:rPr>
          <w:lang w:val="fr-FR"/>
        </w:rPr>
        <w:t xml:space="preserve"> session)) en vue de proposer une nouvelle approche concernant les batteries sodium-ion. Le Sous-Comité a décidé de se conformer à l’approche exposée dans ce document (voir ST/SG/AC.10/C.3/110, par. 60 à 62).</w:t>
      </w:r>
    </w:p>
    <w:p w14:paraId="53819337" w14:textId="77777777" w:rsidR="00624A0A" w:rsidRPr="00624A0A" w:rsidRDefault="00624A0A" w:rsidP="00765B59">
      <w:pPr>
        <w:pStyle w:val="SingleTxtG"/>
        <w:rPr>
          <w:lang w:val="fr-FR"/>
        </w:rPr>
      </w:pPr>
      <w:r w:rsidRPr="00624A0A">
        <w:rPr>
          <w:lang w:val="fr-FR"/>
        </w:rPr>
        <w:t>2.</w:t>
      </w:r>
      <w:r w:rsidRPr="00624A0A">
        <w:rPr>
          <w:lang w:val="fr-FR"/>
        </w:rPr>
        <w:tab/>
        <w:t>Il a été précisé que l’objet de la proposition à élaborer était de créer une rubrique distincte pour les batteries sodium-ion et de définir les conditions de transport correspondantes. Le Sous-Comité a recommandé la prudence sur cette question et conseillé de tenir compte également des dangers intrinsèques de façon à parvenir à un classement approprié.</w:t>
      </w:r>
    </w:p>
    <w:p w14:paraId="2CF97EF9" w14:textId="77777777" w:rsidR="00624A0A" w:rsidRPr="00624A0A" w:rsidRDefault="00624A0A" w:rsidP="00765B59">
      <w:pPr>
        <w:pStyle w:val="SingleTxtG"/>
        <w:rPr>
          <w:lang w:val="fr-FR"/>
        </w:rPr>
      </w:pPr>
      <w:r w:rsidRPr="00624A0A">
        <w:rPr>
          <w:lang w:val="fr-FR"/>
        </w:rPr>
        <w:t>3.</w:t>
      </w:r>
      <w:r w:rsidRPr="00624A0A">
        <w:rPr>
          <w:lang w:val="fr-FR"/>
        </w:rPr>
        <w:tab/>
      </w:r>
      <w:r w:rsidR="00765B59" w:rsidRPr="00765B59">
        <w:rPr>
          <w:caps/>
          <w:lang w:val="fr-FR"/>
        </w:rPr>
        <w:t>à</w:t>
      </w:r>
      <w:r w:rsidRPr="00624A0A">
        <w:rPr>
          <w:lang w:val="fr-FR"/>
        </w:rPr>
        <w:t xml:space="preserve"> cette fin, on se fonderait sur les principes énoncés dans le document informel INF.38 (55</w:t>
      </w:r>
      <w:r w:rsidRPr="00765B59">
        <w:rPr>
          <w:vertAlign w:val="superscript"/>
          <w:lang w:val="fr-FR"/>
        </w:rPr>
        <w:t>e</w:t>
      </w:r>
      <w:r w:rsidR="00191947">
        <w:rPr>
          <w:lang w:val="fr-FR"/>
        </w:rPr>
        <w:t> </w:t>
      </w:r>
      <w:r w:rsidRPr="00624A0A">
        <w:rPr>
          <w:lang w:val="fr-FR"/>
        </w:rPr>
        <w:t>session). En particulier, on évaluerait les dangers intrinsèques en appliquant la méthode d’épreuve bien connue décrite à la section 38.3 du Manuel d’épreuves et de critères, comme cela est proposé au paragraphe 15 du document ci-dessus, moyennant quelques modifications pour mieux adapter celle-ci au niveau de risque correspondant aux batteries sodium-ion.</w:t>
      </w:r>
    </w:p>
    <w:p w14:paraId="7A88CFB3" w14:textId="77777777" w:rsidR="00624A0A" w:rsidRPr="00624A0A" w:rsidRDefault="00624A0A" w:rsidP="00765B59">
      <w:pPr>
        <w:pStyle w:val="SingleTxtG"/>
        <w:rPr>
          <w:lang w:val="fr-FR"/>
        </w:rPr>
      </w:pPr>
      <w:r w:rsidRPr="00624A0A">
        <w:rPr>
          <w:lang w:val="fr-FR"/>
        </w:rPr>
        <w:t>4.</w:t>
      </w:r>
      <w:r w:rsidRPr="00624A0A">
        <w:rPr>
          <w:lang w:val="fr-FR"/>
        </w:rPr>
        <w:tab/>
        <w:t xml:space="preserve">Il a également été relevé qu’on savait bien que le sodium ionique, lorsqu’il était déchargé, présentait un risque électrique très faible, voire nul. Il est donc proposé d’introduire une exemption avec un ensemble minimal de prescriptions pour les batteries mises en court-circuit, le court-circuit étant un moyen de s’assurer de la décharge. En effet, il n’existe aucun moyen pratique de contrôler l’état de charge d’une batterie au cours du transport. Le court-circuit est proposé comme moyen de s’assurer que la batterie transportée est complètement </w:t>
      </w:r>
      <w:r w:rsidRPr="00624A0A">
        <w:rPr>
          <w:lang w:val="fr-FR"/>
        </w:rPr>
        <w:lastRenderedPageBreak/>
        <w:t>déchargée. Il reste cependant à démontrer que les batteries sodium</w:t>
      </w:r>
      <w:r w:rsidR="00191947">
        <w:rPr>
          <w:lang w:val="fr-FR"/>
        </w:rPr>
        <w:noBreakHyphen/>
      </w:r>
      <w:r w:rsidRPr="00624A0A">
        <w:rPr>
          <w:lang w:val="fr-FR"/>
        </w:rPr>
        <w:t xml:space="preserve">ion peuvent être </w:t>
      </w:r>
      <w:proofErr w:type="spellStart"/>
      <w:r w:rsidRPr="00624A0A">
        <w:rPr>
          <w:lang w:val="fr-FR"/>
        </w:rPr>
        <w:t>surdéchargées</w:t>
      </w:r>
      <w:proofErr w:type="spellEnd"/>
      <w:r w:rsidRPr="00624A0A">
        <w:rPr>
          <w:lang w:val="fr-FR"/>
        </w:rPr>
        <w:t xml:space="preserve"> sans risque. D’autres moyens pratiques visant à s’assurer que la batterie est complètement déchargée peuvent être examinés.</w:t>
      </w:r>
    </w:p>
    <w:p w14:paraId="6D94FD89" w14:textId="77777777" w:rsidR="00624A0A" w:rsidRPr="00624A0A" w:rsidRDefault="00624A0A" w:rsidP="00765B59">
      <w:pPr>
        <w:pStyle w:val="SingleTxtG"/>
        <w:rPr>
          <w:lang w:val="fr-FR"/>
        </w:rPr>
      </w:pPr>
      <w:r w:rsidRPr="00624A0A">
        <w:rPr>
          <w:lang w:val="fr-FR"/>
        </w:rPr>
        <w:t>5.</w:t>
      </w:r>
      <w:r w:rsidRPr="00624A0A">
        <w:rPr>
          <w:lang w:val="fr-FR"/>
        </w:rPr>
        <w:tab/>
        <w:t>Il a été convenu que la France et le Royaume-Uni travailleraient ensemble, ainsi qu’avec d’autres parties concernées, en vue de formuler une proposition détaillée pour le transport des batteries sodium-ion. Un fabricant de batteries des États-Unis d’Amérique a notamment apporté sa contribution.</w:t>
      </w:r>
    </w:p>
    <w:p w14:paraId="07CF6630" w14:textId="77777777" w:rsidR="00624A0A" w:rsidRPr="00624A0A" w:rsidRDefault="00624A0A" w:rsidP="00765B59">
      <w:pPr>
        <w:pStyle w:val="SingleTxtG"/>
        <w:rPr>
          <w:lang w:val="fr-FR"/>
        </w:rPr>
      </w:pPr>
      <w:r w:rsidRPr="00624A0A">
        <w:rPr>
          <w:lang w:val="fr-FR"/>
        </w:rPr>
        <w:t>6.</w:t>
      </w:r>
      <w:r w:rsidRPr="00624A0A">
        <w:rPr>
          <w:lang w:val="fr-FR"/>
        </w:rPr>
        <w:tab/>
        <w:t>Cette collaboration a permis de recueillir de nouvelles informations sur les batteries au sodium ionique, notamment en ce qui concerne leur densité énergétique, qui peut avoir une incidence sur le niveau de risque qui leur est associé.</w:t>
      </w:r>
    </w:p>
    <w:p w14:paraId="3A8FE4D4" w14:textId="77777777" w:rsidR="00624A0A" w:rsidRPr="00624A0A" w:rsidRDefault="00624A0A" w:rsidP="00765B59">
      <w:pPr>
        <w:pStyle w:val="SingleTxtG"/>
        <w:rPr>
          <w:lang w:val="fr-FR"/>
        </w:rPr>
      </w:pPr>
      <w:r w:rsidRPr="00624A0A">
        <w:rPr>
          <w:lang w:val="fr-FR"/>
        </w:rPr>
        <w:t>7.</w:t>
      </w:r>
      <w:r w:rsidRPr="00624A0A">
        <w:rPr>
          <w:lang w:val="fr-FR"/>
        </w:rPr>
        <w:tab/>
        <w:t>Les batteries sodium-ion existent dans une large gamme de densités d’énergie correspondant à différentes applications. Celles qui ont une faible densité énergétique sont destinées à un usage stationnaire, tandis que celles qui ont une densité plus forte peuvent être utilisées dans des produits mobiles tels que les véhicules électriques et les appareils électroniques portatifs. Des densités d’énergie différentes peuvent se traduire par des risques différents durant le transport.</w:t>
      </w:r>
    </w:p>
    <w:p w14:paraId="3D4A64FE" w14:textId="77777777" w:rsidR="00624A0A" w:rsidRPr="00624A0A" w:rsidRDefault="00624A0A" w:rsidP="00765B59">
      <w:pPr>
        <w:pStyle w:val="SingleTxtG"/>
        <w:rPr>
          <w:lang w:val="fr-FR"/>
        </w:rPr>
      </w:pPr>
      <w:r w:rsidRPr="00624A0A">
        <w:rPr>
          <w:lang w:val="fr-FR"/>
        </w:rPr>
        <w:t>8.</w:t>
      </w:r>
      <w:r w:rsidRPr="00624A0A">
        <w:rPr>
          <w:lang w:val="fr-FR"/>
        </w:rPr>
        <w:tab/>
        <w:t>Pour information, certaines batteries lithium-ion peuvent avoir une densité énergétique allant de 190 Wh/kg à 250 Wh/kg. Les batteries sodium-ion disponibles actuellement auraient une densité énergétique comprise entre 22 Wh/kg et 150 Wh/kg. Il est compréhensible que des batteries dont les densités énergétiques se trouvent aux extrémités d’une plage de densités puissent présenter des dangers intrinsèques très différents, et qu’en raison du niveau de danger différent, celles qui présentent un risque plus faible puissent faire l’objet de prescriptions simplifiées.</w:t>
      </w:r>
    </w:p>
    <w:p w14:paraId="6A114527" w14:textId="77777777" w:rsidR="00624A0A" w:rsidRPr="00624A0A" w:rsidRDefault="00624A0A" w:rsidP="00765B59">
      <w:pPr>
        <w:pStyle w:val="SingleTxtG"/>
        <w:rPr>
          <w:lang w:val="fr-FR"/>
        </w:rPr>
      </w:pPr>
      <w:r w:rsidRPr="00624A0A">
        <w:rPr>
          <w:lang w:val="fr-FR"/>
        </w:rPr>
        <w:t>9.</w:t>
      </w:r>
      <w:r w:rsidRPr="00624A0A">
        <w:rPr>
          <w:lang w:val="fr-FR"/>
        </w:rPr>
        <w:tab/>
        <w:t>Pour tenir compte de ce facteur, on a introduit dans la proposition</w:t>
      </w:r>
      <w:r w:rsidR="00191947">
        <w:rPr>
          <w:lang w:val="fr-FR"/>
        </w:rPr>
        <w:t> </w:t>
      </w:r>
      <w:r w:rsidRPr="00624A0A">
        <w:rPr>
          <w:lang w:val="fr-FR"/>
        </w:rPr>
        <w:t>5 une disposition spéciale permettant d’exempter les batteries sodium-ion qui ont une faible densité énergétique des prescriptions prévues, et même des épreuves. Néanmoins, lorsque le présent document a été établi, on a estimé qu’on aurait besoin de données justificatives supplémentaires pour prendre une décision sur ce principe ainsi que sur le seuil approprié s’agissant de la densité énergétique. Par conséquent, la proposition ci-dessus demeure facultative dans le contexte du présent document.</w:t>
      </w:r>
    </w:p>
    <w:p w14:paraId="3396E40D" w14:textId="77777777" w:rsidR="00624A0A" w:rsidRPr="00624A0A" w:rsidRDefault="00624A0A" w:rsidP="00765B59">
      <w:pPr>
        <w:pStyle w:val="SingleTxtG"/>
        <w:rPr>
          <w:lang w:val="fr-FR"/>
        </w:rPr>
      </w:pPr>
      <w:r w:rsidRPr="00624A0A">
        <w:rPr>
          <w:lang w:val="fr-FR"/>
        </w:rPr>
        <w:t>10.</w:t>
      </w:r>
      <w:r w:rsidRPr="00624A0A">
        <w:rPr>
          <w:lang w:val="fr-FR"/>
        </w:rPr>
        <w:tab/>
        <w:t>Une décision pourrait être prise si l’on avait à disposition suffisamment de données indiquant que, dans tous les cas, les batteries sodium-ion à faible densité énergétique ne provoquent aucune réaction électrique dangereuse.</w:t>
      </w:r>
    </w:p>
    <w:p w14:paraId="3EB79C5E" w14:textId="77777777" w:rsidR="00624A0A" w:rsidRPr="00624A0A" w:rsidRDefault="00624A0A" w:rsidP="00765B59">
      <w:pPr>
        <w:pStyle w:val="SingleTxtG"/>
        <w:rPr>
          <w:lang w:val="fr-FR"/>
        </w:rPr>
      </w:pPr>
      <w:r w:rsidRPr="00624A0A">
        <w:rPr>
          <w:lang w:val="fr-FR"/>
        </w:rPr>
        <w:t>11.</w:t>
      </w:r>
      <w:r w:rsidRPr="00624A0A">
        <w:rPr>
          <w:lang w:val="fr-FR"/>
        </w:rPr>
        <w:tab/>
        <w:t>La série de propositions présentée ci-après doit être considérée comme une base de discussion sur la question. Il s’agit d’une première ébauche qui peut être complétée par des documents informels, des justifications et d’éventuelles améliorations, selon qu’il convient.</w:t>
      </w:r>
    </w:p>
    <w:p w14:paraId="24F68D3B" w14:textId="77777777" w:rsidR="00624A0A" w:rsidRPr="00624A0A" w:rsidRDefault="00765B59" w:rsidP="00765B59">
      <w:pPr>
        <w:pStyle w:val="HChG"/>
        <w:rPr>
          <w:szCs w:val="28"/>
          <w:lang w:val="fr-FR"/>
        </w:rPr>
      </w:pPr>
      <w:r>
        <w:rPr>
          <w:lang w:val="fr-FR"/>
        </w:rPr>
        <w:tab/>
      </w:r>
      <w:r>
        <w:rPr>
          <w:lang w:val="fr-FR"/>
        </w:rPr>
        <w:tab/>
      </w:r>
      <w:r w:rsidR="00624A0A" w:rsidRPr="00624A0A">
        <w:rPr>
          <w:lang w:val="fr-FR"/>
        </w:rPr>
        <w:t>Résumé de la série de propositions</w:t>
      </w:r>
    </w:p>
    <w:p w14:paraId="2194C410" w14:textId="77777777" w:rsidR="00624A0A" w:rsidRPr="00624A0A" w:rsidRDefault="00624A0A" w:rsidP="00765B59">
      <w:pPr>
        <w:pStyle w:val="SingleTxtG"/>
        <w:rPr>
          <w:lang w:val="fr-FR"/>
        </w:rPr>
      </w:pPr>
      <w:r w:rsidRPr="00624A0A">
        <w:rPr>
          <w:lang w:val="fr-FR"/>
        </w:rPr>
        <w:t>12.</w:t>
      </w:r>
      <w:r w:rsidRPr="00624A0A">
        <w:rPr>
          <w:lang w:val="fr-FR"/>
        </w:rPr>
        <w:tab/>
        <w:t>La série de propositions ci-après vise à modifier la rubrique ONU 3292 afin d’exclure les batteries sodium-ion. Ainsi, la désignation officielle de transport pour le No</w:t>
      </w:r>
      <w:r w:rsidR="00191947">
        <w:rPr>
          <w:lang w:val="fr-FR"/>
        </w:rPr>
        <w:t> </w:t>
      </w:r>
      <w:r w:rsidRPr="00624A0A">
        <w:rPr>
          <w:lang w:val="fr-FR"/>
        </w:rPr>
        <w:t>ONU 3292 devrait être modifiée comme suit</w:t>
      </w:r>
      <w:r w:rsidR="002C7FBF">
        <w:rPr>
          <w:lang w:val="fr-FR"/>
        </w:rPr>
        <w:t> </w:t>
      </w:r>
      <w:r w:rsidRPr="00624A0A">
        <w:rPr>
          <w:lang w:val="fr-FR"/>
        </w:rPr>
        <w:t>: remplacer « ACCUMULATEURS AU SODIUM ou ÉLÉMENTS D’ACCUMULATEUR AU SODIUM » par « ACCUMULATEURS CONTENANT DU SODIUM MÉTALLIQUE OU UN ALLIAGE DE SODIUM ou ÉLÉMENTS D’ACCUMULATEUR CONTENANT DU SODIUM MÉTALLIQUE OU UN ALLIAGE DE SODIUM ».</w:t>
      </w:r>
    </w:p>
    <w:p w14:paraId="6332530E" w14:textId="77777777" w:rsidR="00624A0A" w:rsidRPr="00624A0A" w:rsidRDefault="00624A0A" w:rsidP="00765B59">
      <w:pPr>
        <w:pStyle w:val="SingleTxtG"/>
        <w:rPr>
          <w:lang w:val="fr-FR"/>
        </w:rPr>
      </w:pPr>
      <w:r w:rsidRPr="00624A0A">
        <w:rPr>
          <w:lang w:val="fr-FR"/>
        </w:rPr>
        <w:t>13.</w:t>
      </w:r>
      <w:r w:rsidRPr="00624A0A">
        <w:rPr>
          <w:lang w:val="fr-FR"/>
        </w:rPr>
        <w:tab/>
        <w:t>Il serait ensuite nécessaire de créer une rubrique pour les batteries sodium-ion. Cette rubrique aurait la désignation suivante</w:t>
      </w:r>
      <w:r w:rsidR="00765B59">
        <w:rPr>
          <w:lang w:val="fr-FR"/>
        </w:rPr>
        <w:t> </w:t>
      </w:r>
      <w:r w:rsidRPr="00624A0A">
        <w:rPr>
          <w:lang w:val="fr-FR"/>
        </w:rPr>
        <w:t>: « ACCUMULATEURS SODIUM-ION A ELECTROLYTE ORGANIQUE ». De nombreux paramètres tels que le groupe d’emballage, les dispositions spéciales et les quantités limitées et exceptées seraient similaires à ceux applicables aux batteries lithium-ion. Une disposition spéciale supplémentaire devrait être formulée pour prévoir la possibilité de transporter des batteries sodium-ion court-circuitées conformément à un ensemble minimal de prescriptions, comme indiqué au paragraphe</w:t>
      </w:r>
      <w:r w:rsidR="00191947">
        <w:rPr>
          <w:lang w:val="fr-FR"/>
        </w:rPr>
        <w:t> </w:t>
      </w:r>
      <w:r w:rsidRPr="00624A0A">
        <w:rPr>
          <w:lang w:val="fr-FR"/>
        </w:rPr>
        <w:t>4 ci-dessus.</w:t>
      </w:r>
    </w:p>
    <w:p w14:paraId="1CA93799" w14:textId="77777777" w:rsidR="00624A0A" w:rsidRPr="00624A0A" w:rsidRDefault="00624A0A" w:rsidP="00765B59">
      <w:pPr>
        <w:pStyle w:val="SingleTxtG"/>
        <w:rPr>
          <w:lang w:val="fr-FR"/>
        </w:rPr>
      </w:pPr>
      <w:bookmarkStart w:id="1" w:name="_GoBack"/>
      <w:bookmarkEnd w:id="1"/>
      <w:r w:rsidRPr="00624A0A">
        <w:rPr>
          <w:lang w:val="fr-FR"/>
        </w:rPr>
        <w:lastRenderedPageBreak/>
        <w:t>14.</w:t>
      </w:r>
      <w:r w:rsidRPr="00624A0A">
        <w:rPr>
          <w:lang w:val="fr-FR"/>
        </w:rPr>
        <w:tab/>
        <w:t>Des éclaircissements doivent encore être apportés en ce qui concerne les points suivants notamment</w:t>
      </w:r>
      <w:r w:rsidR="00765B59">
        <w:rPr>
          <w:lang w:val="fr-FR"/>
        </w:rPr>
        <w:t> </w:t>
      </w:r>
      <w:r w:rsidRPr="00624A0A">
        <w:rPr>
          <w:lang w:val="fr-FR"/>
        </w:rPr>
        <w:t>:</w:t>
      </w:r>
    </w:p>
    <w:p w14:paraId="22C6B78F" w14:textId="77777777" w:rsidR="00624A0A" w:rsidRPr="00624A0A" w:rsidRDefault="00624A0A" w:rsidP="00765B59">
      <w:pPr>
        <w:pStyle w:val="Bullet1G"/>
        <w:rPr>
          <w:lang w:val="fr-FR"/>
        </w:rPr>
      </w:pPr>
      <w:r w:rsidRPr="00624A0A">
        <w:rPr>
          <w:lang w:val="fr-FR"/>
        </w:rPr>
        <w:t>La possibilité de transporter des batteries sodium-ion à électrolyte aqueux alcalin sous le No</w:t>
      </w:r>
      <w:r w:rsidR="00191947">
        <w:rPr>
          <w:lang w:val="fr-FR"/>
        </w:rPr>
        <w:t> </w:t>
      </w:r>
      <w:r w:rsidRPr="00624A0A">
        <w:rPr>
          <w:lang w:val="fr-FR"/>
        </w:rPr>
        <w:t>ONU 2795 et conformément à l’instruction P801</w:t>
      </w:r>
      <w:r w:rsidR="00765B59">
        <w:rPr>
          <w:lang w:val="fr-FR"/>
        </w:rPr>
        <w:t> </w:t>
      </w:r>
      <w:r w:rsidRPr="00624A0A">
        <w:rPr>
          <w:lang w:val="fr-FR"/>
        </w:rPr>
        <w:t>;</w:t>
      </w:r>
    </w:p>
    <w:p w14:paraId="3C7CADA9" w14:textId="77777777" w:rsidR="00765B59" w:rsidRDefault="00624A0A" w:rsidP="00765B59">
      <w:pPr>
        <w:pStyle w:val="Bullet1G"/>
        <w:rPr>
          <w:lang w:val="fr-FR"/>
        </w:rPr>
      </w:pPr>
      <w:r w:rsidRPr="00624A0A">
        <w:rPr>
          <w:lang w:val="fr-FR"/>
        </w:rPr>
        <w:t>Le cas particulier des batteries sodium-ion à électrolyte aqueux susceptibles de produire du cyanure (contenant du bleu de Prusse).</w:t>
      </w:r>
    </w:p>
    <w:p w14:paraId="161EF587" w14:textId="77777777" w:rsidR="00624A0A" w:rsidRPr="00765B59" w:rsidRDefault="00765B59" w:rsidP="00765B59">
      <w:pPr>
        <w:pStyle w:val="HChG"/>
        <w:rPr>
          <w:lang w:val="fr-FR"/>
        </w:rPr>
      </w:pPr>
      <w:r>
        <w:rPr>
          <w:lang w:val="fr-FR"/>
        </w:rPr>
        <w:br w:type="page"/>
      </w:r>
      <w:r>
        <w:rPr>
          <w:lang w:val="fr-FR"/>
        </w:rPr>
        <w:lastRenderedPageBreak/>
        <w:tab/>
      </w:r>
      <w:r>
        <w:rPr>
          <w:lang w:val="fr-FR"/>
        </w:rPr>
        <w:tab/>
      </w:r>
      <w:r w:rsidR="00624A0A" w:rsidRPr="00765B59">
        <w:rPr>
          <w:lang w:val="fr-FR"/>
        </w:rPr>
        <w:t>Série de propositions</w:t>
      </w:r>
    </w:p>
    <w:p w14:paraId="3CBDFA4F" w14:textId="77777777" w:rsidR="00624A0A" w:rsidRPr="00624A0A" w:rsidRDefault="00624A0A" w:rsidP="00765B59">
      <w:pPr>
        <w:pStyle w:val="H1G"/>
        <w:rPr>
          <w:lang w:val="fr-FR"/>
        </w:rPr>
      </w:pPr>
      <w:r w:rsidRPr="00624A0A">
        <w:rPr>
          <w:lang w:val="fr-FR"/>
        </w:rPr>
        <w:tab/>
      </w:r>
      <w:r w:rsidRPr="00624A0A">
        <w:rPr>
          <w:lang w:val="fr-FR"/>
        </w:rPr>
        <w:tab/>
        <w:t>Proposition 1</w:t>
      </w:r>
    </w:p>
    <w:p w14:paraId="5F38805D" w14:textId="77777777" w:rsidR="00624A0A" w:rsidRPr="00624A0A" w:rsidRDefault="00624A0A" w:rsidP="00765B59">
      <w:pPr>
        <w:pStyle w:val="SingleTxtG"/>
        <w:rPr>
          <w:lang w:val="fr-FR"/>
        </w:rPr>
      </w:pPr>
      <w:r w:rsidRPr="00624A0A">
        <w:rPr>
          <w:lang w:val="fr-FR"/>
        </w:rPr>
        <w:t>15.</w:t>
      </w:r>
      <w:r w:rsidRPr="00624A0A">
        <w:rPr>
          <w:lang w:val="fr-FR"/>
        </w:rPr>
        <w:tab/>
      </w:r>
      <w:r w:rsidR="00765B59" w:rsidRPr="00765B59">
        <w:rPr>
          <w:caps/>
          <w:lang w:val="fr-FR"/>
        </w:rPr>
        <w:t>à</w:t>
      </w:r>
      <w:r w:rsidRPr="00624A0A">
        <w:rPr>
          <w:lang w:val="fr-FR"/>
        </w:rPr>
        <w:t xml:space="preserve"> la section 3.2.2, modifier la désignation officielle de transport du No</w:t>
      </w:r>
      <w:r w:rsidR="00191947">
        <w:rPr>
          <w:lang w:val="fr-FR"/>
        </w:rPr>
        <w:t> </w:t>
      </w:r>
      <w:r w:rsidRPr="00624A0A">
        <w:rPr>
          <w:lang w:val="fr-FR"/>
        </w:rPr>
        <w:t>ONU 3292 comme suit</w:t>
      </w:r>
      <w:r w:rsidR="00EB2159">
        <w:rPr>
          <w:lang w:val="fr-FR"/>
        </w:rPr>
        <w:t> </w:t>
      </w:r>
      <w:r w:rsidRPr="00624A0A">
        <w:rPr>
          <w:lang w:val="fr-FR"/>
        </w:rPr>
        <w:t>: « ACCUMULATEURS CONTENANT DU SODIUM MÉTALLIQUE OU UN ALLIAGE DE SODIUM ou ÉLÉMENTS D’ACCUMULATEUR CONTENANT DU SODIUM MÉTALLIQUE OU UN ALLIAGE DE SODIUM ».</w:t>
      </w:r>
    </w:p>
    <w:p w14:paraId="15A15D8F" w14:textId="77777777" w:rsidR="00624A0A" w:rsidRPr="00624A0A" w:rsidRDefault="00624A0A" w:rsidP="00765B59">
      <w:pPr>
        <w:pStyle w:val="H1G"/>
        <w:rPr>
          <w:lang w:val="fr-FR"/>
        </w:rPr>
      </w:pPr>
      <w:r w:rsidRPr="00624A0A">
        <w:rPr>
          <w:lang w:val="fr-FR"/>
        </w:rPr>
        <w:tab/>
      </w:r>
      <w:r w:rsidRPr="00624A0A">
        <w:rPr>
          <w:lang w:val="fr-FR"/>
        </w:rPr>
        <w:tab/>
        <w:t>Proposition 2</w:t>
      </w:r>
    </w:p>
    <w:p w14:paraId="6A8EEE65" w14:textId="77777777" w:rsidR="00624A0A" w:rsidRPr="00624A0A" w:rsidRDefault="00624A0A" w:rsidP="00765B59">
      <w:pPr>
        <w:pStyle w:val="SingleTxtG"/>
        <w:rPr>
          <w:lang w:val="fr-FR"/>
        </w:rPr>
      </w:pPr>
      <w:r w:rsidRPr="00624A0A">
        <w:rPr>
          <w:lang w:val="fr-FR"/>
        </w:rPr>
        <w:t>16.</w:t>
      </w:r>
      <w:r w:rsidRPr="00624A0A">
        <w:rPr>
          <w:lang w:val="fr-FR"/>
        </w:rPr>
        <w:tab/>
      </w:r>
      <w:r w:rsidR="00765B59" w:rsidRPr="00765B59">
        <w:rPr>
          <w:caps/>
          <w:lang w:val="fr-FR"/>
        </w:rPr>
        <w:t>à</w:t>
      </w:r>
      <w:r w:rsidRPr="00624A0A">
        <w:rPr>
          <w:lang w:val="fr-FR"/>
        </w:rPr>
        <w:t xml:space="preserve"> la section 3.2.2, ajouter deux rubriques à la liste des marchandises dangereuses, comme suit</w:t>
      </w:r>
      <w:r w:rsidR="00765B59">
        <w:rPr>
          <w:lang w:val="fr-FR"/>
        </w:rPr>
        <w:t> </w:t>
      </w:r>
      <w:r w:rsidRPr="00624A0A">
        <w:rPr>
          <w:lang w:val="fr-FR"/>
        </w:rPr>
        <w:t>:</w:t>
      </w:r>
    </w:p>
    <w:tbl>
      <w:tblPr>
        <w:tblW w:w="9639" w:type="dxa"/>
        <w:tblLayout w:type="fixed"/>
        <w:tblCellMar>
          <w:left w:w="0" w:type="dxa"/>
          <w:right w:w="0" w:type="dxa"/>
        </w:tblCellMar>
        <w:tblLook w:val="0420" w:firstRow="1" w:lastRow="0" w:firstColumn="0" w:lastColumn="0" w:noHBand="0" w:noVBand="1"/>
      </w:tblPr>
      <w:tblGrid>
        <w:gridCol w:w="793"/>
        <w:gridCol w:w="1699"/>
        <w:gridCol w:w="1021"/>
        <w:gridCol w:w="1021"/>
        <w:gridCol w:w="1021"/>
        <w:gridCol w:w="1021"/>
        <w:gridCol w:w="1021"/>
        <w:gridCol w:w="1021"/>
        <w:gridCol w:w="1021"/>
      </w:tblGrid>
      <w:tr w:rsidR="00076EDD" w:rsidRPr="00624A0A" w14:paraId="0394ACE1" w14:textId="77777777" w:rsidTr="00973BB6">
        <w:trPr>
          <w:trHeight w:val="249"/>
        </w:trPr>
        <w:tc>
          <w:tcPr>
            <w:tcW w:w="793" w:type="dxa"/>
            <w:vMerge w:val="restart"/>
            <w:tcBorders>
              <w:top w:val="single" w:sz="8" w:space="0" w:color="000000"/>
              <w:left w:val="single" w:sz="8" w:space="0" w:color="000000"/>
              <w:right w:val="single" w:sz="8" w:space="0" w:color="000000"/>
            </w:tcBorders>
            <w:shd w:val="clear" w:color="auto" w:fill="FFFFFF"/>
            <w:tcMar>
              <w:top w:w="72" w:type="dxa"/>
              <w:left w:w="57" w:type="dxa"/>
              <w:bottom w:w="72" w:type="dxa"/>
              <w:right w:w="57" w:type="dxa"/>
            </w:tcMar>
            <w:hideMark/>
          </w:tcPr>
          <w:p w14:paraId="085C826B" w14:textId="77777777" w:rsidR="00624A0A" w:rsidRPr="00624A0A" w:rsidRDefault="00624A0A" w:rsidP="00191947">
            <w:pPr>
              <w:spacing w:before="20" w:after="20" w:line="240" w:lineRule="auto"/>
              <w:jc w:val="center"/>
              <w:rPr>
                <w:rFonts w:eastAsia="Times New Roman"/>
                <w:sz w:val="16"/>
                <w:szCs w:val="16"/>
              </w:rPr>
            </w:pPr>
            <w:r w:rsidRPr="00624A0A">
              <w:rPr>
                <w:b/>
                <w:bCs/>
                <w:sz w:val="16"/>
                <w:szCs w:val="16"/>
                <w:lang w:val="fr-FR"/>
              </w:rPr>
              <w:t>No ONU</w:t>
            </w:r>
          </w:p>
        </w:tc>
        <w:tc>
          <w:tcPr>
            <w:tcW w:w="1699" w:type="dxa"/>
            <w:vMerge w:val="restart"/>
            <w:tcBorders>
              <w:top w:val="single" w:sz="8" w:space="0" w:color="000000"/>
              <w:left w:val="single" w:sz="8" w:space="0" w:color="000000"/>
              <w:right w:val="single" w:sz="8" w:space="0" w:color="000000"/>
            </w:tcBorders>
            <w:shd w:val="clear" w:color="auto" w:fill="FFFFFF"/>
            <w:tcMar>
              <w:top w:w="72" w:type="dxa"/>
              <w:left w:w="57" w:type="dxa"/>
              <w:bottom w:w="72" w:type="dxa"/>
              <w:right w:w="57" w:type="dxa"/>
            </w:tcMar>
            <w:hideMark/>
          </w:tcPr>
          <w:p w14:paraId="600401A9" w14:textId="77777777" w:rsidR="00624A0A" w:rsidRPr="00624A0A" w:rsidRDefault="00624A0A" w:rsidP="00191947">
            <w:pPr>
              <w:spacing w:before="20" w:after="20" w:line="240" w:lineRule="auto"/>
              <w:jc w:val="center"/>
              <w:rPr>
                <w:rFonts w:eastAsia="Times New Roman"/>
                <w:sz w:val="16"/>
                <w:szCs w:val="16"/>
              </w:rPr>
            </w:pPr>
            <w:r w:rsidRPr="00624A0A">
              <w:rPr>
                <w:b/>
                <w:bCs/>
                <w:sz w:val="16"/>
                <w:szCs w:val="16"/>
                <w:lang w:val="fr-FR"/>
              </w:rPr>
              <w:t>Nom et description</w:t>
            </w:r>
          </w:p>
        </w:tc>
        <w:tc>
          <w:tcPr>
            <w:tcW w:w="1021" w:type="dxa"/>
            <w:vMerge w:val="restart"/>
            <w:tcBorders>
              <w:top w:val="single" w:sz="8" w:space="0" w:color="000000"/>
              <w:left w:val="single" w:sz="8" w:space="0" w:color="000000"/>
              <w:right w:val="single" w:sz="8" w:space="0" w:color="000000"/>
            </w:tcBorders>
            <w:shd w:val="clear" w:color="auto" w:fill="FFFFFF"/>
            <w:tcMar>
              <w:top w:w="72" w:type="dxa"/>
              <w:left w:w="57" w:type="dxa"/>
              <w:bottom w:w="72" w:type="dxa"/>
              <w:right w:w="57" w:type="dxa"/>
            </w:tcMar>
            <w:hideMark/>
          </w:tcPr>
          <w:p w14:paraId="14C0927B" w14:textId="77777777" w:rsidR="00624A0A" w:rsidRPr="00624A0A" w:rsidRDefault="00624A0A" w:rsidP="00191947">
            <w:pPr>
              <w:spacing w:before="20" w:after="20" w:line="240" w:lineRule="auto"/>
              <w:jc w:val="center"/>
              <w:rPr>
                <w:rFonts w:eastAsia="Times New Roman"/>
                <w:sz w:val="16"/>
                <w:szCs w:val="16"/>
              </w:rPr>
            </w:pPr>
            <w:r w:rsidRPr="00624A0A">
              <w:rPr>
                <w:b/>
                <w:bCs/>
                <w:sz w:val="16"/>
                <w:szCs w:val="16"/>
                <w:lang w:val="fr-FR"/>
              </w:rPr>
              <w:t xml:space="preserve">Classe </w:t>
            </w:r>
            <w:r w:rsidR="00191947">
              <w:rPr>
                <w:b/>
                <w:bCs/>
                <w:sz w:val="16"/>
                <w:szCs w:val="16"/>
                <w:lang w:val="fr-FR"/>
              </w:rPr>
              <w:br/>
            </w:r>
            <w:r w:rsidRPr="00624A0A">
              <w:rPr>
                <w:b/>
                <w:bCs/>
                <w:sz w:val="16"/>
                <w:szCs w:val="16"/>
                <w:lang w:val="fr-FR"/>
              </w:rPr>
              <w:t>ou division</w:t>
            </w:r>
          </w:p>
        </w:tc>
        <w:tc>
          <w:tcPr>
            <w:tcW w:w="1021" w:type="dxa"/>
            <w:vMerge w:val="restart"/>
            <w:tcBorders>
              <w:top w:val="single" w:sz="8" w:space="0" w:color="000000"/>
              <w:left w:val="single" w:sz="8" w:space="0" w:color="000000"/>
              <w:right w:val="single" w:sz="8" w:space="0" w:color="000000"/>
            </w:tcBorders>
            <w:shd w:val="clear" w:color="auto" w:fill="FFFFFF"/>
            <w:tcMar>
              <w:top w:w="72" w:type="dxa"/>
              <w:left w:w="57" w:type="dxa"/>
              <w:bottom w:w="72" w:type="dxa"/>
              <w:right w:w="57" w:type="dxa"/>
            </w:tcMar>
            <w:hideMark/>
          </w:tcPr>
          <w:p w14:paraId="3AC0233E" w14:textId="77777777" w:rsidR="00624A0A" w:rsidRPr="00624A0A" w:rsidRDefault="00624A0A" w:rsidP="00191947">
            <w:pPr>
              <w:spacing w:before="20" w:after="20" w:line="240" w:lineRule="auto"/>
              <w:jc w:val="center"/>
              <w:rPr>
                <w:rFonts w:eastAsia="Times New Roman"/>
                <w:sz w:val="16"/>
                <w:szCs w:val="16"/>
              </w:rPr>
            </w:pPr>
            <w:r w:rsidRPr="00624A0A">
              <w:rPr>
                <w:b/>
                <w:bCs/>
                <w:sz w:val="16"/>
                <w:szCs w:val="16"/>
                <w:lang w:val="fr-FR"/>
              </w:rPr>
              <w:t>Danger subsidiaire</w:t>
            </w:r>
          </w:p>
        </w:tc>
        <w:tc>
          <w:tcPr>
            <w:tcW w:w="1021" w:type="dxa"/>
            <w:vMerge w:val="restart"/>
            <w:tcBorders>
              <w:top w:val="single" w:sz="8" w:space="0" w:color="000000"/>
              <w:left w:val="single" w:sz="8" w:space="0" w:color="000000"/>
              <w:right w:val="single" w:sz="8" w:space="0" w:color="000000"/>
            </w:tcBorders>
            <w:shd w:val="clear" w:color="auto" w:fill="FFFFFF"/>
            <w:tcMar>
              <w:top w:w="72" w:type="dxa"/>
              <w:left w:w="57" w:type="dxa"/>
              <w:bottom w:w="72" w:type="dxa"/>
              <w:right w:w="57" w:type="dxa"/>
            </w:tcMar>
            <w:hideMark/>
          </w:tcPr>
          <w:p w14:paraId="7814E1F4" w14:textId="77777777" w:rsidR="00624A0A" w:rsidRPr="00624A0A" w:rsidRDefault="00624A0A" w:rsidP="00191947">
            <w:pPr>
              <w:spacing w:before="20" w:after="20" w:line="240" w:lineRule="auto"/>
              <w:jc w:val="center"/>
              <w:rPr>
                <w:rFonts w:eastAsia="Times New Roman"/>
                <w:sz w:val="16"/>
                <w:szCs w:val="16"/>
              </w:rPr>
            </w:pPr>
            <w:r w:rsidRPr="00624A0A">
              <w:rPr>
                <w:b/>
                <w:bCs/>
                <w:sz w:val="16"/>
                <w:szCs w:val="16"/>
                <w:lang w:val="fr-FR"/>
              </w:rPr>
              <w:t>Groupe d’emballage</w:t>
            </w:r>
          </w:p>
        </w:tc>
        <w:tc>
          <w:tcPr>
            <w:tcW w:w="1021" w:type="dxa"/>
            <w:vMerge w:val="restart"/>
            <w:tcBorders>
              <w:top w:val="single" w:sz="8" w:space="0" w:color="000000"/>
              <w:left w:val="single" w:sz="8" w:space="0" w:color="000000"/>
              <w:right w:val="single" w:sz="8" w:space="0" w:color="000000"/>
            </w:tcBorders>
            <w:shd w:val="clear" w:color="auto" w:fill="FFFFFF"/>
            <w:tcMar>
              <w:top w:w="72" w:type="dxa"/>
              <w:left w:w="57" w:type="dxa"/>
              <w:bottom w:w="72" w:type="dxa"/>
              <w:right w:w="57" w:type="dxa"/>
            </w:tcMar>
            <w:hideMark/>
          </w:tcPr>
          <w:p w14:paraId="542D4513" w14:textId="77777777" w:rsidR="00624A0A" w:rsidRPr="00624A0A" w:rsidRDefault="00624A0A" w:rsidP="00191947">
            <w:pPr>
              <w:spacing w:before="20" w:after="20" w:line="240" w:lineRule="auto"/>
              <w:jc w:val="center"/>
              <w:rPr>
                <w:rFonts w:eastAsia="Times New Roman"/>
                <w:sz w:val="16"/>
                <w:szCs w:val="16"/>
              </w:rPr>
            </w:pPr>
            <w:r w:rsidRPr="00624A0A">
              <w:rPr>
                <w:b/>
                <w:bCs/>
                <w:sz w:val="16"/>
                <w:szCs w:val="16"/>
                <w:lang w:val="fr-FR"/>
              </w:rPr>
              <w:t>Dispositions spéciales</w:t>
            </w:r>
          </w:p>
        </w:tc>
        <w:tc>
          <w:tcPr>
            <w:tcW w:w="1021" w:type="dxa"/>
            <w:vMerge w:val="restart"/>
            <w:tcBorders>
              <w:top w:val="single" w:sz="8" w:space="0" w:color="000000"/>
              <w:left w:val="single" w:sz="8" w:space="0" w:color="000000"/>
              <w:right w:val="single" w:sz="8" w:space="0" w:color="000000"/>
            </w:tcBorders>
            <w:shd w:val="clear" w:color="auto" w:fill="FFFFFF"/>
            <w:tcMar>
              <w:top w:w="72" w:type="dxa"/>
              <w:left w:w="57" w:type="dxa"/>
              <w:bottom w:w="72" w:type="dxa"/>
              <w:right w:w="57" w:type="dxa"/>
            </w:tcMar>
            <w:hideMark/>
          </w:tcPr>
          <w:p w14:paraId="67BFD86B" w14:textId="77777777" w:rsidR="00624A0A" w:rsidRPr="00624A0A" w:rsidRDefault="00624A0A" w:rsidP="00191947">
            <w:pPr>
              <w:spacing w:before="20" w:after="20" w:line="240" w:lineRule="auto"/>
              <w:jc w:val="center"/>
              <w:rPr>
                <w:rFonts w:eastAsia="Times New Roman"/>
                <w:sz w:val="16"/>
                <w:szCs w:val="16"/>
              </w:rPr>
            </w:pPr>
            <w:r w:rsidRPr="00624A0A">
              <w:rPr>
                <w:b/>
                <w:bCs/>
                <w:sz w:val="16"/>
                <w:szCs w:val="16"/>
                <w:lang w:val="fr-FR"/>
              </w:rPr>
              <w:t>Quantités limitées</w:t>
            </w:r>
          </w:p>
        </w:tc>
        <w:tc>
          <w:tcPr>
            <w:tcW w:w="204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45DE7E00" w14:textId="77777777" w:rsidR="00624A0A" w:rsidRPr="00624A0A" w:rsidRDefault="00624A0A" w:rsidP="00191947">
            <w:pPr>
              <w:spacing w:before="20" w:after="20" w:line="240" w:lineRule="auto"/>
              <w:jc w:val="center"/>
              <w:rPr>
                <w:rFonts w:eastAsia="Times New Roman"/>
                <w:sz w:val="16"/>
                <w:szCs w:val="16"/>
              </w:rPr>
            </w:pPr>
            <w:r w:rsidRPr="00624A0A">
              <w:rPr>
                <w:b/>
                <w:bCs/>
                <w:sz w:val="16"/>
                <w:szCs w:val="16"/>
                <w:lang w:val="fr-FR"/>
              </w:rPr>
              <w:t>Emballages et GRV</w:t>
            </w:r>
          </w:p>
        </w:tc>
      </w:tr>
      <w:tr w:rsidR="00076EDD" w:rsidRPr="00624A0A" w14:paraId="70F01B02" w14:textId="77777777" w:rsidTr="00C8211E">
        <w:trPr>
          <w:trHeight w:val="112"/>
        </w:trPr>
        <w:tc>
          <w:tcPr>
            <w:tcW w:w="793" w:type="dxa"/>
            <w:vMerge/>
            <w:tcBorders>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79B8F645" w14:textId="77777777" w:rsidR="00624A0A" w:rsidRPr="00624A0A" w:rsidRDefault="00624A0A" w:rsidP="00076EDD">
            <w:pPr>
              <w:spacing w:before="20" w:after="20" w:line="240" w:lineRule="auto"/>
              <w:rPr>
                <w:rFonts w:eastAsia="Times New Roman"/>
                <w:sz w:val="16"/>
                <w:szCs w:val="16"/>
                <w:lang w:val="en-US"/>
              </w:rPr>
            </w:pPr>
          </w:p>
        </w:tc>
        <w:tc>
          <w:tcPr>
            <w:tcW w:w="1699" w:type="dxa"/>
            <w:vMerge/>
            <w:tcBorders>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47CCC0A8" w14:textId="77777777" w:rsidR="00624A0A" w:rsidRPr="00624A0A" w:rsidRDefault="00624A0A" w:rsidP="00076EDD">
            <w:pPr>
              <w:spacing w:before="20" w:after="20" w:line="240" w:lineRule="auto"/>
              <w:rPr>
                <w:rFonts w:eastAsia="Times New Roman"/>
                <w:sz w:val="16"/>
                <w:szCs w:val="16"/>
                <w:lang w:val="en-US"/>
              </w:rPr>
            </w:pPr>
          </w:p>
        </w:tc>
        <w:tc>
          <w:tcPr>
            <w:tcW w:w="1021" w:type="dxa"/>
            <w:vMerge/>
            <w:tcBorders>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1507D629" w14:textId="77777777" w:rsidR="00624A0A" w:rsidRPr="00624A0A" w:rsidRDefault="00624A0A" w:rsidP="00076EDD">
            <w:pPr>
              <w:spacing w:before="20" w:after="20" w:line="240" w:lineRule="auto"/>
              <w:rPr>
                <w:rFonts w:eastAsia="Times New Roman"/>
                <w:sz w:val="16"/>
                <w:szCs w:val="16"/>
                <w:lang w:val="en-US"/>
              </w:rPr>
            </w:pPr>
          </w:p>
        </w:tc>
        <w:tc>
          <w:tcPr>
            <w:tcW w:w="1021" w:type="dxa"/>
            <w:vMerge/>
            <w:tcBorders>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68AF904D" w14:textId="77777777" w:rsidR="00624A0A" w:rsidRPr="00624A0A" w:rsidRDefault="00624A0A" w:rsidP="00076EDD">
            <w:pPr>
              <w:spacing w:before="20" w:after="20" w:line="240" w:lineRule="auto"/>
              <w:rPr>
                <w:rFonts w:eastAsia="Times New Roman"/>
                <w:sz w:val="16"/>
                <w:szCs w:val="16"/>
                <w:lang w:val="en-US"/>
              </w:rPr>
            </w:pPr>
          </w:p>
        </w:tc>
        <w:tc>
          <w:tcPr>
            <w:tcW w:w="1021" w:type="dxa"/>
            <w:vMerge/>
            <w:tcBorders>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323FB6A9" w14:textId="77777777" w:rsidR="00624A0A" w:rsidRPr="00624A0A" w:rsidRDefault="00624A0A" w:rsidP="00076EDD">
            <w:pPr>
              <w:spacing w:before="20" w:after="20" w:line="240" w:lineRule="auto"/>
              <w:rPr>
                <w:rFonts w:eastAsia="Times New Roman"/>
                <w:sz w:val="16"/>
                <w:szCs w:val="16"/>
                <w:lang w:val="en-US"/>
              </w:rPr>
            </w:pPr>
          </w:p>
        </w:tc>
        <w:tc>
          <w:tcPr>
            <w:tcW w:w="1021" w:type="dxa"/>
            <w:vMerge/>
            <w:tcBorders>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514F3F52" w14:textId="77777777" w:rsidR="00624A0A" w:rsidRPr="00624A0A" w:rsidRDefault="00624A0A" w:rsidP="00076EDD">
            <w:pPr>
              <w:spacing w:before="20" w:after="20" w:line="240" w:lineRule="auto"/>
              <w:rPr>
                <w:rFonts w:eastAsia="Times New Roman"/>
                <w:sz w:val="16"/>
                <w:szCs w:val="16"/>
                <w:lang w:val="en-US"/>
              </w:rPr>
            </w:pPr>
          </w:p>
        </w:tc>
        <w:tc>
          <w:tcPr>
            <w:tcW w:w="1021" w:type="dxa"/>
            <w:vMerge/>
            <w:tcBorders>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683D0308" w14:textId="77777777" w:rsidR="00624A0A" w:rsidRPr="00624A0A" w:rsidRDefault="00624A0A" w:rsidP="00076EDD">
            <w:pPr>
              <w:spacing w:before="20" w:after="20" w:line="240" w:lineRule="auto"/>
              <w:rPr>
                <w:rFonts w:eastAsia="Times New Roman"/>
                <w:sz w:val="16"/>
                <w:szCs w:val="16"/>
                <w:lang w:val="en-US"/>
              </w:rPr>
            </w:pP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07AA265F" w14:textId="77777777" w:rsidR="00624A0A" w:rsidRPr="00624A0A" w:rsidRDefault="00624A0A" w:rsidP="00191947">
            <w:pPr>
              <w:spacing w:before="20" w:after="20" w:line="240" w:lineRule="auto"/>
              <w:jc w:val="center"/>
              <w:rPr>
                <w:rFonts w:eastAsia="Times New Roman"/>
                <w:color w:val="000000" w:themeColor="text1"/>
                <w:kern w:val="24"/>
                <w:sz w:val="16"/>
                <w:szCs w:val="16"/>
              </w:rPr>
            </w:pPr>
            <w:r w:rsidRPr="00624A0A">
              <w:rPr>
                <w:sz w:val="16"/>
                <w:szCs w:val="16"/>
                <w:lang w:val="fr-FR"/>
              </w:rPr>
              <w:t>Instructions d’emballage</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258EC389" w14:textId="77777777" w:rsidR="00624A0A" w:rsidRPr="00624A0A" w:rsidRDefault="00624A0A" w:rsidP="00191947">
            <w:pPr>
              <w:spacing w:before="20" w:after="20" w:line="240" w:lineRule="auto"/>
              <w:jc w:val="center"/>
              <w:rPr>
                <w:rFonts w:eastAsia="Times New Roman"/>
                <w:sz w:val="16"/>
                <w:szCs w:val="16"/>
              </w:rPr>
            </w:pPr>
            <w:r w:rsidRPr="00624A0A">
              <w:rPr>
                <w:sz w:val="16"/>
                <w:szCs w:val="16"/>
                <w:lang w:val="fr-FR"/>
              </w:rPr>
              <w:t>Dispositions spéciales</w:t>
            </w:r>
          </w:p>
        </w:tc>
      </w:tr>
      <w:tr w:rsidR="00F625B8" w:rsidRPr="00624A0A" w14:paraId="2C87C325" w14:textId="77777777" w:rsidTr="00076EDD">
        <w:trPr>
          <w:trHeight w:val="1398"/>
        </w:trPr>
        <w:tc>
          <w:tcPr>
            <w:tcW w:w="7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46491D6D" w14:textId="77777777" w:rsidR="00624A0A" w:rsidRPr="00624A0A" w:rsidRDefault="00624A0A" w:rsidP="00076EDD">
            <w:pPr>
              <w:spacing w:before="20" w:after="20" w:line="240" w:lineRule="auto"/>
              <w:rPr>
                <w:rFonts w:eastAsia="Times New Roman"/>
                <w:sz w:val="16"/>
                <w:szCs w:val="16"/>
              </w:rPr>
            </w:pPr>
            <w:r w:rsidRPr="00624A0A">
              <w:rPr>
                <w:sz w:val="16"/>
                <w:szCs w:val="16"/>
                <w:lang w:val="fr-FR"/>
              </w:rPr>
              <w:t>XXXX</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7DFAC89E" w14:textId="77777777" w:rsidR="00624A0A" w:rsidRPr="00624A0A" w:rsidRDefault="00624A0A" w:rsidP="00076EDD">
            <w:pPr>
              <w:spacing w:before="20" w:after="20" w:line="240" w:lineRule="auto"/>
              <w:rPr>
                <w:rFonts w:eastAsia="Times New Roman"/>
                <w:sz w:val="16"/>
                <w:szCs w:val="16"/>
                <w:lang w:val="fr-FR"/>
              </w:rPr>
            </w:pPr>
            <w:r w:rsidRPr="00624A0A">
              <w:rPr>
                <w:sz w:val="16"/>
                <w:szCs w:val="16"/>
                <w:lang w:val="fr-FR"/>
              </w:rPr>
              <w:t>ACCUMULATEURS SODIUM-ION A ÉLECTROLYTE ORGANIQUE</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18EF566D"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9</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30D36558" w14:textId="77777777" w:rsidR="00624A0A" w:rsidRPr="00624A0A" w:rsidRDefault="00624A0A" w:rsidP="00076EDD">
            <w:pPr>
              <w:spacing w:before="20" w:after="20" w:line="240" w:lineRule="auto"/>
              <w:jc w:val="center"/>
              <w:rPr>
                <w:rFonts w:eastAsia="Times New Roman"/>
                <w:sz w:val="16"/>
                <w:szCs w:val="16"/>
                <w:lang w:val="en-US"/>
              </w:rPr>
            </w:pP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38E3C154" w14:textId="77777777" w:rsidR="00624A0A" w:rsidRPr="00624A0A" w:rsidRDefault="00624A0A" w:rsidP="00076EDD">
            <w:pPr>
              <w:spacing w:before="20" w:after="20" w:line="240" w:lineRule="auto"/>
              <w:jc w:val="center"/>
              <w:rPr>
                <w:rFonts w:eastAsia="Times New Roman"/>
                <w:sz w:val="16"/>
                <w:szCs w:val="16"/>
                <w:lang w:val="en-US"/>
              </w:rPr>
            </w:pP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147C7D9F"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188</w:t>
            </w:r>
          </w:p>
          <w:p w14:paraId="06EC08E5"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230</w:t>
            </w:r>
          </w:p>
          <w:p w14:paraId="281DDB49"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310</w:t>
            </w:r>
          </w:p>
          <w:p w14:paraId="1C724BCD"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348</w:t>
            </w:r>
          </w:p>
          <w:p w14:paraId="67D2A780"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376</w:t>
            </w:r>
          </w:p>
          <w:p w14:paraId="1770C3E7"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377</w:t>
            </w:r>
          </w:p>
          <w:p w14:paraId="5C1825B2"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384</w:t>
            </w:r>
          </w:p>
          <w:p w14:paraId="256B0105"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XXX</w:t>
            </w:r>
          </w:p>
          <w:p w14:paraId="1512F11D"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XYY</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12B8A647"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0</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50CFA2DF" w14:textId="77777777" w:rsidR="00624A0A" w:rsidRPr="00624A0A" w:rsidRDefault="00624A0A" w:rsidP="00076EDD">
            <w:pPr>
              <w:spacing w:before="20" w:after="20" w:line="240" w:lineRule="auto"/>
              <w:jc w:val="center"/>
              <w:rPr>
                <w:rFonts w:eastAsia="Times New Roman"/>
                <w:sz w:val="16"/>
                <w:szCs w:val="16"/>
                <w:lang w:val="en-US"/>
              </w:rPr>
            </w:pPr>
            <w:r w:rsidRPr="00624A0A">
              <w:rPr>
                <w:sz w:val="16"/>
                <w:szCs w:val="16"/>
                <w:lang w:val="en-US"/>
              </w:rPr>
              <w:t>P903</w:t>
            </w:r>
          </w:p>
          <w:p w14:paraId="48A81DE0" w14:textId="77777777" w:rsidR="00624A0A" w:rsidRPr="00624A0A" w:rsidRDefault="00624A0A" w:rsidP="00076EDD">
            <w:pPr>
              <w:spacing w:before="20" w:after="20" w:line="240" w:lineRule="auto"/>
              <w:jc w:val="center"/>
              <w:rPr>
                <w:rFonts w:eastAsia="Times New Roman"/>
                <w:sz w:val="16"/>
                <w:szCs w:val="16"/>
                <w:lang w:val="en-US"/>
              </w:rPr>
            </w:pPr>
            <w:r w:rsidRPr="00624A0A">
              <w:rPr>
                <w:sz w:val="16"/>
                <w:szCs w:val="16"/>
                <w:lang w:val="en-US"/>
              </w:rPr>
              <w:t>P908</w:t>
            </w:r>
          </w:p>
          <w:p w14:paraId="748F048C" w14:textId="77777777" w:rsidR="00706352" w:rsidRDefault="00624A0A" w:rsidP="00076EDD">
            <w:pPr>
              <w:spacing w:before="20" w:after="20" w:line="240" w:lineRule="auto"/>
              <w:jc w:val="center"/>
              <w:rPr>
                <w:sz w:val="16"/>
                <w:szCs w:val="16"/>
                <w:lang w:val="en-US"/>
              </w:rPr>
            </w:pPr>
            <w:r w:rsidRPr="00624A0A">
              <w:rPr>
                <w:sz w:val="16"/>
                <w:szCs w:val="16"/>
                <w:lang w:val="en-US"/>
              </w:rPr>
              <w:t xml:space="preserve">P909 </w:t>
            </w:r>
          </w:p>
          <w:p w14:paraId="2DAE5776" w14:textId="77777777" w:rsidR="002C7FBF" w:rsidRDefault="00624A0A" w:rsidP="00076EDD">
            <w:pPr>
              <w:spacing w:before="20" w:after="20" w:line="240" w:lineRule="auto"/>
              <w:jc w:val="center"/>
              <w:rPr>
                <w:sz w:val="16"/>
                <w:szCs w:val="16"/>
                <w:lang w:val="en-US"/>
              </w:rPr>
            </w:pPr>
            <w:r w:rsidRPr="00624A0A">
              <w:rPr>
                <w:sz w:val="16"/>
                <w:szCs w:val="16"/>
                <w:lang w:val="en-US"/>
              </w:rPr>
              <w:t>P910</w:t>
            </w:r>
          </w:p>
          <w:p w14:paraId="145E133A" w14:textId="77777777" w:rsidR="002C7FBF" w:rsidRDefault="00624A0A" w:rsidP="00076EDD">
            <w:pPr>
              <w:spacing w:before="20" w:after="20" w:line="240" w:lineRule="auto"/>
              <w:jc w:val="center"/>
              <w:rPr>
                <w:sz w:val="16"/>
                <w:szCs w:val="16"/>
                <w:lang w:val="en-US"/>
              </w:rPr>
            </w:pPr>
            <w:r w:rsidRPr="00624A0A">
              <w:rPr>
                <w:sz w:val="16"/>
                <w:szCs w:val="16"/>
                <w:lang w:val="en-US"/>
              </w:rPr>
              <w:t xml:space="preserve">P911 </w:t>
            </w:r>
          </w:p>
          <w:p w14:paraId="781444E0" w14:textId="77777777" w:rsidR="002C7FBF" w:rsidRDefault="00624A0A" w:rsidP="00076EDD">
            <w:pPr>
              <w:spacing w:before="20" w:after="20" w:line="240" w:lineRule="auto"/>
              <w:jc w:val="center"/>
              <w:rPr>
                <w:sz w:val="16"/>
                <w:szCs w:val="16"/>
                <w:lang w:val="en-US"/>
              </w:rPr>
            </w:pPr>
            <w:r w:rsidRPr="00624A0A">
              <w:rPr>
                <w:sz w:val="16"/>
                <w:szCs w:val="16"/>
                <w:lang w:val="en-US"/>
              </w:rPr>
              <w:t xml:space="preserve">LP903 </w:t>
            </w:r>
          </w:p>
          <w:p w14:paraId="3CA3370B" w14:textId="77777777" w:rsidR="002C7FBF" w:rsidRDefault="00624A0A" w:rsidP="00076EDD">
            <w:pPr>
              <w:spacing w:before="20" w:after="20" w:line="240" w:lineRule="auto"/>
              <w:jc w:val="center"/>
              <w:rPr>
                <w:sz w:val="16"/>
                <w:szCs w:val="16"/>
                <w:lang w:val="en-US"/>
              </w:rPr>
            </w:pPr>
            <w:r w:rsidRPr="00624A0A">
              <w:rPr>
                <w:sz w:val="16"/>
                <w:szCs w:val="16"/>
                <w:lang w:val="en-US"/>
              </w:rPr>
              <w:t xml:space="preserve">LP904 </w:t>
            </w:r>
          </w:p>
          <w:p w14:paraId="5C83699A" w14:textId="77777777" w:rsidR="002C7FBF" w:rsidRDefault="00624A0A" w:rsidP="00076EDD">
            <w:pPr>
              <w:spacing w:before="20" w:after="20" w:line="240" w:lineRule="auto"/>
              <w:jc w:val="center"/>
              <w:rPr>
                <w:sz w:val="16"/>
                <w:szCs w:val="16"/>
                <w:lang w:val="en-US"/>
              </w:rPr>
            </w:pPr>
            <w:r w:rsidRPr="00624A0A">
              <w:rPr>
                <w:sz w:val="16"/>
                <w:szCs w:val="16"/>
                <w:lang w:val="en-US"/>
              </w:rPr>
              <w:t xml:space="preserve">LP905 </w:t>
            </w:r>
          </w:p>
          <w:p w14:paraId="38771329" w14:textId="77777777" w:rsidR="00624A0A" w:rsidRPr="00624A0A" w:rsidRDefault="00624A0A" w:rsidP="00076EDD">
            <w:pPr>
              <w:spacing w:before="20" w:after="20" w:line="240" w:lineRule="auto"/>
              <w:jc w:val="center"/>
              <w:rPr>
                <w:rFonts w:eastAsia="Times New Roman"/>
                <w:sz w:val="16"/>
                <w:szCs w:val="16"/>
                <w:lang w:val="en-US"/>
              </w:rPr>
            </w:pPr>
            <w:r w:rsidRPr="00624A0A">
              <w:rPr>
                <w:sz w:val="16"/>
                <w:szCs w:val="16"/>
                <w:lang w:val="en-US"/>
              </w:rPr>
              <w:t>LP906</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4B26DA0B" w14:textId="77777777" w:rsidR="00624A0A" w:rsidRPr="00624A0A" w:rsidRDefault="00624A0A" w:rsidP="00076EDD">
            <w:pPr>
              <w:spacing w:before="20" w:after="20" w:line="240" w:lineRule="auto"/>
              <w:jc w:val="center"/>
              <w:rPr>
                <w:rFonts w:eastAsia="Times New Roman"/>
                <w:sz w:val="16"/>
                <w:szCs w:val="16"/>
                <w:lang w:val="en-US"/>
              </w:rPr>
            </w:pPr>
          </w:p>
        </w:tc>
      </w:tr>
      <w:tr w:rsidR="00F625B8" w:rsidRPr="00624A0A" w14:paraId="3E4481AA" w14:textId="77777777" w:rsidTr="00076EDD">
        <w:trPr>
          <w:trHeight w:val="2175"/>
        </w:trPr>
        <w:tc>
          <w:tcPr>
            <w:tcW w:w="7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6F56328A" w14:textId="77777777" w:rsidR="00624A0A" w:rsidRPr="00624A0A" w:rsidRDefault="00624A0A" w:rsidP="00076EDD">
            <w:pPr>
              <w:spacing w:before="20" w:after="20" w:line="240" w:lineRule="auto"/>
              <w:rPr>
                <w:rFonts w:eastAsia="Times New Roman"/>
                <w:sz w:val="16"/>
                <w:szCs w:val="16"/>
              </w:rPr>
            </w:pPr>
            <w:r w:rsidRPr="00624A0A">
              <w:rPr>
                <w:sz w:val="16"/>
                <w:szCs w:val="16"/>
                <w:lang w:val="fr-FR"/>
              </w:rPr>
              <w:t>XXXY</w:t>
            </w:r>
          </w:p>
        </w:tc>
        <w:tc>
          <w:tcPr>
            <w:tcW w:w="16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58DDB8A4" w14:textId="77777777" w:rsidR="00624A0A" w:rsidRPr="00624A0A" w:rsidRDefault="00624A0A" w:rsidP="00076EDD">
            <w:pPr>
              <w:spacing w:before="20" w:after="20" w:line="240" w:lineRule="auto"/>
              <w:rPr>
                <w:rFonts w:eastAsia="Times New Roman"/>
                <w:sz w:val="16"/>
                <w:szCs w:val="16"/>
                <w:lang w:val="fr-FR"/>
              </w:rPr>
            </w:pPr>
            <w:r w:rsidRPr="00624A0A">
              <w:rPr>
                <w:sz w:val="16"/>
                <w:szCs w:val="16"/>
                <w:lang w:val="fr-FR"/>
              </w:rPr>
              <w:t>ACCUMULATEURS SODIUM-ION A ÉLECTROLYTE ORGANIQUE CONTENUS DANS UN ÉQUIPEMENT ou ACCUMULATEURS SODIUM-ION A ÉLECTROLYTE ORGANIQUE EMBALLÉS AVEC UN ÉQUIPEMENT</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4D01439E"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9</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448BEEA6" w14:textId="77777777" w:rsidR="00624A0A" w:rsidRPr="00624A0A" w:rsidRDefault="00624A0A" w:rsidP="00076EDD">
            <w:pPr>
              <w:spacing w:before="20" w:after="20" w:line="240" w:lineRule="auto"/>
              <w:jc w:val="center"/>
              <w:rPr>
                <w:rFonts w:eastAsia="Times New Roman"/>
                <w:sz w:val="16"/>
                <w:szCs w:val="16"/>
                <w:lang w:val="en-US"/>
              </w:rPr>
            </w:pP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474F1F82" w14:textId="77777777" w:rsidR="00624A0A" w:rsidRPr="00624A0A" w:rsidRDefault="00624A0A" w:rsidP="00076EDD">
            <w:pPr>
              <w:spacing w:before="20" w:after="20" w:line="240" w:lineRule="auto"/>
              <w:jc w:val="center"/>
              <w:rPr>
                <w:rFonts w:eastAsia="Times New Roman"/>
                <w:sz w:val="16"/>
                <w:szCs w:val="16"/>
                <w:lang w:val="en-US"/>
              </w:rPr>
            </w:pP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4178A9D3"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188</w:t>
            </w:r>
          </w:p>
          <w:p w14:paraId="4D17D732"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230</w:t>
            </w:r>
          </w:p>
          <w:p w14:paraId="26A7874F"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310</w:t>
            </w:r>
          </w:p>
          <w:p w14:paraId="03FEBBFE"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348</w:t>
            </w:r>
          </w:p>
          <w:p w14:paraId="5E7EAE07"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360</w:t>
            </w:r>
          </w:p>
          <w:p w14:paraId="3CE72992"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376</w:t>
            </w:r>
          </w:p>
          <w:p w14:paraId="0B329684"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377</w:t>
            </w:r>
          </w:p>
          <w:p w14:paraId="2EC4FC94"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384</w:t>
            </w:r>
          </w:p>
          <w:p w14:paraId="561A7D33"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XXX</w:t>
            </w:r>
          </w:p>
          <w:p w14:paraId="5141F9A6"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XYY</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6B133343" w14:textId="77777777" w:rsidR="00624A0A" w:rsidRPr="00624A0A" w:rsidRDefault="00624A0A" w:rsidP="00076EDD">
            <w:pPr>
              <w:spacing w:before="20" w:after="20" w:line="240" w:lineRule="auto"/>
              <w:jc w:val="center"/>
              <w:rPr>
                <w:rFonts w:eastAsia="Times New Roman"/>
                <w:sz w:val="16"/>
                <w:szCs w:val="16"/>
              </w:rPr>
            </w:pPr>
            <w:r w:rsidRPr="00624A0A">
              <w:rPr>
                <w:sz w:val="16"/>
                <w:szCs w:val="16"/>
                <w:lang w:val="fr-FR"/>
              </w:rPr>
              <w:t>0</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5AA28900" w14:textId="77777777" w:rsidR="00624A0A" w:rsidRPr="00624A0A" w:rsidRDefault="00624A0A" w:rsidP="00076EDD">
            <w:pPr>
              <w:spacing w:before="20" w:after="20" w:line="240" w:lineRule="auto"/>
              <w:jc w:val="center"/>
              <w:rPr>
                <w:rFonts w:eastAsia="Times New Roman"/>
                <w:sz w:val="16"/>
                <w:szCs w:val="16"/>
                <w:lang w:val="en-US"/>
              </w:rPr>
            </w:pPr>
            <w:r w:rsidRPr="00624A0A">
              <w:rPr>
                <w:sz w:val="16"/>
                <w:szCs w:val="16"/>
                <w:lang w:val="en-US"/>
              </w:rPr>
              <w:t>P903</w:t>
            </w:r>
          </w:p>
          <w:p w14:paraId="286EA1FD" w14:textId="77777777" w:rsidR="00624A0A" w:rsidRPr="00624A0A" w:rsidRDefault="00624A0A" w:rsidP="00076EDD">
            <w:pPr>
              <w:spacing w:before="20" w:after="20" w:line="240" w:lineRule="auto"/>
              <w:jc w:val="center"/>
              <w:rPr>
                <w:rFonts w:eastAsia="Times New Roman"/>
                <w:sz w:val="16"/>
                <w:szCs w:val="16"/>
                <w:lang w:val="en-US"/>
              </w:rPr>
            </w:pPr>
            <w:r w:rsidRPr="00624A0A">
              <w:rPr>
                <w:sz w:val="16"/>
                <w:szCs w:val="16"/>
                <w:lang w:val="en-US"/>
              </w:rPr>
              <w:t>P908</w:t>
            </w:r>
          </w:p>
          <w:p w14:paraId="37492A59" w14:textId="77777777" w:rsidR="002C7FBF" w:rsidRDefault="00624A0A" w:rsidP="00076EDD">
            <w:pPr>
              <w:spacing w:before="20" w:after="20" w:line="240" w:lineRule="auto"/>
              <w:jc w:val="center"/>
              <w:rPr>
                <w:sz w:val="16"/>
                <w:szCs w:val="16"/>
                <w:lang w:val="en-US"/>
              </w:rPr>
            </w:pPr>
            <w:r w:rsidRPr="00624A0A">
              <w:rPr>
                <w:sz w:val="16"/>
                <w:szCs w:val="16"/>
                <w:lang w:val="en-US"/>
              </w:rPr>
              <w:t xml:space="preserve">P909 </w:t>
            </w:r>
          </w:p>
          <w:p w14:paraId="0CEA5E18" w14:textId="77777777" w:rsidR="002C7FBF" w:rsidRDefault="00624A0A" w:rsidP="00076EDD">
            <w:pPr>
              <w:spacing w:before="20" w:after="20" w:line="240" w:lineRule="auto"/>
              <w:jc w:val="center"/>
              <w:rPr>
                <w:sz w:val="16"/>
                <w:szCs w:val="16"/>
                <w:lang w:val="en-US"/>
              </w:rPr>
            </w:pPr>
            <w:r w:rsidRPr="00624A0A">
              <w:rPr>
                <w:sz w:val="16"/>
                <w:szCs w:val="16"/>
                <w:lang w:val="en-US"/>
              </w:rPr>
              <w:t xml:space="preserve">P910 </w:t>
            </w:r>
          </w:p>
          <w:p w14:paraId="16287652" w14:textId="77777777" w:rsidR="002C7FBF" w:rsidRDefault="00624A0A" w:rsidP="00076EDD">
            <w:pPr>
              <w:spacing w:before="20" w:after="20" w:line="240" w:lineRule="auto"/>
              <w:jc w:val="center"/>
              <w:rPr>
                <w:sz w:val="16"/>
                <w:szCs w:val="16"/>
                <w:lang w:val="en-US"/>
              </w:rPr>
            </w:pPr>
            <w:r w:rsidRPr="00624A0A">
              <w:rPr>
                <w:sz w:val="16"/>
                <w:szCs w:val="16"/>
                <w:lang w:val="en-US"/>
              </w:rPr>
              <w:t xml:space="preserve">P911 </w:t>
            </w:r>
          </w:p>
          <w:p w14:paraId="294FD2BA" w14:textId="77777777" w:rsidR="002C7FBF" w:rsidRDefault="00624A0A" w:rsidP="00076EDD">
            <w:pPr>
              <w:spacing w:before="20" w:after="20" w:line="240" w:lineRule="auto"/>
              <w:jc w:val="center"/>
              <w:rPr>
                <w:sz w:val="16"/>
                <w:szCs w:val="16"/>
                <w:lang w:val="en-US"/>
              </w:rPr>
            </w:pPr>
            <w:r w:rsidRPr="00624A0A">
              <w:rPr>
                <w:sz w:val="16"/>
                <w:szCs w:val="16"/>
                <w:lang w:val="en-US"/>
              </w:rPr>
              <w:t xml:space="preserve">LP903 </w:t>
            </w:r>
          </w:p>
          <w:p w14:paraId="7653E01D" w14:textId="77777777" w:rsidR="002C7FBF" w:rsidRDefault="00624A0A" w:rsidP="00076EDD">
            <w:pPr>
              <w:spacing w:before="20" w:after="20" w:line="240" w:lineRule="auto"/>
              <w:jc w:val="center"/>
              <w:rPr>
                <w:sz w:val="16"/>
                <w:szCs w:val="16"/>
                <w:lang w:val="en-US"/>
              </w:rPr>
            </w:pPr>
            <w:r w:rsidRPr="00624A0A">
              <w:rPr>
                <w:sz w:val="16"/>
                <w:szCs w:val="16"/>
                <w:lang w:val="en-US"/>
              </w:rPr>
              <w:t xml:space="preserve">LP904 </w:t>
            </w:r>
          </w:p>
          <w:p w14:paraId="0AC9C1BC" w14:textId="77777777" w:rsidR="002C7FBF" w:rsidRDefault="00624A0A" w:rsidP="00076EDD">
            <w:pPr>
              <w:spacing w:before="20" w:after="20" w:line="240" w:lineRule="auto"/>
              <w:jc w:val="center"/>
              <w:rPr>
                <w:sz w:val="16"/>
                <w:szCs w:val="16"/>
                <w:lang w:val="en-US"/>
              </w:rPr>
            </w:pPr>
            <w:r w:rsidRPr="00624A0A">
              <w:rPr>
                <w:sz w:val="16"/>
                <w:szCs w:val="16"/>
                <w:lang w:val="en-US"/>
              </w:rPr>
              <w:t xml:space="preserve">LP905 </w:t>
            </w:r>
          </w:p>
          <w:p w14:paraId="7919ECE2" w14:textId="77777777" w:rsidR="00624A0A" w:rsidRPr="00624A0A" w:rsidRDefault="00624A0A" w:rsidP="00076EDD">
            <w:pPr>
              <w:spacing w:before="20" w:after="20" w:line="240" w:lineRule="auto"/>
              <w:jc w:val="center"/>
              <w:rPr>
                <w:rFonts w:eastAsia="Times New Roman"/>
                <w:sz w:val="16"/>
                <w:szCs w:val="16"/>
                <w:lang w:val="en-US"/>
              </w:rPr>
            </w:pPr>
            <w:r w:rsidRPr="00624A0A">
              <w:rPr>
                <w:sz w:val="16"/>
                <w:szCs w:val="16"/>
                <w:lang w:val="en-US"/>
              </w:rPr>
              <w:t>LP906</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72A1A504" w14:textId="77777777" w:rsidR="00624A0A" w:rsidRPr="00624A0A" w:rsidRDefault="00624A0A" w:rsidP="00076EDD">
            <w:pPr>
              <w:spacing w:before="20" w:after="20" w:line="240" w:lineRule="auto"/>
              <w:jc w:val="center"/>
              <w:rPr>
                <w:rFonts w:eastAsia="Times New Roman"/>
                <w:sz w:val="16"/>
                <w:szCs w:val="16"/>
                <w:lang w:val="en-US"/>
              </w:rPr>
            </w:pPr>
          </w:p>
        </w:tc>
      </w:tr>
    </w:tbl>
    <w:p w14:paraId="652F304C" w14:textId="77777777" w:rsidR="00624A0A" w:rsidRPr="00624A0A" w:rsidRDefault="00624A0A" w:rsidP="00EB2159">
      <w:pPr>
        <w:pStyle w:val="SingleTxtG"/>
        <w:spacing w:before="240"/>
        <w:rPr>
          <w:lang w:val="fr-FR"/>
        </w:rPr>
      </w:pPr>
      <w:r w:rsidRPr="00624A0A">
        <w:rPr>
          <w:lang w:val="fr-FR"/>
        </w:rPr>
        <w:t>17.</w:t>
      </w:r>
      <w:r w:rsidRPr="00624A0A">
        <w:rPr>
          <w:lang w:val="fr-FR"/>
        </w:rPr>
        <w:tab/>
        <w:t>Il est prévu de reprendre les dispositions spéciales et les instructions d’emballage qui s’appliquent aux batteries lithium-ion, en remplaçant l’expression « lithium-ion » par « sodium-ion ». Cela serait fait après que le Comité aurait approuvé le principe.</w:t>
      </w:r>
    </w:p>
    <w:p w14:paraId="5E5CAFC5" w14:textId="77777777" w:rsidR="00624A0A" w:rsidRPr="00624A0A" w:rsidRDefault="00765B59" w:rsidP="00765B59">
      <w:pPr>
        <w:pStyle w:val="H1G"/>
        <w:rPr>
          <w:lang w:val="fr-FR"/>
        </w:rPr>
      </w:pPr>
      <w:r>
        <w:rPr>
          <w:lang w:val="fr-FR"/>
        </w:rPr>
        <w:tab/>
      </w:r>
      <w:r>
        <w:rPr>
          <w:lang w:val="fr-FR"/>
        </w:rPr>
        <w:tab/>
      </w:r>
      <w:r w:rsidR="00624A0A" w:rsidRPr="00624A0A">
        <w:rPr>
          <w:lang w:val="fr-FR"/>
        </w:rPr>
        <w:t>Proposition 3</w:t>
      </w:r>
    </w:p>
    <w:p w14:paraId="24D00271" w14:textId="77777777" w:rsidR="00624A0A" w:rsidRPr="00624A0A" w:rsidRDefault="00624A0A" w:rsidP="00765B59">
      <w:pPr>
        <w:pStyle w:val="SingleTxtG"/>
        <w:rPr>
          <w:lang w:val="fr-FR"/>
        </w:rPr>
      </w:pPr>
      <w:r w:rsidRPr="00624A0A">
        <w:rPr>
          <w:lang w:val="fr-FR"/>
        </w:rPr>
        <w:t>18.</w:t>
      </w:r>
      <w:r w:rsidRPr="00624A0A">
        <w:rPr>
          <w:lang w:val="fr-FR"/>
        </w:rPr>
        <w:tab/>
        <w:t>Au chapitre 2.9, ajouter la nouvelle section 2.9.5, comme suit</w:t>
      </w:r>
      <w:r w:rsidR="00765B59">
        <w:rPr>
          <w:lang w:val="fr-FR"/>
        </w:rPr>
        <w:t> </w:t>
      </w:r>
      <w:r w:rsidRPr="00624A0A">
        <w:rPr>
          <w:lang w:val="fr-FR"/>
        </w:rPr>
        <w:t>:</w:t>
      </w:r>
    </w:p>
    <w:p w14:paraId="5AFA75C7" w14:textId="77777777" w:rsidR="00624A0A" w:rsidRPr="00624A0A" w:rsidRDefault="00624A0A" w:rsidP="00AD32C7">
      <w:pPr>
        <w:pStyle w:val="SingleTxtG"/>
        <w:ind w:left="1701"/>
        <w:rPr>
          <w:lang w:val="fr-FR"/>
        </w:rPr>
      </w:pPr>
      <w:r w:rsidRPr="00AD32C7">
        <w:rPr>
          <w:spacing w:val="-6"/>
          <w:lang w:val="fr-FR"/>
        </w:rPr>
        <w:t>« 2.9.5</w:t>
      </w:r>
      <w:r w:rsidR="00AD32C7">
        <w:rPr>
          <w:lang w:val="fr-FR"/>
        </w:rPr>
        <w:tab/>
      </w:r>
      <w:r w:rsidRPr="00624A0A">
        <w:rPr>
          <w:lang w:val="fr-FR"/>
        </w:rPr>
        <w:t>Les piles et batteries, les piles et batteries contenues dans un équipement, ou les piles et batteries emballées avec un équipement, qui constituent un système électrochimique rechargeable dans lequel les électrodes positive et négative sont des produits d’intercalation ou d’insertion (le sodium intercalé est présent sous forme ionique ou quasi-atomique dans le réseau de la matière de l’électrode) formés sans sodium métallique (ou alliage de sodium) dans aucune des électrodes et utilisant un composé organique non aqueux comme électrolyte, doivent être affectées aux Nos</w:t>
      </w:r>
      <w:r w:rsidR="00191947">
        <w:rPr>
          <w:lang w:val="fr-FR"/>
        </w:rPr>
        <w:t> </w:t>
      </w:r>
      <w:r w:rsidRPr="00624A0A">
        <w:rPr>
          <w:lang w:val="fr-FR"/>
        </w:rPr>
        <w:t>ONU XXXX ou XXXY, selon qu’il convient.</w:t>
      </w:r>
    </w:p>
    <w:p w14:paraId="55852D22" w14:textId="77777777" w:rsidR="00624A0A" w:rsidRPr="00624A0A" w:rsidRDefault="00624A0A" w:rsidP="002C7FBF">
      <w:pPr>
        <w:pStyle w:val="SingleTxtG"/>
        <w:keepNext/>
        <w:keepLines/>
        <w:ind w:left="1701"/>
        <w:rPr>
          <w:lang w:val="fr-FR"/>
        </w:rPr>
      </w:pPr>
      <w:r w:rsidRPr="00624A0A">
        <w:rPr>
          <w:lang w:val="fr-FR"/>
        </w:rPr>
        <w:lastRenderedPageBreak/>
        <w:t>Elles peuvent être transportées au titre de ces rubriques si elles satisfont aux dispositions ci-après</w:t>
      </w:r>
      <w:r w:rsidR="002C7FBF">
        <w:rPr>
          <w:lang w:val="fr-FR"/>
        </w:rPr>
        <w:t> </w:t>
      </w:r>
      <w:r w:rsidRPr="00624A0A">
        <w:rPr>
          <w:lang w:val="fr-FR"/>
        </w:rPr>
        <w:t>:</w:t>
      </w:r>
    </w:p>
    <w:p w14:paraId="71214305" w14:textId="77777777" w:rsidR="00AD32C7" w:rsidRDefault="00624A0A" w:rsidP="002C7FBF">
      <w:pPr>
        <w:pStyle w:val="SingleTxtG"/>
        <w:keepNext/>
        <w:keepLines/>
        <w:ind w:left="1701"/>
        <w:rPr>
          <w:lang w:val="fr-FR"/>
        </w:rPr>
      </w:pPr>
      <w:r w:rsidRPr="00624A0A">
        <w:rPr>
          <w:lang w:val="fr-FR"/>
        </w:rPr>
        <w:t>a)</w:t>
      </w:r>
      <w:r w:rsidRPr="00624A0A">
        <w:rPr>
          <w:lang w:val="fr-FR"/>
        </w:rPr>
        <w:tab/>
        <w:t>Il a été démontré que le type de chaque pile ou batterie satisfait aux prescriptions des épreuves de la sous-section 38.3 de la troisième partie du Manuel d’épreuves et de critères. Les épreuves applicables sont énumérées dans le tableau ci-dessous</w:t>
      </w:r>
      <w:r w:rsidR="00AD32C7">
        <w:rPr>
          <w:lang w:val="fr-FR"/>
        </w:rPr>
        <w:t> </w:t>
      </w:r>
      <w:r w:rsidRPr="00624A0A">
        <w:rPr>
          <w:lang w:val="fr-FR"/>
        </w:rPr>
        <w:t>:</w:t>
      </w:r>
    </w:p>
    <w:tbl>
      <w:tblPr>
        <w:tblW w:w="9639" w:type="dxa"/>
        <w:tblLayout w:type="fixed"/>
        <w:tblCellMar>
          <w:left w:w="0" w:type="dxa"/>
          <w:right w:w="0" w:type="dxa"/>
        </w:tblCellMar>
        <w:tblLook w:val="0420" w:firstRow="1" w:lastRow="0" w:firstColumn="0" w:lastColumn="0" w:noHBand="0" w:noVBand="1"/>
      </w:tblPr>
      <w:tblGrid>
        <w:gridCol w:w="1697"/>
        <w:gridCol w:w="2545"/>
        <w:gridCol w:w="572"/>
        <w:gridCol w:w="569"/>
        <w:gridCol w:w="571"/>
        <w:gridCol w:w="566"/>
        <w:gridCol w:w="571"/>
        <w:gridCol w:w="566"/>
        <w:gridCol w:w="566"/>
        <w:gridCol w:w="566"/>
        <w:gridCol w:w="850"/>
      </w:tblGrid>
      <w:tr w:rsidR="00F625B8" w:rsidRPr="00624A0A" w14:paraId="3F11DFA2" w14:textId="77777777" w:rsidTr="00191947">
        <w:trPr>
          <w:trHeight w:val="290"/>
        </w:trPr>
        <w:tc>
          <w:tcPr>
            <w:tcW w:w="424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24151692"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580FAD57"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T1</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6C79B553"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T2</w:t>
            </w: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142E1F60"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T3</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487660D8"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T4</w:t>
            </w: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006E1670"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T5</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1A5F839B"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T6</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5D489EA2"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T7</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45FAA393"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3B622428"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Total</w:t>
            </w:r>
          </w:p>
        </w:tc>
      </w:tr>
      <w:tr w:rsidR="00F625B8" w:rsidRPr="00624A0A" w14:paraId="53A0612C" w14:textId="77777777" w:rsidTr="00191947">
        <w:trPr>
          <w:trHeight w:val="179"/>
        </w:trPr>
        <w:tc>
          <w:tcPr>
            <w:tcW w:w="1697" w:type="dxa"/>
            <w:vMerge w:val="restart"/>
            <w:tcBorders>
              <w:top w:val="single" w:sz="8" w:space="0" w:color="000000"/>
              <w:left w:val="single" w:sz="8" w:space="0" w:color="000000"/>
              <w:right w:val="single" w:sz="8" w:space="0" w:color="000000"/>
            </w:tcBorders>
            <w:shd w:val="clear" w:color="auto" w:fill="FFFFFF"/>
            <w:tcMar>
              <w:top w:w="72" w:type="dxa"/>
              <w:left w:w="57" w:type="dxa"/>
              <w:bottom w:w="72" w:type="dxa"/>
              <w:right w:w="57" w:type="dxa"/>
            </w:tcMar>
            <w:hideMark/>
          </w:tcPr>
          <w:p w14:paraId="2BBD202C"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r w:rsidRPr="00624A0A">
              <w:rPr>
                <w:sz w:val="16"/>
                <w:szCs w:val="16"/>
                <w:lang w:val="fr-FR"/>
              </w:rPr>
              <w:t>Piles non transportées séparément d’une batterie</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1187F50E"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r w:rsidRPr="00624A0A">
              <w:rPr>
                <w:sz w:val="16"/>
                <w:szCs w:val="16"/>
                <w:lang w:val="fr-FR"/>
              </w:rPr>
              <w:t>Premier cycle, état chargé à 50 %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27D0CEFD"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10A17C88"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1E331EDC"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2A33B344"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1C710D46"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[3]</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3816FA8A"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64965E3E"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77AA4FC1"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850" w:type="dxa"/>
            <w:vMerge w:val="restart"/>
            <w:tcBorders>
              <w:top w:val="single" w:sz="8" w:space="0" w:color="000000"/>
              <w:left w:val="single" w:sz="8" w:space="0" w:color="000000"/>
              <w:right w:val="single" w:sz="8" w:space="0" w:color="000000"/>
            </w:tcBorders>
            <w:shd w:val="clear" w:color="auto" w:fill="FFFFFF"/>
            <w:tcMar>
              <w:top w:w="72" w:type="dxa"/>
              <w:left w:w="57" w:type="dxa"/>
              <w:bottom w:w="72" w:type="dxa"/>
              <w:right w:w="57" w:type="dxa"/>
            </w:tcMar>
            <w:hideMark/>
          </w:tcPr>
          <w:p w14:paraId="5BC29A25"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[6]</w:t>
            </w:r>
          </w:p>
        </w:tc>
      </w:tr>
      <w:tr w:rsidR="00F625B8" w:rsidRPr="00624A0A" w14:paraId="75758E40" w14:textId="77777777" w:rsidTr="00191947">
        <w:trPr>
          <w:trHeight w:val="20"/>
        </w:trPr>
        <w:tc>
          <w:tcPr>
            <w:tcW w:w="1697" w:type="dxa"/>
            <w:vMerge/>
            <w:tcBorders>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4ABCA5C2"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422FD5F9"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r w:rsidRPr="00624A0A">
              <w:rPr>
                <w:sz w:val="16"/>
                <w:szCs w:val="16"/>
                <w:lang w:val="fr-FR"/>
              </w:rPr>
              <w:t>25</w:t>
            </w:r>
            <w:r w:rsidRPr="00624A0A">
              <w:rPr>
                <w:sz w:val="16"/>
                <w:szCs w:val="16"/>
                <w:vertAlign w:val="superscript"/>
                <w:lang w:val="fr-FR"/>
              </w:rPr>
              <w:t>e</w:t>
            </w:r>
            <w:r w:rsidRPr="00624A0A">
              <w:rPr>
                <w:sz w:val="16"/>
                <w:szCs w:val="16"/>
                <w:lang w:val="fr-FR"/>
              </w:rPr>
              <w:t xml:space="preserve"> cycle, état chargé à 50 %</w:t>
            </w: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40308AC6"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21489530"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7890224F"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4C8122AA"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111BB83D"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[3]</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6F77C5E3"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60EF8B7A"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60C6A474"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850" w:type="dxa"/>
            <w:vMerge/>
            <w:tcBorders>
              <w:left w:val="single" w:sz="8" w:space="0" w:color="000000"/>
              <w:bottom w:val="single" w:sz="8" w:space="0" w:color="000000"/>
              <w:right w:val="single" w:sz="8" w:space="0" w:color="000000"/>
            </w:tcBorders>
            <w:shd w:val="clear" w:color="auto" w:fill="FFFFFF"/>
            <w:tcMar>
              <w:left w:w="57" w:type="dxa"/>
              <w:right w:w="57" w:type="dxa"/>
            </w:tcMar>
            <w:vAlign w:val="center"/>
            <w:hideMark/>
          </w:tcPr>
          <w:p w14:paraId="3F9FEDE0"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r>
      <w:tr w:rsidR="00F625B8" w:rsidRPr="00624A0A" w14:paraId="55409BEC" w14:textId="77777777" w:rsidTr="00191947">
        <w:trPr>
          <w:trHeight w:val="63"/>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39DF3253"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Piles</w:t>
            </w:r>
          </w:p>
        </w:tc>
        <w:tc>
          <w:tcPr>
            <w:tcW w:w="25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429A6468"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r w:rsidRPr="00624A0A">
              <w:rPr>
                <w:sz w:val="16"/>
                <w:szCs w:val="16"/>
                <w:lang w:val="fr-FR"/>
              </w:rPr>
              <w:t>Premier cycle, état totalement chargé</w:t>
            </w:r>
          </w:p>
        </w:tc>
        <w:tc>
          <w:tcPr>
            <w:tcW w:w="2849" w:type="dxa"/>
            <w:gridSpan w:val="5"/>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380AC3D9" w14:textId="77777777" w:rsidR="00624A0A" w:rsidRPr="00624A0A" w:rsidRDefault="00624A0A" w:rsidP="00F625B8">
            <w:pPr>
              <w:spacing w:before="20" w:after="20" w:line="240" w:lineRule="auto"/>
              <w:jc w:val="center"/>
              <w:rPr>
                <w:rFonts w:asciiTheme="majorBidi" w:eastAsia="Times New Roman" w:hAnsiTheme="majorBidi" w:cstheme="majorBidi"/>
                <w:sz w:val="16"/>
                <w:szCs w:val="16"/>
              </w:rPr>
            </w:pPr>
            <w:r w:rsidRPr="00624A0A">
              <w:rPr>
                <w:sz w:val="16"/>
                <w:szCs w:val="16"/>
                <w:lang w:val="fr-FR"/>
              </w:rPr>
              <w:t>[3]</w:t>
            </w:r>
          </w:p>
        </w:tc>
        <w:tc>
          <w:tcPr>
            <w:tcW w:w="566"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10081C0D"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[3]</w:t>
            </w:r>
          </w:p>
        </w:tc>
        <w:tc>
          <w:tcPr>
            <w:tcW w:w="566"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2228C563"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566"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11293651"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7515829C"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[12]</w:t>
            </w:r>
          </w:p>
        </w:tc>
      </w:tr>
      <w:tr w:rsidR="00F625B8" w:rsidRPr="00624A0A" w14:paraId="2CFE40C3" w14:textId="77777777" w:rsidTr="00191947">
        <w:trPr>
          <w:trHeight w:val="68"/>
        </w:trPr>
        <w:tc>
          <w:tcPr>
            <w:tcW w:w="1697"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hideMark/>
          </w:tcPr>
          <w:p w14:paraId="2AAA9350"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25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6CE23116"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r w:rsidRPr="00624A0A">
              <w:rPr>
                <w:sz w:val="16"/>
                <w:szCs w:val="16"/>
                <w:lang w:val="fr-FR"/>
              </w:rPr>
              <w:t>25</w:t>
            </w:r>
            <w:r w:rsidRPr="00624A0A">
              <w:rPr>
                <w:sz w:val="16"/>
                <w:szCs w:val="16"/>
                <w:vertAlign w:val="superscript"/>
                <w:lang w:val="fr-FR"/>
              </w:rPr>
              <w:t>e</w:t>
            </w:r>
            <w:r w:rsidRPr="00624A0A">
              <w:rPr>
                <w:sz w:val="16"/>
                <w:szCs w:val="16"/>
                <w:lang w:val="fr-FR"/>
              </w:rPr>
              <w:t xml:space="preserve"> cycle, état totalement chargé</w:t>
            </w:r>
          </w:p>
        </w:tc>
        <w:tc>
          <w:tcPr>
            <w:tcW w:w="2849" w:type="dxa"/>
            <w:gridSpan w:val="5"/>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3C820EB4" w14:textId="77777777" w:rsidR="00624A0A" w:rsidRPr="00624A0A" w:rsidRDefault="00624A0A" w:rsidP="00F625B8">
            <w:pPr>
              <w:spacing w:before="20" w:after="20" w:line="240" w:lineRule="auto"/>
              <w:jc w:val="center"/>
              <w:rPr>
                <w:rFonts w:asciiTheme="majorBidi" w:eastAsia="Times New Roman" w:hAnsiTheme="majorBidi" w:cstheme="majorBidi"/>
                <w:sz w:val="16"/>
                <w:szCs w:val="16"/>
              </w:rPr>
            </w:pPr>
            <w:r w:rsidRPr="00624A0A">
              <w:rPr>
                <w:sz w:val="16"/>
                <w:szCs w:val="16"/>
                <w:lang w:val="fr-FR"/>
              </w:rPr>
              <w:t>[3]</w:t>
            </w:r>
          </w:p>
        </w:tc>
        <w:tc>
          <w:tcPr>
            <w:tcW w:w="566"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647AF704"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[3]</w:t>
            </w:r>
          </w:p>
        </w:tc>
        <w:tc>
          <w:tcPr>
            <w:tcW w:w="566"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5C63364F"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566"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65275714"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850"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hideMark/>
          </w:tcPr>
          <w:p w14:paraId="31448710"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r>
      <w:tr w:rsidR="00F625B8" w:rsidRPr="00624A0A" w14:paraId="661D2223" w14:textId="77777777" w:rsidTr="00191947">
        <w:trPr>
          <w:trHeight w:val="230"/>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31074B69"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r w:rsidRPr="00624A0A">
              <w:rPr>
                <w:sz w:val="16"/>
                <w:szCs w:val="16"/>
                <w:lang w:val="fr-FR"/>
              </w:rPr>
              <w:t>Batteries à une seule pile</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7FE4DB6C"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r w:rsidRPr="00624A0A">
              <w:rPr>
                <w:sz w:val="16"/>
                <w:szCs w:val="16"/>
                <w:lang w:val="fr-FR"/>
              </w:rPr>
              <w:t>Premier cycle, état totalement chargé</w:t>
            </w:r>
          </w:p>
        </w:tc>
        <w:tc>
          <w:tcPr>
            <w:tcW w:w="2849" w:type="dxa"/>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09C2CE1A" w14:textId="77777777" w:rsidR="00624A0A" w:rsidRPr="00624A0A" w:rsidRDefault="00624A0A" w:rsidP="00F625B8">
            <w:pPr>
              <w:spacing w:before="20" w:after="20" w:line="240" w:lineRule="auto"/>
              <w:jc w:val="center"/>
              <w:rPr>
                <w:rFonts w:asciiTheme="majorBidi" w:eastAsia="Times New Roman" w:hAnsiTheme="majorBidi" w:cstheme="majorBidi"/>
                <w:sz w:val="16"/>
                <w:szCs w:val="16"/>
              </w:rPr>
            </w:pPr>
            <w:r w:rsidRPr="00624A0A">
              <w:rPr>
                <w:sz w:val="16"/>
                <w:szCs w:val="16"/>
                <w:lang w:val="fr-FR"/>
              </w:rPr>
              <w:t>[3]</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11696555"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[3]</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136135F7"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[3]</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135FEE2B"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6240AC41"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[15]</w:t>
            </w:r>
          </w:p>
        </w:tc>
      </w:tr>
      <w:tr w:rsidR="00F625B8" w:rsidRPr="00624A0A" w14:paraId="2531D0C1" w14:textId="77777777" w:rsidTr="00191947">
        <w:trPr>
          <w:trHeight w:val="108"/>
        </w:trPr>
        <w:tc>
          <w:tcPr>
            <w:tcW w:w="1697"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hideMark/>
          </w:tcPr>
          <w:p w14:paraId="06B38178"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2F7A8986"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r w:rsidRPr="00624A0A">
              <w:rPr>
                <w:sz w:val="16"/>
                <w:szCs w:val="16"/>
                <w:lang w:val="fr-FR"/>
              </w:rPr>
              <w:t>25</w:t>
            </w:r>
            <w:r w:rsidRPr="00624A0A">
              <w:rPr>
                <w:sz w:val="16"/>
                <w:szCs w:val="16"/>
                <w:vertAlign w:val="superscript"/>
                <w:lang w:val="fr-FR"/>
              </w:rPr>
              <w:t>e</w:t>
            </w:r>
            <w:r w:rsidRPr="00624A0A">
              <w:rPr>
                <w:sz w:val="16"/>
                <w:szCs w:val="16"/>
                <w:lang w:val="fr-FR"/>
              </w:rPr>
              <w:t xml:space="preserve"> cycle, état totalement chargé</w:t>
            </w:r>
          </w:p>
        </w:tc>
        <w:tc>
          <w:tcPr>
            <w:tcW w:w="2849" w:type="dxa"/>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0AFAA49D" w14:textId="77777777" w:rsidR="00624A0A" w:rsidRPr="00624A0A" w:rsidRDefault="00624A0A" w:rsidP="00F625B8">
            <w:pPr>
              <w:spacing w:before="20" w:after="20" w:line="240" w:lineRule="auto"/>
              <w:jc w:val="center"/>
              <w:rPr>
                <w:rFonts w:asciiTheme="majorBidi" w:eastAsia="Times New Roman" w:hAnsiTheme="majorBidi" w:cstheme="majorBidi"/>
                <w:sz w:val="16"/>
                <w:szCs w:val="16"/>
              </w:rPr>
            </w:pPr>
            <w:r w:rsidRPr="00624A0A">
              <w:rPr>
                <w:sz w:val="16"/>
                <w:szCs w:val="16"/>
                <w:lang w:val="fr-FR"/>
              </w:rPr>
              <w:t>[3]</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4C89C0B9"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[3]</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5BB3610E"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0B9F4CDA"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850"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hideMark/>
          </w:tcPr>
          <w:p w14:paraId="7953F6D9"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r>
      <w:tr w:rsidR="00F625B8" w:rsidRPr="00624A0A" w14:paraId="768DF207" w14:textId="77777777" w:rsidTr="00191947">
        <w:trPr>
          <w:trHeight w:val="256"/>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03224193"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Petites batteries</w:t>
            </w:r>
          </w:p>
        </w:tc>
        <w:tc>
          <w:tcPr>
            <w:tcW w:w="25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543A667D"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r w:rsidRPr="00624A0A">
              <w:rPr>
                <w:sz w:val="16"/>
                <w:szCs w:val="16"/>
                <w:lang w:val="fr-FR"/>
              </w:rPr>
              <w:t>Premier cycle, état totalement chargé</w:t>
            </w:r>
          </w:p>
        </w:tc>
        <w:tc>
          <w:tcPr>
            <w:tcW w:w="2849" w:type="dxa"/>
            <w:gridSpan w:val="5"/>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5F7AAB31" w14:textId="77777777" w:rsidR="00624A0A" w:rsidRPr="00624A0A" w:rsidRDefault="00624A0A" w:rsidP="00F625B8">
            <w:pPr>
              <w:spacing w:before="20" w:after="20" w:line="240" w:lineRule="auto"/>
              <w:jc w:val="center"/>
              <w:rPr>
                <w:rFonts w:asciiTheme="majorBidi" w:eastAsia="Times New Roman" w:hAnsiTheme="majorBidi" w:cstheme="majorBidi"/>
                <w:sz w:val="16"/>
                <w:szCs w:val="16"/>
              </w:rPr>
            </w:pPr>
            <w:r w:rsidRPr="00624A0A">
              <w:rPr>
                <w:sz w:val="16"/>
                <w:szCs w:val="16"/>
                <w:lang w:val="fr-FR"/>
              </w:rPr>
              <w:t>[3]</w:t>
            </w:r>
          </w:p>
        </w:tc>
        <w:tc>
          <w:tcPr>
            <w:tcW w:w="566"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00066938"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566"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10FF4AD6"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[3]</w:t>
            </w:r>
          </w:p>
        </w:tc>
        <w:tc>
          <w:tcPr>
            <w:tcW w:w="566"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2CE69DC8"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263FBEF8"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[12]</w:t>
            </w:r>
          </w:p>
        </w:tc>
      </w:tr>
      <w:tr w:rsidR="00F625B8" w:rsidRPr="00624A0A" w14:paraId="676BC11E" w14:textId="77777777" w:rsidTr="00191947">
        <w:trPr>
          <w:trHeight w:val="120"/>
        </w:trPr>
        <w:tc>
          <w:tcPr>
            <w:tcW w:w="1697"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hideMark/>
          </w:tcPr>
          <w:p w14:paraId="3E8AF0C0"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25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7342D97A"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r w:rsidRPr="00624A0A">
              <w:rPr>
                <w:sz w:val="16"/>
                <w:szCs w:val="16"/>
                <w:lang w:val="fr-FR"/>
              </w:rPr>
              <w:t>25</w:t>
            </w:r>
            <w:r w:rsidRPr="00624A0A">
              <w:rPr>
                <w:sz w:val="16"/>
                <w:szCs w:val="16"/>
                <w:vertAlign w:val="superscript"/>
                <w:lang w:val="fr-FR"/>
              </w:rPr>
              <w:t>e</w:t>
            </w:r>
            <w:r w:rsidRPr="00624A0A">
              <w:rPr>
                <w:sz w:val="16"/>
                <w:szCs w:val="16"/>
                <w:lang w:val="fr-FR"/>
              </w:rPr>
              <w:t xml:space="preserve"> cycle, état totalement chargé</w:t>
            </w:r>
          </w:p>
        </w:tc>
        <w:tc>
          <w:tcPr>
            <w:tcW w:w="2849" w:type="dxa"/>
            <w:gridSpan w:val="5"/>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669E1474" w14:textId="77777777" w:rsidR="00624A0A" w:rsidRPr="00624A0A" w:rsidRDefault="00624A0A" w:rsidP="00F625B8">
            <w:pPr>
              <w:spacing w:before="20" w:after="20" w:line="240" w:lineRule="auto"/>
              <w:jc w:val="center"/>
              <w:rPr>
                <w:rFonts w:asciiTheme="majorBidi" w:eastAsia="Times New Roman" w:hAnsiTheme="majorBidi" w:cstheme="majorBidi"/>
                <w:sz w:val="16"/>
                <w:szCs w:val="16"/>
              </w:rPr>
            </w:pPr>
            <w:r w:rsidRPr="00624A0A">
              <w:rPr>
                <w:sz w:val="16"/>
                <w:szCs w:val="16"/>
                <w:lang w:val="fr-FR"/>
              </w:rPr>
              <w:t>[3]</w:t>
            </w:r>
          </w:p>
        </w:tc>
        <w:tc>
          <w:tcPr>
            <w:tcW w:w="566"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59839F26"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566"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297D5C0F"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[3]</w:t>
            </w:r>
          </w:p>
        </w:tc>
        <w:tc>
          <w:tcPr>
            <w:tcW w:w="566"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49416A77"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850"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hideMark/>
          </w:tcPr>
          <w:p w14:paraId="6D9E27DA"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r>
      <w:tr w:rsidR="00F625B8" w:rsidRPr="00624A0A" w14:paraId="1D3968EA" w14:textId="77777777" w:rsidTr="00191947">
        <w:trPr>
          <w:trHeight w:val="141"/>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2BDC7D88"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Grandes batteries</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44C897E2"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r w:rsidRPr="00624A0A">
              <w:rPr>
                <w:sz w:val="16"/>
                <w:szCs w:val="16"/>
                <w:lang w:val="fr-FR"/>
              </w:rPr>
              <w:t>Premier cycle, état totalement chargé</w:t>
            </w:r>
          </w:p>
        </w:tc>
        <w:tc>
          <w:tcPr>
            <w:tcW w:w="2849" w:type="dxa"/>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5E778BE5" w14:textId="77777777" w:rsidR="00624A0A" w:rsidRPr="00624A0A" w:rsidRDefault="00624A0A" w:rsidP="00F625B8">
            <w:pPr>
              <w:spacing w:before="20" w:after="20" w:line="240" w:lineRule="auto"/>
              <w:jc w:val="center"/>
              <w:rPr>
                <w:rFonts w:asciiTheme="majorBidi" w:eastAsia="Times New Roman" w:hAnsiTheme="majorBidi" w:cstheme="majorBidi"/>
                <w:sz w:val="16"/>
                <w:szCs w:val="16"/>
              </w:rPr>
            </w:pPr>
            <w:r w:rsidRPr="00624A0A">
              <w:rPr>
                <w:sz w:val="16"/>
                <w:szCs w:val="16"/>
                <w:lang w:val="fr-FR"/>
              </w:rPr>
              <w:t>[2]</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2B3EC561"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2226F760"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[2]</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4BECEF3F"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5BA327C4"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[8]</w:t>
            </w:r>
          </w:p>
        </w:tc>
      </w:tr>
      <w:tr w:rsidR="00F625B8" w:rsidRPr="00624A0A" w14:paraId="7C797E72" w14:textId="77777777" w:rsidTr="00191947">
        <w:trPr>
          <w:trHeight w:val="20"/>
        </w:trPr>
        <w:tc>
          <w:tcPr>
            <w:tcW w:w="1697"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hideMark/>
          </w:tcPr>
          <w:p w14:paraId="3E7AA343"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01D61B68"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r w:rsidRPr="00624A0A">
              <w:rPr>
                <w:sz w:val="16"/>
                <w:szCs w:val="16"/>
                <w:lang w:val="fr-FR"/>
              </w:rPr>
              <w:t>25</w:t>
            </w:r>
            <w:r w:rsidRPr="00624A0A">
              <w:rPr>
                <w:sz w:val="16"/>
                <w:szCs w:val="16"/>
                <w:vertAlign w:val="superscript"/>
                <w:lang w:val="fr-FR"/>
              </w:rPr>
              <w:t>e</w:t>
            </w:r>
            <w:r w:rsidRPr="00624A0A">
              <w:rPr>
                <w:sz w:val="16"/>
                <w:szCs w:val="16"/>
                <w:lang w:val="fr-FR"/>
              </w:rPr>
              <w:t xml:space="preserve"> cycle, état totalement chargé</w:t>
            </w:r>
          </w:p>
        </w:tc>
        <w:tc>
          <w:tcPr>
            <w:tcW w:w="2849" w:type="dxa"/>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0DE62500" w14:textId="77777777" w:rsidR="00624A0A" w:rsidRPr="00624A0A" w:rsidRDefault="00624A0A" w:rsidP="00F625B8">
            <w:pPr>
              <w:spacing w:before="20" w:after="20" w:line="240" w:lineRule="auto"/>
              <w:jc w:val="center"/>
              <w:rPr>
                <w:rFonts w:asciiTheme="majorBidi" w:eastAsia="Times New Roman" w:hAnsiTheme="majorBidi" w:cstheme="majorBidi"/>
                <w:sz w:val="16"/>
                <w:szCs w:val="16"/>
              </w:rPr>
            </w:pPr>
            <w:r w:rsidRPr="00624A0A">
              <w:rPr>
                <w:sz w:val="16"/>
                <w:szCs w:val="16"/>
                <w:lang w:val="fr-FR"/>
              </w:rPr>
              <w:t>[2]</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512617AA"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3D66BB1C"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[2]</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2924FFA8"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850"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hideMark/>
          </w:tcPr>
          <w:p w14:paraId="0B70ABBF"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r>
      <w:tr w:rsidR="00F625B8" w:rsidRPr="00624A0A" w14:paraId="322BFA1C" w14:textId="77777777" w:rsidTr="00191947">
        <w:trPr>
          <w:trHeight w:val="308"/>
        </w:trPr>
        <w:tc>
          <w:tcPr>
            <w:tcW w:w="1697"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5BF4E73B" w14:textId="77777777" w:rsidR="00624A0A" w:rsidRPr="00624A0A" w:rsidRDefault="00624A0A" w:rsidP="00F625B8">
            <w:pPr>
              <w:spacing w:before="20" w:after="20" w:line="240" w:lineRule="auto"/>
              <w:rPr>
                <w:sz w:val="16"/>
                <w:szCs w:val="16"/>
                <w:lang w:val="fr-FR"/>
              </w:rPr>
            </w:pPr>
            <w:r w:rsidRPr="00624A0A">
              <w:rPr>
                <w:sz w:val="16"/>
                <w:szCs w:val="16"/>
                <w:lang w:val="fr-FR"/>
              </w:rPr>
              <w:t>Batteries assemblées avec des batteries éprouvées &lt; 6 200 Wh</w:t>
            </w:r>
          </w:p>
        </w:tc>
        <w:tc>
          <w:tcPr>
            <w:tcW w:w="2545"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5D579A2C"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État totalement chargé</w:t>
            </w:r>
          </w:p>
        </w:tc>
        <w:tc>
          <w:tcPr>
            <w:tcW w:w="572"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04C27EBA"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569"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348458E6"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5453334A" w14:textId="77777777" w:rsidR="00624A0A" w:rsidRPr="00624A0A" w:rsidRDefault="00624A0A" w:rsidP="00F625B8">
            <w:pPr>
              <w:spacing w:before="20" w:after="20" w:line="240" w:lineRule="auto"/>
              <w:jc w:val="center"/>
              <w:rPr>
                <w:rFonts w:asciiTheme="majorBidi" w:eastAsia="Times New Roman" w:hAnsiTheme="majorBidi" w:cstheme="majorBidi"/>
                <w:sz w:val="16"/>
                <w:szCs w:val="16"/>
              </w:rPr>
            </w:pPr>
            <w:r w:rsidRPr="00624A0A">
              <w:rPr>
                <w:sz w:val="16"/>
                <w:szCs w:val="16"/>
                <w:lang w:val="fr-FR"/>
              </w:rPr>
              <w:t>[1]</w:t>
            </w:r>
          </w:p>
        </w:tc>
        <w:tc>
          <w:tcPr>
            <w:tcW w:w="566"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16E37F84"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566"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309FB86E"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[1]</w:t>
            </w:r>
          </w:p>
        </w:tc>
        <w:tc>
          <w:tcPr>
            <w:tcW w:w="566"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7A7326C1" w14:textId="77777777" w:rsidR="00624A0A" w:rsidRPr="00624A0A" w:rsidRDefault="00624A0A" w:rsidP="00F625B8">
            <w:pPr>
              <w:spacing w:before="20" w:after="20" w:line="240" w:lineRule="auto"/>
              <w:rPr>
                <w:rFonts w:asciiTheme="majorBidi" w:eastAsia="Times New Roman" w:hAnsiTheme="majorBidi" w:cstheme="majorBidi"/>
                <w:sz w:val="16"/>
                <w:szCs w:val="16"/>
                <w:lang w:val="en-US"/>
              </w:rPr>
            </w:pPr>
          </w:p>
        </w:tc>
        <w:tc>
          <w:tcPr>
            <w:tcW w:w="850" w:type="dxa"/>
            <w:tcBorders>
              <w:top w:val="single" w:sz="8" w:space="0" w:color="000000"/>
              <w:left w:val="single" w:sz="8" w:space="0" w:color="000000"/>
              <w:bottom w:val="single" w:sz="8" w:space="0" w:color="000000"/>
              <w:right w:val="single" w:sz="8" w:space="0" w:color="000000"/>
            </w:tcBorders>
            <w:shd w:val="clear" w:color="auto" w:fill="F2F2F2"/>
            <w:tcMar>
              <w:top w:w="72" w:type="dxa"/>
              <w:left w:w="57" w:type="dxa"/>
              <w:bottom w:w="72" w:type="dxa"/>
              <w:right w:w="57" w:type="dxa"/>
            </w:tcMar>
            <w:hideMark/>
          </w:tcPr>
          <w:p w14:paraId="2EA2AF4D"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[2]</w:t>
            </w:r>
          </w:p>
        </w:tc>
      </w:tr>
      <w:tr w:rsidR="00F625B8" w:rsidRPr="00624A0A" w14:paraId="57FEADCD" w14:textId="77777777" w:rsidTr="00191947">
        <w:trPr>
          <w:trHeight w:val="322"/>
        </w:trPr>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5C26D58B"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r w:rsidRPr="00624A0A">
              <w:rPr>
                <w:sz w:val="16"/>
                <w:szCs w:val="16"/>
                <w:lang w:val="fr-FR"/>
              </w:rPr>
              <w:t>Batteries assemblées avec des batteries éprouvées &gt; 6 200 Wh</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58DB1960"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68695695"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2C2B82BF"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1C43B374"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6C48295A"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27675516"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4237FC57"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78D87D27"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2446426C" w14:textId="77777777" w:rsidR="00624A0A" w:rsidRPr="00624A0A" w:rsidRDefault="00624A0A" w:rsidP="00F625B8">
            <w:pPr>
              <w:spacing w:before="20" w:after="20" w:line="240" w:lineRule="auto"/>
              <w:rPr>
                <w:rFonts w:asciiTheme="majorBidi" w:eastAsia="Times New Roman" w:hAnsiTheme="majorBidi" w:cstheme="majorBidi"/>
                <w:sz w:val="16"/>
                <w:szCs w:val="16"/>
                <w:lang w:val="fr-FR"/>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14:paraId="366EE973" w14:textId="77777777" w:rsidR="00624A0A" w:rsidRPr="00624A0A" w:rsidRDefault="00624A0A" w:rsidP="00F625B8">
            <w:pPr>
              <w:spacing w:before="20" w:after="20" w:line="240" w:lineRule="auto"/>
              <w:rPr>
                <w:rFonts w:asciiTheme="majorBidi" w:eastAsia="Times New Roman" w:hAnsiTheme="majorBidi" w:cstheme="majorBidi"/>
                <w:sz w:val="16"/>
                <w:szCs w:val="16"/>
              </w:rPr>
            </w:pPr>
            <w:r w:rsidRPr="00624A0A">
              <w:rPr>
                <w:sz w:val="16"/>
                <w:szCs w:val="16"/>
                <w:lang w:val="fr-FR"/>
              </w:rPr>
              <w:t>[0]</w:t>
            </w:r>
          </w:p>
        </w:tc>
      </w:tr>
    </w:tbl>
    <w:p w14:paraId="605E872F" w14:textId="77777777" w:rsidR="00624A0A" w:rsidRPr="00624A0A" w:rsidRDefault="00624A0A" w:rsidP="00AD32C7">
      <w:pPr>
        <w:pStyle w:val="SingleTxtG"/>
        <w:spacing w:before="240"/>
        <w:rPr>
          <w:lang w:val="fr-FR"/>
        </w:rPr>
      </w:pPr>
      <w:r w:rsidRPr="00624A0A">
        <w:rPr>
          <w:lang w:val="fr-FR"/>
        </w:rPr>
        <w:t>[Dans le tableau ci-dessus, le nombre d’échantillons est indicatif</w:t>
      </w:r>
      <w:r w:rsidR="00EB2159">
        <w:rPr>
          <w:lang w:val="fr-FR"/>
        </w:rPr>
        <w:t> </w:t>
      </w:r>
      <w:r w:rsidRPr="00624A0A">
        <w:rPr>
          <w:lang w:val="fr-FR"/>
        </w:rPr>
        <w:t>; il peut varier en fonction des résultats des épreuves menées dans des conditions abusives. Une réduction du nombre des épreuves peut être pertinente en fonction desdits résultats.]</w:t>
      </w:r>
    </w:p>
    <w:p w14:paraId="2574FDA1" w14:textId="77777777" w:rsidR="00624A0A" w:rsidRPr="00624A0A" w:rsidRDefault="00624A0A" w:rsidP="00AD32C7">
      <w:pPr>
        <w:pStyle w:val="SingleTxtG"/>
        <w:ind w:left="1701"/>
        <w:rPr>
          <w:lang w:val="fr-FR"/>
        </w:rPr>
      </w:pPr>
      <w:bookmarkStart w:id="2" w:name="_Hlk36464698"/>
      <w:bookmarkEnd w:id="2"/>
      <w:r w:rsidRPr="00624A0A">
        <w:rPr>
          <w:lang w:val="fr-FR"/>
        </w:rPr>
        <w:t>b)</w:t>
      </w:r>
      <w:r w:rsidRPr="00624A0A">
        <w:rPr>
          <w:lang w:val="fr-FR"/>
        </w:rPr>
        <w:tab/>
        <w:t>Chaque pile et batterie comporte un dispositif de protection contre les surpressions internes, ou est conçue de manière à exclure tout éclatement violent dans les conditions normales de transport</w:t>
      </w:r>
      <w:r w:rsidR="00AD32C7">
        <w:rPr>
          <w:lang w:val="fr-FR"/>
        </w:rPr>
        <w:t> </w:t>
      </w:r>
      <w:r w:rsidRPr="00624A0A">
        <w:rPr>
          <w:lang w:val="fr-FR"/>
        </w:rPr>
        <w:t>;</w:t>
      </w:r>
    </w:p>
    <w:p w14:paraId="1432BE04" w14:textId="77777777" w:rsidR="00624A0A" w:rsidRPr="00624A0A" w:rsidRDefault="00624A0A" w:rsidP="00AD32C7">
      <w:pPr>
        <w:pStyle w:val="SingleTxtG"/>
        <w:ind w:left="1701"/>
        <w:rPr>
          <w:lang w:val="fr-FR"/>
        </w:rPr>
      </w:pPr>
      <w:r w:rsidRPr="00624A0A">
        <w:rPr>
          <w:lang w:val="fr-FR"/>
        </w:rPr>
        <w:t>c)</w:t>
      </w:r>
      <w:r w:rsidRPr="00624A0A">
        <w:rPr>
          <w:lang w:val="fr-FR"/>
        </w:rPr>
        <w:tab/>
        <w:t>Chaque pile et batterie est munie d’un système efficace pour empêcher les courts-circuits externes</w:t>
      </w:r>
      <w:r w:rsidR="00AD32C7">
        <w:rPr>
          <w:lang w:val="fr-FR"/>
        </w:rPr>
        <w:t> </w:t>
      </w:r>
      <w:r w:rsidRPr="00624A0A">
        <w:rPr>
          <w:lang w:val="fr-FR"/>
        </w:rPr>
        <w:t>;</w:t>
      </w:r>
    </w:p>
    <w:p w14:paraId="79B05F97" w14:textId="77777777" w:rsidR="00624A0A" w:rsidRPr="00624A0A" w:rsidRDefault="00624A0A" w:rsidP="00AD32C7">
      <w:pPr>
        <w:pStyle w:val="SingleTxtG"/>
        <w:ind w:left="1701"/>
        <w:rPr>
          <w:lang w:val="fr-FR"/>
        </w:rPr>
      </w:pPr>
      <w:r w:rsidRPr="00624A0A">
        <w:rPr>
          <w:lang w:val="fr-FR"/>
        </w:rPr>
        <w:t>d)</w:t>
      </w:r>
      <w:r w:rsidRPr="00624A0A">
        <w:rPr>
          <w:lang w:val="fr-FR"/>
        </w:rPr>
        <w:tab/>
        <w:t>Chaque batterie formée de piles ou de séries de piles reliées en parallèle doit être munie de moyens efficaces pour arrêter les courants inverses (par exemple diodes, fusibles, etc.)</w:t>
      </w:r>
      <w:r w:rsidR="00AD32C7">
        <w:rPr>
          <w:lang w:val="fr-FR"/>
        </w:rPr>
        <w:t> </w:t>
      </w:r>
      <w:r w:rsidRPr="00624A0A">
        <w:rPr>
          <w:lang w:val="fr-FR"/>
        </w:rPr>
        <w:t>;</w:t>
      </w:r>
    </w:p>
    <w:p w14:paraId="7E501046" w14:textId="77777777" w:rsidR="00624A0A" w:rsidRPr="00624A0A" w:rsidRDefault="00624A0A" w:rsidP="00AD32C7">
      <w:pPr>
        <w:pStyle w:val="SingleTxtG"/>
        <w:ind w:left="1701"/>
        <w:rPr>
          <w:lang w:val="fr-FR"/>
        </w:rPr>
      </w:pPr>
      <w:r w:rsidRPr="00624A0A">
        <w:rPr>
          <w:lang w:val="fr-FR"/>
        </w:rPr>
        <w:t>e)</w:t>
      </w:r>
      <w:r w:rsidRPr="00624A0A">
        <w:rPr>
          <w:lang w:val="fr-FR"/>
        </w:rPr>
        <w:tab/>
        <w:t>Les piles et batteries doivent être fabriquées dans le cadre d’un programme de gestion de la qualité qui comprend les mêmes éléments que pour les piles lithium</w:t>
      </w:r>
      <w:r w:rsidR="007A175C">
        <w:rPr>
          <w:lang w:val="fr-FR"/>
        </w:rPr>
        <w:noBreakHyphen/>
      </w:r>
      <w:r w:rsidRPr="00624A0A">
        <w:rPr>
          <w:lang w:val="fr-FR"/>
        </w:rPr>
        <w:t>ion (2.9.4 e) i) à ix))</w:t>
      </w:r>
      <w:r w:rsidR="00AD32C7">
        <w:rPr>
          <w:lang w:val="fr-FR"/>
        </w:rPr>
        <w:t> </w:t>
      </w:r>
      <w:r w:rsidRPr="00624A0A">
        <w:rPr>
          <w:lang w:val="fr-FR"/>
        </w:rPr>
        <w:t>;</w:t>
      </w:r>
    </w:p>
    <w:p w14:paraId="608D4756" w14:textId="77777777" w:rsidR="00624A0A" w:rsidRPr="00624A0A" w:rsidRDefault="00624A0A" w:rsidP="00AD32C7">
      <w:pPr>
        <w:pStyle w:val="SingleTxtG"/>
        <w:ind w:left="1701"/>
        <w:rPr>
          <w:lang w:val="fr-FR"/>
        </w:rPr>
      </w:pPr>
      <w:r w:rsidRPr="00624A0A">
        <w:rPr>
          <w:lang w:val="fr-FR"/>
        </w:rPr>
        <w:t>f)</w:t>
      </w:r>
      <w:r w:rsidRPr="00624A0A">
        <w:rPr>
          <w:lang w:val="fr-FR"/>
        </w:rPr>
        <w:tab/>
        <w:t>Les fabricants et distributeurs de piles ou batteries doivent mettre à disposition le résumé du procès-verbal d’épreuve tel que spécifié dans le Manuel d’épreuves et de critères, troisième partie, sous-section 38.3, paragraphe 38.3.5</w:t>
      </w:r>
      <w:r w:rsidR="00AD32C7">
        <w:rPr>
          <w:lang w:val="fr-FR"/>
        </w:rPr>
        <w:t> </w:t>
      </w:r>
      <w:r w:rsidRPr="00624A0A">
        <w:rPr>
          <w:lang w:val="fr-FR"/>
        </w:rPr>
        <w:t>».</w:t>
      </w:r>
    </w:p>
    <w:p w14:paraId="26F69C77" w14:textId="77777777" w:rsidR="00624A0A" w:rsidRPr="00624A0A" w:rsidRDefault="00624A0A" w:rsidP="007A175C">
      <w:pPr>
        <w:pStyle w:val="H1G"/>
        <w:rPr>
          <w:lang w:val="fr-FR"/>
        </w:rPr>
      </w:pPr>
      <w:r w:rsidRPr="00624A0A">
        <w:rPr>
          <w:lang w:val="fr-FR"/>
        </w:rPr>
        <w:lastRenderedPageBreak/>
        <w:tab/>
      </w:r>
      <w:r w:rsidRPr="00624A0A">
        <w:rPr>
          <w:lang w:val="fr-FR"/>
        </w:rPr>
        <w:tab/>
        <w:t>Proposition 4</w:t>
      </w:r>
    </w:p>
    <w:p w14:paraId="5DDD3C1F" w14:textId="77777777" w:rsidR="00624A0A" w:rsidRPr="00624A0A" w:rsidRDefault="00624A0A" w:rsidP="007A175C">
      <w:pPr>
        <w:pStyle w:val="SingleTxtG"/>
        <w:keepNext/>
        <w:keepLines/>
        <w:rPr>
          <w:lang w:val="fr-FR"/>
        </w:rPr>
      </w:pPr>
      <w:r w:rsidRPr="00624A0A">
        <w:rPr>
          <w:lang w:val="fr-FR"/>
        </w:rPr>
        <w:t>19.</w:t>
      </w:r>
      <w:r w:rsidRPr="00624A0A">
        <w:rPr>
          <w:lang w:val="fr-FR"/>
        </w:rPr>
        <w:tab/>
        <w:t>Il est proposé d’ajouter au 3.3.1 une disposition spéciale XXX pour le transport des piles et batteries sodium-ion court-circuitées.</w:t>
      </w:r>
    </w:p>
    <w:p w14:paraId="0B5868A0" w14:textId="77777777" w:rsidR="00624A0A" w:rsidRPr="00624A0A" w:rsidRDefault="00624A0A" w:rsidP="007A175C">
      <w:pPr>
        <w:pStyle w:val="SingleTxtG"/>
        <w:keepNext/>
        <w:keepLines/>
        <w:ind w:left="1701"/>
        <w:rPr>
          <w:spacing w:val="-1"/>
          <w:lang w:val="fr-FR"/>
        </w:rPr>
      </w:pPr>
      <w:r w:rsidRPr="00624A0A">
        <w:rPr>
          <w:spacing w:val="-1"/>
          <w:lang w:val="fr-FR"/>
        </w:rPr>
        <w:t>« XXX Les piles et batteries organiques sodium-ion et les piles et batteries organiques sodium-ion contenues dans un équipement ou emballées avec un équipement, conditionnées et proposées au transport à l’état court-circuité, de telle sorte qu’elles ne contiennent pas d’énergie électrique, ne sont pas soumises à d’autres dispositions du présent Règlement si elles satisfont aux conditions suivantes</w:t>
      </w:r>
      <w:r w:rsidR="00AD32C7" w:rsidRPr="00AD32C7">
        <w:rPr>
          <w:spacing w:val="-1"/>
          <w:lang w:val="fr-FR"/>
        </w:rPr>
        <w:t> </w:t>
      </w:r>
      <w:r w:rsidRPr="00624A0A">
        <w:rPr>
          <w:spacing w:val="-1"/>
          <w:lang w:val="fr-FR"/>
        </w:rPr>
        <w:t>:</w:t>
      </w:r>
    </w:p>
    <w:p w14:paraId="59B28329" w14:textId="77777777" w:rsidR="00624A0A" w:rsidRPr="00624A0A" w:rsidRDefault="00624A0A" w:rsidP="00AD32C7">
      <w:pPr>
        <w:pStyle w:val="SingleTxtG"/>
        <w:ind w:left="1701"/>
        <w:rPr>
          <w:lang w:val="fr-FR"/>
        </w:rPr>
      </w:pPr>
      <w:r w:rsidRPr="00624A0A">
        <w:rPr>
          <w:lang w:val="fr-FR"/>
        </w:rPr>
        <w:t>a)</w:t>
      </w:r>
      <w:r w:rsidRPr="00624A0A">
        <w:rPr>
          <w:lang w:val="fr-FR"/>
        </w:rPr>
        <w:tab/>
        <w:t>La mise en court-circuit de la pile ou batterie est facilement vérifiable (barre omnibus entre les bornes, par exemple...)</w:t>
      </w:r>
      <w:r w:rsidR="00AD32C7">
        <w:rPr>
          <w:lang w:val="fr-FR"/>
        </w:rPr>
        <w:t> </w:t>
      </w:r>
      <w:r w:rsidRPr="00624A0A">
        <w:rPr>
          <w:lang w:val="fr-FR"/>
        </w:rPr>
        <w:t>;</w:t>
      </w:r>
    </w:p>
    <w:p w14:paraId="305EAF36" w14:textId="77777777" w:rsidR="00624A0A" w:rsidRPr="00624A0A" w:rsidRDefault="00624A0A" w:rsidP="00AD32C7">
      <w:pPr>
        <w:pStyle w:val="SingleTxtG"/>
        <w:ind w:left="1701"/>
        <w:rPr>
          <w:lang w:val="fr-FR"/>
        </w:rPr>
      </w:pPr>
      <w:r w:rsidRPr="00624A0A">
        <w:rPr>
          <w:lang w:val="fr-FR"/>
        </w:rPr>
        <w:t>b)</w:t>
      </w:r>
      <w:r w:rsidRPr="00624A0A">
        <w:rPr>
          <w:lang w:val="fr-FR"/>
        </w:rPr>
        <w:tab/>
        <w:t>Chaque pile ou batterie satisfait aux dispositions des alinéas a), e) et f) du paragraphe 2.9.5</w:t>
      </w:r>
      <w:r w:rsidR="00AD32C7">
        <w:rPr>
          <w:lang w:val="fr-FR"/>
        </w:rPr>
        <w:t> </w:t>
      </w:r>
      <w:r w:rsidRPr="00624A0A">
        <w:rPr>
          <w:lang w:val="fr-FR"/>
        </w:rPr>
        <w:t>;</w:t>
      </w:r>
    </w:p>
    <w:p w14:paraId="3B747300" w14:textId="77777777" w:rsidR="00624A0A" w:rsidRPr="00624A0A" w:rsidRDefault="00624A0A" w:rsidP="00AD32C7">
      <w:pPr>
        <w:pStyle w:val="SingleTxtG"/>
        <w:ind w:left="1701"/>
        <w:rPr>
          <w:lang w:val="fr-FR"/>
        </w:rPr>
      </w:pPr>
      <w:r w:rsidRPr="00624A0A">
        <w:rPr>
          <w:lang w:val="fr-FR"/>
        </w:rPr>
        <w:t>c)</w:t>
      </w:r>
      <w:r w:rsidRPr="00624A0A">
        <w:rPr>
          <w:lang w:val="fr-FR"/>
        </w:rPr>
        <w:tab/>
        <w:t>Chaque colis est marqué conformément aux dispositions du point 5.2.1.9</w:t>
      </w:r>
      <w:r w:rsidR="00AD32C7">
        <w:rPr>
          <w:lang w:val="fr-FR"/>
        </w:rPr>
        <w:t> </w:t>
      </w:r>
      <w:r w:rsidRPr="00624A0A">
        <w:rPr>
          <w:lang w:val="fr-FR"/>
        </w:rPr>
        <w:t>;</w:t>
      </w:r>
    </w:p>
    <w:p w14:paraId="7D6C8C4E" w14:textId="77777777" w:rsidR="00624A0A" w:rsidRPr="00624A0A" w:rsidRDefault="00624A0A" w:rsidP="00AD32C7">
      <w:pPr>
        <w:pStyle w:val="SingleTxtG"/>
        <w:ind w:left="1701"/>
        <w:rPr>
          <w:lang w:val="fr-FR"/>
        </w:rPr>
      </w:pPr>
      <w:r w:rsidRPr="00624A0A">
        <w:rPr>
          <w:lang w:val="fr-FR"/>
        </w:rPr>
        <w:t>d)</w:t>
      </w:r>
      <w:r w:rsidRPr="00624A0A">
        <w:rPr>
          <w:lang w:val="fr-FR"/>
        </w:rPr>
        <w:tab/>
        <w:t>Sauf lorsque les batteries se trouvent dans un équipement, chaque colis doit pouvoir résister à une épreuve de chute d’une hauteur de 1,2 m, quelle que soit l’orientation, sans que les piles ou batteries qu’il contient soient endommagées, sans que son contenu soit déplacé de telle manière que les batteries (ou les piles) se touchent, et sans qu’il y ait libération du contenu</w:t>
      </w:r>
      <w:r w:rsidR="00AD32C7">
        <w:rPr>
          <w:lang w:val="fr-FR"/>
        </w:rPr>
        <w:t> </w:t>
      </w:r>
      <w:r w:rsidRPr="00624A0A">
        <w:rPr>
          <w:lang w:val="fr-FR"/>
        </w:rPr>
        <w:t>; ».</w:t>
      </w:r>
    </w:p>
    <w:p w14:paraId="484F8D36" w14:textId="77777777" w:rsidR="00624A0A" w:rsidRPr="00624A0A" w:rsidRDefault="00624A0A" w:rsidP="00AD32C7">
      <w:pPr>
        <w:pStyle w:val="H1G"/>
        <w:rPr>
          <w:lang w:val="fr-FR"/>
        </w:rPr>
      </w:pPr>
      <w:r w:rsidRPr="00624A0A">
        <w:rPr>
          <w:lang w:val="fr-FR"/>
        </w:rPr>
        <w:tab/>
      </w:r>
      <w:r w:rsidRPr="00624A0A">
        <w:rPr>
          <w:lang w:val="fr-FR"/>
        </w:rPr>
        <w:tab/>
        <w:t>Proposition 5</w:t>
      </w:r>
    </w:p>
    <w:p w14:paraId="2EE93AA4" w14:textId="77777777" w:rsidR="00624A0A" w:rsidRPr="00624A0A" w:rsidRDefault="00624A0A" w:rsidP="00765B59">
      <w:pPr>
        <w:pStyle w:val="SingleTxtG"/>
        <w:rPr>
          <w:lang w:val="fr-FR"/>
        </w:rPr>
      </w:pPr>
      <w:r w:rsidRPr="00624A0A">
        <w:rPr>
          <w:lang w:val="fr-FR"/>
        </w:rPr>
        <w:t>20.</w:t>
      </w:r>
      <w:r w:rsidRPr="00624A0A">
        <w:rPr>
          <w:lang w:val="fr-FR"/>
        </w:rPr>
        <w:tab/>
        <w:t>Si les données disponibles permettent de prendre une décision positive en ce qui concerne les paragraphes 9 et 10 ci-dessus, il est proposé d’adopter une nouvelle disposition spéciale YYY sous les nouvelles rubriques XXXX et XXXY, énonçant les prescriptions suivantes pour les batteries à faible densité d’énergie</w:t>
      </w:r>
      <w:r w:rsidR="00AD32C7">
        <w:rPr>
          <w:lang w:val="fr-FR"/>
        </w:rPr>
        <w:t> </w:t>
      </w:r>
      <w:r w:rsidRPr="00624A0A">
        <w:rPr>
          <w:lang w:val="fr-FR"/>
        </w:rPr>
        <w:t>:</w:t>
      </w:r>
    </w:p>
    <w:p w14:paraId="447B803E" w14:textId="77777777" w:rsidR="00624A0A" w:rsidRPr="00624A0A" w:rsidRDefault="00624A0A" w:rsidP="00AD32C7">
      <w:pPr>
        <w:pStyle w:val="SingleTxtG"/>
        <w:ind w:left="1701"/>
        <w:rPr>
          <w:lang w:val="fr-FR"/>
        </w:rPr>
      </w:pPr>
      <w:r w:rsidRPr="00624A0A">
        <w:rPr>
          <w:lang w:val="fr-FR"/>
        </w:rPr>
        <w:t>« YYY Si elles contiennent une marchandise dangereuse, les piles et batteries sodium-ion qui ont une densité d’énergie égale ou inférieure à [XX Wh/kg]* et qui sont protégées contre les courts-circuits doivent être transportées en tant qu’objets sous une rubrique appropriée pour la marchandise dangereuse visée</w:t>
      </w:r>
      <w:r w:rsidR="002C7FBF">
        <w:rPr>
          <w:lang w:val="fr-FR"/>
        </w:rPr>
        <w:t> </w:t>
      </w:r>
      <w:r w:rsidRPr="00624A0A">
        <w:rPr>
          <w:lang w:val="fr-FR"/>
        </w:rPr>
        <w:t>; sinon, elles peuvent être transportées sans être soumises au présent Règlement. Tout équipement contenant l’un ou l’autre de ces types d’objets peut être transporté sans être soumis au présent Règlement, à condition que les batteries qu’il contient soient protégées contre les courts-circuits. ».</w:t>
      </w:r>
    </w:p>
    <w:p w14:paraId="50F39C1F" w14:textId="77777777" w:rsidR="00446FE5" w:rsidRDefault="00624A0A" w:rsidP="00AD32C7">
      <w:pPr>
        <w:pStyle w:val="SingleTxtG"/>
        <w:rPr>
          <w:lang w:val="fr-FR"/>
        </w:rPr>
      </w:pPr>
      <w:r w:rsidRPr="00624A0A">
        <w:rPr>
          <w:lang w:val="fr-FR"/>
        </w:rPr>
        <w:t xml:space="preserve">* </w:t>
      </w:r>
      <w:r w:rsidRPr="00AD32C7">
        <w:rPr>
          <w:i/>
          <w:lang w:val="fr-FR"/>
        </w:rPr>
        <w:t>La valeur de la densité énergétique doit être définie avec précision en fonction des données d’épreuve</w:t>
      </w:r>
      <w:r w:rsidRPr="00624A0A">
        <w:rPr>
          <w:lang w:val="fr-FR"/>
        </w:rPr>
        <w:t>.</w:t>
      </w:r>
    </w:p>
    <w:p w14:paraId="2CB923AF" w14:textId="77777777" w:rsidR="00624A0A" w:rsidRPr="00624A0A" w:rsidRDefault="00624A0A" w:rsidP="00624A0A">
      <w:pPr>
        <w:pStyle w:val="SingleTxtG"/>
        <w:spacing w:before="240" w:after="0"/>
        <w:jc w:val="center"/>
        <w:rPr>
          <w:u w:val="single"/>
        </w:rPr>
      </w:pPr>
      <w:r>
        <w:rPr>
          <w:u w:val="single"/>
        </w:rPr>
        <w:tab/>
      </w:r>
      <w:r>
        <w:rPr>
          <w:u w:val="single"/>
        </w:rPr>
        <w:tab/>
      </w:r>
      <w:r>
        <w:rPr>
          <w:u w:val="single"/>
        </w:rPr>
        <w:tab/>
      </w:r>
    </w:p>
    <w:sectPr w:rsidR="00624A0A" w:rsidRPr="00624A0A" w:rsidSect="00624A0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D83BA" w14:textId="77777777" w:rsidR="00233479" w:rsidRDefault="00233479" w:rsidP="00F95C08">
      <w:pPr>
        <w:spacing w:line="240" w:lineRule="auto"/>
      </w:pPr>
    </w:p>
  </w:endnote>
  <w:endnote w:type="continuationSeparator" w:id="0">
    <w:p w14:paraId="44419093" w14:textId="77777777" w:rsidR="00233479" w:rsidRPr="00AC3823" w:rsidRDefault="00233479" w:rsidP="00AC3823">
      <w:pPr>
        <w:pStyle w:val="Footer"/>
      </w:pPr>
    </w:p>
  </w:endnote>
  <w:endnote w:type="continuationNotice" w:id="1">
    <w:p w14:paraId="10E9A09B" w14:textId="77777777" w:rsidR="00233479" w:rsidRDefault="002334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B074" w14:textId="77777777" w:rsidR="00624A0A" w:rsidRPr="00624A0A" w:rsidRDefault="00624A0A" w:rsidP="00624A0A">
    <w:pPr>
      <w:pStyle w:val="Footer"/>
      <w:tabs>
        <w:tab w:val="right" w:pos="9638"/>
      </w:tabs>
    </w:pPr>
    <w:r w:rsidRPr="00624A0A">
      <w:rPr>
        <w:b/>
        <w:sz w:val="18"/>
      </w:rPr>
      <w:fldChar w:fldCharType="begin"/>
    </w:r>
    <w:r w:rsidRPr="00624A0A">
      <w:rPr>
        <w:b/>
        <w:sz w:val="18"/>
      </w:rPr>
      <w:instrText xml:space="preserve"> PAGE  \* MERGEFORMAT </w:instrText>
    </w:r>
    <w:r w:rsidRPr="00624A0A">
      <w:rPr>
        <w:b/>
        <w:sz w:val="18"/>
      </w:rPr>
      <w:fldChar w:fldCharType="separate"/>
    </w:r>
    <w:r w:rsidRPr="00624A0A">
      <w:rPr>
        <w:b/>
        <w:noProof/>
        <w:sz w:val="18"/>
      </w:rPr>
      <w:t>2</w:t>
    </w:r>
    <w:r w:rsidRPr="00624A0A">
      <w:rPr>
        <w:b/>
        <w:sz w:val="18"/>
      </w:rPr>
      <w:fldChar w:fldCharType="end"/>
    </w:r>
    <w:r>
      <w:rPr>
        <w:b/>
        <w:sz w:val="18"/>
      </w:rPr>
      <w:tab/>
    </w:r>
    <w:r>
      <w:t>GE.20-05477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37245" w14:textId="77777777" w:rsidR="00624A0A" w:rsidRPr="00624A0A" w:rsidRDefault="00624A0A" w:rsidP="00624A0A">
    <w:pPr>
      <w:pStyle w:val="Footer"/>
      <w:tabs>
        <w:tab w:val="right" w:pos="9638"/>
      </w:tabs>
      <w:rPr>
        <w:b/>
        <w:sz w:val="18"/>
      </w:rPr>
    </w:pPr>
    <w:r>
      <w:t>GE.20-05477</w:t>
    </w:r>
    <w:r>
      <w:tab/>
    </w:r>
    <w:r w:rsidRPr="00624A0A">
      <w:rPr>
        <w:b/>
        <w:sz w:val="18"/>
      </w:rPr>
      <w:fldChar w:fldCharType="begin"/>
    </w:r>
    <w:r w:rsidRPr="00624A0A">
      <w:rPr>
        <w:b/>
        <w:sz w:val="18"/>
      </w:rPr>
      <w:instrText xml:space="preserve"> PAGE  \* MERGEFORMAT </w:instrText>
    </w:r>
    <w:r w:rsidRPr="00624A0A">
      <w:rPr>
        <w:b/>
        <w:sz w:val="18"/>
      </w:rPr>
      <w:fldChar w:fldCharType="separate"/>
    </w:r>
    <w:r w:rsidRPr="00624A0A">
      <w:rPr>
        <w:b/>
        <w:noProof/>
        <w:sz w:val="18"/>
      </w:rPr>
      <w:t>3</w:t>
    </w:r>
    <w:r w:rsidRPr="00624A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541C" w14:textId="77777777" w:rsidR="0068456F" w:rsidRPr="00624A0A" w:rsidRDefault="00624A0A" w:rsidP="00624A0A">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67B5621C" wp14:editId="3481C5B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20-05477  (F)    120520    120520</w:t>
    </w:r>
    <w:r>
      <w:rPr>
        <w:sz w:val="20"/>
      </w:rPr>
      <w:br/>
    </w:r>
    <w:r w:rsidRPr="00624A0A">
      <w:rPr>
        <w:rFonts w:ascii="C39T30Lfz" w:hAnsi="C39T30Lfz"/>
        <w:sz w:val="56"/>
      </w:rPr>
      <w:t></w:t>
    </w:r>
    <w:r w:rsidRPr="00624A0A">
      <w:rPr>
        <w:rFonts w:ascii="C39T30Lfz" w:hAnsi="C39T30Lfz"/>
        <w:sz w:val="56"/>
      </w:rPr>
      <w:t></w:t>
    </w:r>
    <w:r w:rsidRPr="00624A0A">
      <w:rPr>
        <w:rFonts w:ascii="C39T30Lfz" w:hAnsi="C39T30Lfz"/>
        <w:sz w:val="56"/>
      </w:rPr>
      <w:t></w:t>
    </w:r>
    <w:r w:rsidRPr="00624A0A">
      <w:rPr>
        <w:rFonts w:ascii="C39T30Lfz" w:hAnsi="C39T30Lfz"/>
        <w:sz w:val="56"/>
      </w:rPr>
      <w:t></w:t>
    </w:r>
    <w:r w:rsidRPr="00624A0A">
      <w:rPr>
        <w:rFonts w:ascii="C39T30Lfz" w:hAnsi="C39T30Lfz"/>
        <w:sz w:val="56"/>
      </w:rPr>
      <w:t></w:t>
    </w:r>
    <w:r w:rsidRPr="00624A0A">
      <w:rPr>
        <w:rFonts w:ascii="C39T30Lfz" w:hAnsi="C39T30Lfz"/>
        <w:sz w:val="56"/>
      </w:rPr>
      <w:t></w:t>
    </w:r>
    <w:r w:rsidRPr="00624A0A">
      <w:rPr>
        <w:rFonts w:ascii="C39T30Lfz" w:hAnsi="C39T30Lfz"/>
        <w:sz w:val="56"/>
      </w:rPr>
      <w:t></w:t>
    </w:r>
    <w:r w:rsidRPr="00624A0A">
      <w:rPr>
        <w:rFonts w:ascii="C39T30Lfz" w:hAnsi="C39T30Lfz"/>
        <w:sz w:val="56"/>
      </w:rPr>
      <w:t></w:t>
    </w:r>
    <w:r w:rsidRPr="00624A0A">
      <w:rPr>
        <w:rFonts w:ascii="C39T30Lfz" w:hAnsi="C39T30Lfz"/>
        <w:sz w:val="56"/>
      </w:rPr>
      <w:t></w:t>
    </w:r>
    <w:r>
      <w:rPr>
        <w:noProof/>
        <w:sz w:val="20"/>
      </w:rPr>
      <w:drawing>
        <wp:anchor distT="0" distB="0" distL="114300" distR="114300" simplePos="0" relativeHeight="251658240" behindDoc="0" locked="0" layoutInCell="1" allowOverlap="1" wp14:anchorId="4FDF2069" wp14:editId="3DEB2B6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D085A" w14:textId="77777777" w:rsidR="00233479" w:rsidRPr="00AC3823" w:rsidRDefault="00233479" w:rsidP="00AC3823">
      <w:pPr>
        <w:pStyle w:val="Footer"/>
        <w:tabs>
          <w:tab w:val="right" w:pos="2155"/>
        </w:tabs>
        <w:spacing w:after="80" w:line="240" w:lineRule="atLeast"/>
        <w:ind w:left="680"/>
        <w:rPr>
          <w:u w:val="single"/>
        </w:rPr>
      </w:pPr>
      <w:r>
        <w:rPr>
          <w:u w:val="single"/>
        </w:rPr>
        <w:tab/>
      </w:r>
    </w:p>
  </w:footnote>
  <w:footnote w:type="continuationSeparator" w:id="0">
    <w:p w14:paraId="62FED656" w14:textId="77777777" w:rsidR="00233479" w:rsidRPr="00AC3823" w:rsidRDefault="00233479" w:rsidP="00AC3823">
      <w:pPr>
        <w:pStyle w:val="Footer"/>
        <w:tabs>
          <w:tab w:val="right" w:pos="2155"/>
        </w:tabs>
        <w:spacing w:after="80" w:line="240" w:lineRule="atLeast"/>
        <w:ind w:left="680"/>
        <w:rPr>
          <w:u w:val="single"/>
        </w:rPr>
      </w:pPr>
      <w:r>
        <w:rPr>
          <w:u w:val="single"/>
        </w:rPr>
        <w:tab/>
      </w:r>
    </w:p>
  </w:footnote>
  <w:footnote w:type="continuationNotice" w:id="1">
    <w:p w14:paraId="4E0740BD" w14:textId="77777777" w:rsidR="00233479" w:rsidRPr="00AC3823" w:rsidRDefault="00233479">
      <w:pPr>
        <w:spacing w:line="240" w:lineRule="auto"/>
        <w:rPr>
          <w:sz w:val="2"/>
          <w:szCs w:val="2"/>
        </w:rPr>
      </w:pPr>
    </w:p>
  </w:footnote>
  <w:footnote w:id="2">
    <w:p w14:paraId="01ED8875" w14:textId="77777777" w:rsidR="00765B59" w:rsidRPr="00765B59" w:rsidRDefault="00765B59">
      <w:pPr>
        <w:pStyle w:val="FootnoteText"/>
      </w:pPr>
      <w:r>
        <w:rPr>
          <w:rStyle w:val="FootnoteReference"/>
        </w:rPr>
        <w:tab/>
      </w:r>
      <w:r w:rsidRPr="00765B59">
        <w:rPr>
          <w:rStyle w:val="FootnoteReference"/>
          <w:sz w:val="20"/>
          <w:vertAlign w:val="baseline"/>
        </w:rPr>
        <w:t>*</w:t>
      </w:r>
      <w:r>
        <w:rPr>
          <w:rStyle w:val="FootnoteReference"/>
          <w:sz w:val="20"/>
          <w:vertAlign w:val="baseline"/>
        </w:rPr>
        <w:tab/>
      </w:r>
      <w:r>
        <w:rPr>
          <w:lang w:val="fr-FR"/>
        </w:rPr>
        <w:t>Sous-programme 2 du budget-programme pour 2020 (A/74/6 (Sect.</w:t>
      </w:r>
      <w:r w:rsidR="00191947">
        <w:rPr>
          <w:lang w:val="fr-FR"/>
        </w:rPr>
        <w:t> </w:t>
      </w:r>
      <w:r>
        <w:rPr>
          <w:lang w:val="fr-FR"/>
        </w:rPr>
        <w: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ED1C" w14:textId="674AC659" w:rsidR="00624A0A" w:rsidRPr="00624A0A" w:rsidRDefault="00173416">
    <w:pPr>
      <w:pStyle w:val="Header"/>
    </w:pPr>
    <w:r>
      <w:fldChar w:fldCharType="begin"/>
    </w:r>
    <w:r>
      <w:instrText xml:space="preserve"> TITLE  \* MERGEFORMAT </w:instrText>
    </w:r>
    <w:r>
      <w:fldChar w:fldCharType="separate"/>
    </w:r>
    <w:r>
      <w:t>ST/SG/AC.10/C.3/2020/45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A548" w14:textId="6396963C" w:rsidR="00624A0A" w:rsidRPr="00624A0A" w:rsidRDefault="00173416" w:rsidP="00624A0A">
    <w:pPr>
      <w:pStyle w:val="Header"/>
      <w:jc w:val="right"/>
    </w:pPr>
    <w:r>
      <w:fldChar w:fldCharType="begin"/>
    </w:r>
    <w:r>
      <w:instrText xml:space="preserve"> TITLE  \* MERGEFORMAT </w:instrText>
    </w:r>
    <w:r>
      <w:fldChar w:fldCharType="separate"/>
    </w:r>
    <w:r>
      <w:t>ST/SG/AC.10/C.3/2020/45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79"/>
    <w:rsid w:val="00017F94"/>
    <w:rsid w:val="00023842"/>
    <w:rsid w:val="000305D3"/>
    <w:rsid w:val="000334F9"/>
    <w:rsid w:val="00076EDD"/>
    <w:rsid w:val="0007796D"/>
    <w:rsid w:val="000A71A4"/>
    <w:rsid w:val="000B7790"/>
    <w:rsid w:val="00111F2F"/>
    <w:rsid w:val="00132EA9"/>
    <w:rsid w:val="0014365E"/>
    <w:rsid w:val="00173416"/>
    <w:rsid w:val="00176178"/>
    <w:rsid w:val="00191947"/>
    <w:rsid w:val="001F525A"/>
    <w:rsid w:val="00223272"/>
    <w:rsid w:val="00233479"/>
    <w:rsid w:val="0024779E"/>
    <w:rsid w:val="00283190"/>
    <w:rsid w:val="002832AC"/>
    <w:rsid w:val="002C7FBF"/>
    <w:rsid w:val="002D7C93"/>
    <w:rsid w:val="00441C3B"/>
    <w:rsid w:val="00446FE5"/>
    <w:rsid w:val="00452396"/>
    <w:rsid w:val="004E468C"/>
    <w:rsid w:val="005505B7"/>
    <w:rsid w:val="00573BE5"/>
    <w:rsid w:val="00584DC4"/>
    <w:rsid w:val="00586ED3"/>
    <w:rsid w:val="00596AA9"/>
    <w:rsid w:val="00624A0A"/>
    <w:rsid w:val="0068456F"/>
    <w:rsid w:val="00706352"/>
    <w:rsid w:val="0071601D"/>
    <w:rsid w:val="00765B59"/>
    <w:rsid w:val="007A175C"/>
    <w:rsid w:val="007A62E6"/>
    <w:rsid w:val="0080684C"/>
    <w:rsid w:val="00871C75"/>
    <w:rsid w:val="008776DC"/>
    <w:rsid w:val="008B40CD"/>
    <w:rsid w:val="008D7304"/>
    <w:rsid w:val="009705C8"/>
    <w:rsid w:val="009C1CF4"/>
    <w:rsid w:val="00A30353"/>
    <w:rsid w:val="00AC3823"/>
    <w:rsid w:val="00AD32C7"/>
    <w:rsid w:val="00AE323C"/>
    <w:rsid w:val="00B00181"/>
    <w:rsid w:val="00B00B0D"/>
    <w:rsid w:val="00B765F7"/>
    <w:rsid w:val="00BA0CA9"/>
    <w:rsid w:val="00C02897"/>
    <w:rsid w:val="00D3439C"/>
    <w:rsid w:val="00DB1831"/>
    <w:rsid w:val="00DD3BFD"/>
    <w:rsid w:val="00DF6678"/>
    <w:rsid w:val="00E02765"/>
    <w:rsid w:val="00E31745"/>
    <w:rsid w:val="00EA1B70"/>
    <w:rsid w:val="00EB2159"/>
    <w:rsid w:val="00EF2E22"/>
    <w:rsid w:val="00F01738"/>
    <w:rsid w:val="00F625B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168CB"/>
  <w15:docId w15:val="{2F37C546-33B1-475C-A509-C0E0934B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2002</Words>
  <Characters>11418</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ST/SG/AC.10/C.3/2020/45</vt:lpstr>
      <vt:lpstr>ST/SG/AC.10/C.3/2020/45</vt:lpstr>
    </vt:vector>
  </TitlesOfParts>
  <Company>DCM</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ST/SG/AC.10/C.3/2020/45</dc:title>
  <dc:subject/>
  <dc:creator>Valerie BERTIN</dc:creator>
  <cp:keywords/>
  <cp:lastModifiedBy>Laurence Berthet</cp:lastModifiedBy>
  <cp:revision>3</cp:revision>
  <cp:lastPrinted>2020-05-12T15:04:00Z</cp:lastPrinted>
  <dcterms:created xsi:type="dcterms:W3CDTF">2020-05-12T15:04:00Z</dcterms:created>
  <dcterms:modified xsi:type="dcterms:W3CDTF">2020-05-12T15:05:00Z</dcterms:modified>
</cp:coreProperties>
</file>