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2000574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30C822" w14:textId="77777777" w:rsidR="00132EA9" w:rsidRPr="00DB58B5" w:rsidRDefault="00132EA9" w:rsidP="0090730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E7A8A87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215681" w14:textId="77777777" w:rsidR="00132EA9" w:rsidRPr="00DB58B5" w:rsidRDefault="00907305" w:rsidP="00907305">
            <w:pPr>
              <w:jc w:val="right"/>
            </w:pPr>
            <w:r w:rsidRPr="00907305">
              <w:rPr>
                <w:sz w:val="40"/>
              </w:rPr>
              <w:t>ST</w:t>
            </w:r>
            <w:r>
              <w:t>/SG/AC.10/C.3/2020/43</w:t>
            </w:r>
          </w:p>
        </w:tc>
      </w:tr>
      <w:tr w:rsidR="00132EA9" w:rsidRPr="00DB58B5" w14:paraId="6E01742A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820EC0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27CFF62" wp14:editId="505E1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0C7D79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4366120" w14:textId="77777777" w:rsidR="00132EA9" w:rsidRDefault="00907305" w:rsidP="00F01738">
            <w:pPr>
              <w:spacing w:before="240"/>
            </w:pPr>
            <w:r>
              <w:t>Distr. générale</w:t>
            </w:r>
          </w:p>
          <w:p w14:paraId="5538DE1E" w14:textId="77777777" w:rsidR="00907305" w:rsidRDefault="00907305" w:rsidP="00907305">
            <w:pPr>
              <w:spacing w:line="240" w:lineRule="exact"/>
            </w:pPr>
            <w:r>
              <w:t>9 avril 2020</w:t>
            </w:r>
          </w:p>
          <w:p w14:paraId="01AE0868" w14:textId="77777777" w:rsidR="00907305" w:rsidRDefault="00907305" w:rsidP="00907305">
            <w:pPr>
              <w:spacing w:line="240" w:lineRule="exact"/>
            </w:pPr>
            <w:r>
              <w:t>Français</w:t>
            </w:r>
          </w:p>
          <w:p w14:paraId="0C8539A7" w14:textId="77777777" w:rsidR="00907305" w:rsidRPr="00DB58B5" w:rsidRDefault="00907305" w:rsidP="00907305">
            <w:pPr>
              <w:spacing w:line="240" w:lineRule="exact"/>
            </w:pPr>
            <w:r>
              <w:t>Original : anglais</w:t>
            </w:r>
          </w:p>
        </w:tc>
      </w:tr>
    </w:tbl>
    <w:p w14:paraId="48D25E71" w14:textId="77777777" w:rsidR="00907305" w:rsidRPr="00127D4A" w:rsidRDefault="00907305" w:rsidP="00127D4A">
      <w:pPr>
        <w:spacing w:before="120"/>
        <w:rPr>
          <w:b/>
          <w:bCs/>
          <w:sz w:val="24"/>
          <w:szCs w:val="24"/>
          <w:lang w:val="fr-FR"/>
        </w:rPr>
      </w:pPr>
      <w:r w:rsidRPr="00127D4A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 w:rsidR="00127D4A">
        <w:rPr>
          <w:b/>
          <w:bCs/>
          <w:sz w:val="24"/>
          <w:szCs w:val="24"/>
          <w:lang w:val="fr-FR"/>
        </w:rPr>
        <w:br/>
      </w:r>
      <w:r w:rsidRPr="00127D4A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 w:rsidR="00127D4A">
        <w:rPr>
          <w:b/>
          <w:bCs/>
          <w:sz w:val="24"/>
          <w:szCs w:val="24"/>
          <w:lang w:val="fr-FR"/>
        </w:rPr>
        <w:br/>
      </w:r>
      <w:r w:rsidRPr="00127D4A">
        <w:rPr>
          <w:b/>
          <w:bCs/>
          <w:sz w:val="24"/>
          <w:szCs w:val="24"/>
          <w:lang w:val="fr-FR"/>
        </w:rPr>
        <w:t>et d’étiquetage des produits chimiques</w:t>
      </w:r>
    </w:p>
    <w:p w14:paraId="497DF509" w14:textId="77777777" w:rsidR="00907305" w:rsidRPr="00127D4A" w:rsidRDefault="00907305" w:rsidP="00127D4A">
      <w:pPr>
        <w:spacing w:before="120"/>
        <w:rPr>
          <w:rFonts w:ascii="Helv" w:hAnsi="Helv" w:cs="Helv"/>
          <w:b/>
          <w:bCs/>
          <w:color w:val="000000"/>
          <w:lang w:val="fr-FR"/>
        </w:rPr>
      </w:pPr>
      <w:r w:rsidRPr="00127D4A">
        <w:rPr>
          <w:b/>
          <w:bCs/>
          <w:lang w:val="fr-FR"/>
        </w:rPr>
        <w:t>Sous-Comité d’experts du transport des marchandises dangereuses</w:t>
      </w:r>
    </w:p>
    <w:p w14:paraId="002E27E6" w14:textId="77777777" w:rsidR="00907305" w:rsidRPr="00127D4A" w:rsidRDefault="00907305" w:rsidP="00127D4A">
      <w:pPr>
        <w:spacing w:before="120"/>
        <w:rPr>
          <w:b/>
          <w:bCs/>
          <w:lang w:val="fr-FR"/>
        </w:rPr>
      </w:pPr>
      <w:r w:rsidRPr="00127D4A">
        <w:rPr>
          <w:b/>
          <w:bCs/>
          <w:lang w:val="fr-FR"/>
        </w:rPr>
        <w:t>Cinquante-septième session</w:t>
      </w:r>
    </w:p>
    <w:p w14:paraId="05BD5CED" w14:textId="77777777" w:rsidR="00907305" w:rsidRPr="00B812A0" w:rsidRDefault="00907305" w:rsidP="00907305">
      <w:pPr>
        <w:rPr>
          <w:lang w:val="fr-FR"/>
        </w:rPr>
      </w:pPr>
      <w:r>
        <w:rPr>
          <w:lang w:val="fr-FR"/>
        </w:rPr>
        <w:t xml:space="preserve">Genève, 29 juin-8 juillet 2020 </w:t>
      </w:r>
      <w:r>
        <w:rPr>
          <w:lang w:val="fr-FR"/>
        </w:rPr>
        <w:br/>
        <w:t>Point 6 e) de l’ordre du jour provisoire</w:t>
      </w:r>
    </w:p>
    <w:p w14:paraId="4CA2B6AE" w14:textId="77777777" w:rsidR="00907305" w:rsidRPr="00127D4A" w:rsidRDefault="00907305" w:rsidP="00907305">
      <w:pPr>
        <w:rPr>
          <w:b/>
          <w:bCs/>
          <w:lang w:val="fr-FR"/>
        </w:rPr>
      </w:pPr>
      <w:r w:rsidRPr="00127D4A">
        <w:rPr>
          <w:b/>
          <w:bCs/>
          <w:lang w:val="fr-FR"/>
        </w:rPr>
        <w:t xml:space="preserve">Propositions diverses d’amendements au Règlement type </w:t>
      </w:r>
      <w:r w:rsidR="00127D4A">
        <w:rPr>
          <w:b/>
          <w:bCs/>
          <w:lang w:val="fr-FR"/>
        </w:rPr>
        <w:br/>
      </w:r>
      <w:r w:rsidRPr="00127D4A">
        <w:rPr>
          <w:b/>
          <w:bCs/>
          <w:lang w:val="fr-FR"/>
        </w:rPr>
        <w:t>pour le transport des marchandises dangereuses</w:t>
      </w:r>
      <w:r w:rsidR="00127D4A">
        <w:rPr>
          <w:b/>
          <w:bCs/>
          <w:lang w:val="fr-FR"/>
        </w:rPr>
        <w:t> </w:t>
      </w:r>
      <w:r w:rsidRPr="00127D4A">
        <w:rPr>
          <w:b/>
          <w:bCs/>
          <w:lang w:val="fr-FR"/>
        </w:rPr>
        <w:t xml:space="preserve">: </w:t>
      </w:r>
      <w:r w:rsidR="00127D4A">
        <w:rPr>
          <w:b/>
          <w:bCs/>
          <w:lang w:val="fr-FR"/>
        </w:rPr>
        <w:br/>
      </w:r>
      <w:r w:rsidRPr="00127D4A">
        <w:rPr>
          <w:b/>
          <w:bCs/>
          <w:lang w:val="fr-FR"/>
        </w:rPr>
        <w:t>autres propositions diverses</w:t>
      </w:r>
    </w:p>
    <w:p w14:paraId="19471D79" w14:textId="77777777" w:rsidR="00907305" w:rsidRPr="00B812A0" w:rsidRDefault="00907305" w:rsidP="00127D4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Augmentation de la pression interne maximale autorisée pour les générateurs d’aérosols</w:t>
      </w:r>
    </w:p>
    <w:p w14:paraId="584259A3" w14:textId="77777777" w:rsidR="00907305" w:rsidRPr="00B812A0" w:rsidRDefault="00907305" w:rsidP="00127D4A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 la Fédération européenne des aérosols (FEA) </w:t>
      </w:r>
      <w:r w:rsidR="00127D4A">
        <w:rPr>
          <w:lang w:val="fr-FR"/>
        </w:rPr>
        <w:br/>
      </w:r>
      <w:r>
        <w:rPr>
          <w:lang w:val="fr-FR"/>
        </w:rPr>
        <w:t>et de l’Household and Commercial Products Association (HCPA)</w:t>
      </w:r>
      <w:r w:rsidR="00127D4A" w:rsidRPr="00556F8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0475A247" w14:textId="77777777" w:rsidR="00907305" w:rsidRPr="00B812A0" w:rsidRDefault="00907305" w:rsidP="00127D4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2FDF2C06" w14:textId="77777777" w:rsidR="00907305" w:rsidRPr="00B812A0" w:rsidRDefault="00907305" w:rsidP="00127D4A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À la cinquante-sixième session du Sous-Comité, en décembre 2019, la FEA et l’HCPA ont présenté le document ST/SG/AC.10/C.3/2019/55.</w:t>
      </w:r>
    </w:p>
    <w:p w14:paraId="1FA8BECB" w14:textId="77777777" w:rsidR="00907305" w:rsidRPr="00B812A0" w:rsidRDefault="00907305" w:rsidP="00127D4A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Leur proposition a reçu un appui de principe et fait l’objet de plusieurs observations.</w:t>
      </w:r>
    </w:p>
    <w:p w14:paraId="27AC38B4" w14:textId="77777777" w:rsidR="00907305" w:rsidRPr="00B812A0" w:rsidRDefault="00907305" w:rsidP="00127D4A">
      <w:pPr>
        <w:pStyle w:val="SingleTxtG"/>
        <w:keepNext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Comme suite à ces observations, la FEA et l’HCPA proposent les modifications suivantes</w:t>
      </w:r>
      <w:r w:rsidR="00127D4A">
        <w:rPr>
          <w:lang w:val="fr-FR"/>
        </w:rPr>
        <w:t> </w:t>
      </w:r>
      <w:r>
        <w:rPr>
          <w:lang w:val="fr-FR"/>
        </w:rPr>
        <w:t>:</w:t>
      </w:r>
    </w:p>
    <w:p w14:paraId="15082BC2" w14:textId="77777777" w:rsidR="00907305" w:rsidRPr="00B812A0" w:rsidRDefault="00907305" w:rsidP="00127D4A">
      <w:pPr>
        <w:pStyle w:val="Bullet1G"/>
        <w:rPr>
          <w:lang w:val="fr-FR"/>
        </w:rPr>
      </w:pPr>
      <w:r>
        <w:rPr>
          <w:lang w:val="fr-FR"/>
        </w:rPr>
        <w:t xml:space="preserve">Placer des </w:t>
      </w:r>
      <w:r w:rsidRPr="00E26132">
        <w:rPr>
          <w:lang w:val="fr-FR"/>
        </w:rPr>
        <w:t>dispositions équivalentes</w:t>
      </w:r>
      <w:r>
        <w:rPr>
          <w:lang w:val="fr-FR"/>
        </w:rPr>
        <w:t xml:space="preserve"> au 6.2.4</w:t>
      </w:r>
      <w:r w:rsidR="00127D4A">
        <w:rPr>
          <w:lang w:val="fr-FR"/>
        </w:rPr>
        <w:t> </w:t>
      </w:r>
      <w:r>
        <w:rPr>
          <w:lang w:val="fr-FR"/>
        </w:rPr>
        <w:t>;</w:t>
      </w:r>
    </w:p>
    <w:p w14:paraId="75836732" w14:textId="77777777" w:rsidR="00907305" w:rsidRPr="00B812A0" w:rsidRDefault="00907305" w:rsidP="00127D4A">
      <w:pPr>
        <w:pStyle w:val="Bullet1G"/>
        <w:rPr>
          <w:lang w:val="fr-FR"/>
        </w:rPr>
      </w:pPr>
      <w:r>
        <w:rPr>
          <w:lang w:val="fr-FR"/>
        </w:rPr>
        <w:t xml:space="preserve">Conserver les limites générales de pression en tant que filet de sécurité aux niveaux mondial et multimodal, mais sans </w:t>
      </w:r>
      <w:r w:rsidRPr="001D6A53">
        <w:rPr>
          <w:lang w:val="fr-FR"/>
        </w:rPr>
        <w:t xml:space="preserve">associer </w:t>
      </w:r>
      <w:r>
        <w:rPr>
          <w:lang w:val="fr-FR"/>
        </w:rPr>
        <w:t xml:space="preserve">les prescriptions générales </w:t>
      </w:r>
      <w:r w:rsidRPr="001D6A53">
        <w:rPr>
          <w:lang w:val="fr-FR"/>
        </w:rPr>
        <w:t>pour lesquelles</w:t>
      </w:r>
      <w:r>
        <w:rPr>
          <w:lang w:val="fr-FR"/>
        </w:rPr>
        <w:t xml:space="preserve"> </w:t>
      </w:r>
      <w:r w:rsidRPr="00694D91">
        <w:rPr>
          <w:lang w:val="fr-FR"/>
        </w:rPr>
        <w:t>il ne serait pas possible de parvenir à un</w:t>
      </w:r>
      <w:r>
        <w:rPr>
          <w:lang w:val="fr-FR"/>
        </w:rPr>
        <w:t xml:space="preserve"> consensus mondial</w:t>
      </w:r>
      <w:r w:rsidR="00127D4A">
        <w:rPr>
          <w:lang w:val="fr-FR"/>
        </w:rPr>
        <w:t> </w:t>
      </w:r>
      <w:r>
        <w:rPr>
          <w:lang w:val="fr-FR"/>
        </w:rPr>
        <w:t>;</w:t>
      </w:r>
    </w:p>
    <w:p w14:paraId="4D1AF26F" w14:textId="77777777" w:rsidR="00907305" w:rsidRPr="00B812A0" w:rsidRDefault="00907305" w:rsidP="00127D4A">
      <w:pPr>
        <w:pStyle w:val="Bullet1G"/>
        <w:rPr>
          <w:lang w:val="fr-FR"/>
        </w:rPr>
      </w:pPr>
      <w:r>
        <w:rPr>
          <w:lang w:val="fr-FR"/>
        </w:rPr>
        <w:t>Inclure des dispositions concernant les aérosols qui contiennent plusieurs gaz propulseurs de nature différente (inflammables et ininflammables, par exemple).</w:t>
      </w:r>
    </w:p>
    <w:p w14:paraId="1DD35D2D" w14:textId="77777777" w:rsidR="00907305" w:rsidRPr="00B812A0" w:rsidRDefault="00907305" w:rsidP="00127D4A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Proposition</w:t>
      </w:r>
    </w:p>
    <w:p w14:paraId="50AA3A73" w14:textId="77777777" w:rsidR="00907305" w:rsidRPr="00B812A0" w:rsidRDefault="00907305" w:rsidP="00127D4A">
      <w:pPr>
        <w:pStyle w:val="SingleTxtG"/>
        <w:keepNext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La FEA et l’HCPA proposent de modifier le 6.2.4, qui s’applique à l’ensemble des générateurs d’aérosols, par l’ajout d’un nouveau paragraphe portant le numéro 6.2.4.1 et la renumérotation inévitable (en gras) des paragraphes et références existants, comme sui</w:t>
      </w:r>
      <w:r w:rsidR="00127D4A">
        <w:rPr>
          <w:lang w:val="fr-FR"/>
        </w:rPr>
        <w:t>t </w:t>
      </w:r>
      <w:r>
        <w:rPr>
          <w:lang w:val="fr-FR"/>
        </w:rPr>
        <w:t>:</w:t>
      </w:r>
    </w:p>
    <w:p w14:paraId="2D9122F9" w14:textId="77777777" w:rsidR="00907305" w:rsidRPr="00B812A0" w:rsidRDefault="00907305" w:rsidP="00127D4A">
      <w:pPr>
        <w:pStyle w:val="SingleTxtG"/>
        <w:rPr>
          <w:lang w:val="fr-FR"/>
        </w:rPr>
      </w:pPr>
      <w:r>
        <w:rPr>
          <w:lang w:val="fr-FR"/>
        </w:rPr>
        <w:t xml:space="preserve">[Pour faciliter la lecture, les parties du texte qui </w:t>
      </w:r>
      <w:r w:rsidRPr="00A432EE">
        <w:rPr>
          <w:lang w:val="fr-FR"/>
        </w:rPr>
        <w:t>demeurent inchangées</w:t>
      </w:r>
      <w:r>
        <w:rPr>
          <w:lang w:val="fr-FR"/>
        </w:rPr>
        <w:t xml:space="preserve"> ne sont pas reproduites ou ne figurent pas en caractères gras.]</w:t>
      </w:r>
    </w:p>
    <w:p w14:paraId="33F77217" w14:textId="77777777" w:rsidR="00907305" w:rsidRPr="00127D4A" w:rsidRDefault="00907305" w:rsidP="00FB1B7C">
      <w:pPr>
        <w:pStyle w:val="SingleTxtG"/>
        <w:ind w:left="1701"/>
        <w:rPr>
          <w:b/>
          <w:bCs/>
          <w:lang w:val="fr-FR"/>
        </w:rPr>
      </w:pPr>
      <w:r>
        <w:rPr>
          <w:lang w:val="fr-FR"/>
        </w:rPr>
        <w:t>« </w:t>
      </w:r>
      <w:r w:rsidRPr="00127D4A">
        <w:rPr>
          <w:b/>
          <w:bCs/>
          <w:lang w:val="fr-FR"/>
        </w:rPr>
        <w:t>6.2.4.1</w:t>
      </w:r>
      <w:r w:rsidRPr="00127D4A">
        <w:rPr>
          <w:b/>
          <w:bCs/>
          <w:lang w:val="fr-FR"/>
        </w:rPr>
        <w:tab/>
        <w:t>La pression intérieure des générateurs d’aérosols à 50</w:t>
      </w:r>
      <w:r w:rsidR="00127D4A" w:rsidRPr="00127D4A">
        <w:rPr>
          <w:b/>
          <w:bCs/>
          <w:lang w:val="fr-FR"/>
        </w:rPr>
        <w:t> </w:t>
      </w:r>
      <w:r w:rsidRPr="00127D4A">
        <w:rPr>
          <w:b/>
          <w:bCs/>
          <w:lang w:val="fr-FR"/>
        </w:rPr>
        <w:t>°C ne doit pas dépasser 1,2 MPa (12 bar) en cas d’utilisation de gaz liquéfié inflammable, 1,32</w:t>
      </w:r>
      <w:r w:rsidR="00127D4A" w:rsidRPr="00127D4A">
        <w:rPr>
          <w:b/>
          <w:bCs/>
          <w:lang w:val="fr-FR"/>
        </w:rPr>
        <w:t> </w:t>
      </w:r>
      <w:r w:rsidRPr="00127D4A">
        <w:rPr>
          <w:b/>
          <w:bCs/>
          <w:lang w:val="fr-FR"/>
        </w:rPr>
        <w:t>MPa (13,2 bar) en cas d’utilisation de gaz liquéfié non inflammable et 1,5</w:t>
      </w:r>
      <w:r w:rsidR="00127D4A" w:rsidRPr="00127D4A">
        <w:rPr>
          <w:b/>
          <w:bCs/>
          <w:lang w:val="fr-FR"/>
        </w:rPr>
        <w:t> </w:t>
      </w:r>
      <w:r w:rsidRPr="00127D4A">
        <w:rPr>
          <w:b/>
          <w:bCs/>
          <w:lang w:val="fr-FR"/>
        </w:rPr>
        <w:t>MPa (15 bar) en cas d’utilisation de gaz comprimé ou dissous non inflammable. Pour les mélanges de gaz, la limite la plus stricte s’applique.</w:t>
      </w:r>
    </w:p>
    <w:p w14:paraId="36E0A8B5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 w:rsidRPr="00127D4A">
        <w:rPr>
          <w:b/>
          <w:bCs/>
          <w:lang w:val="fr-FR"/>
        </w:rPr>
        <w:t>6.2.4.2</w:t>
      </w:r>
      <w:r w:rsidR="00127D4A">
        <w:rPr>
          <w:lang w:val="fr-FR"/>
        </w:rPr>
        <w:tab/>
      </w:r>
      <w:r w:rsidR="0058122A">
        <w:rPr>
          <w:lang w:val="fr-FR"/>
        </w:rPr>
        <w:tab/>
      </w:r>
      <w:r w:rsidR="0058122A">
        <w:rPr>
          <w:lang w:val="fr-FR"/>
        </w:rPr>
        <w:tab/>
      </w:r>
      <w:r>
        <w:rPr>
          <w:lang w:val="fr-FR"/>
        </w:rPr>
        <w:t>Chaque générateur d’aérosol ou cartouche à gaz ou cartouche pour pile à combustible doit être soumis à une épreuve exécutée dans un bain d’eau chaude ou à une alternative au bain d’eau conformément au 6.2.4.</w:t>
      </w:r>
      <w:r w:rsidRPr="00127D4A">
        <w:rPr>
          <w:b/>
          <w:bCs/>
          <w:lang w:val="fr-FR"/>
        </w:rPr>
        <w:t>2.</w:t>
      </w:r>
      <w:r>
        <w:rPr>
          <w:lang w:val="fr-FR"/>
        </w:rPr>
        <w:t>1 ou à une méthode alternative à l’épreuve du bain d’eau agréée conformément au 6.2.4.</w:t>
      </w:r>
      <w:r w:rsidRPr="00127D4A">
        <w:rPr>
          <w:b/>
          <w:bCs/>
          <w:lang w:val="fr-FR"/>
        </w:rPr>
        <w:t>2.</w:t>
      </w:r>
      <w:r>
        <w:rPr>
          <w:lang w:val="fr-FR"/>
        </w:rPr>
        <w:t>2.</w:t>
      </w:r>
    </w:p>
    <w:p w14:paraId="63B5051D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6.2.4.</w:t>
      </w:r>
      <w:r w:rsidRPr="00127D4A">
        <w:rPr>
          <w:b/>
          <w:bCs/>
          <w:lang w:val="fr-FR"/>
        </w:rPr>
        <w:t>2.</w:t>
      </w:r>
      <w:r>
        <w:rPr>
          <w:lang w:val="fr-FR"/>
        </w:rPr>
        <w:t>1</w:t>
      </w:r>
      <w:r>
        <w:rPr>
          <w:lang w:val="fr-FR"/>
        </w:rPr>
        <w:tab/>
      </w:r>
      <w:r>
        <w:rPr>
          <w:i/>
          <w:iCs/>
          <w:lang w:val="fr-FR"/>
        </w:rPr>
        <w:t>Épreuve du bain d’eau chaude</w:t>
      </w:r>
    </w:p>
    <w:p w14:paraId="32920FD0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6.2.4.</w:t>
      </w:r>
      <w:r w:rsidRPr="00127D4A">
        <w:rPr>
          <w:b/>
          <w:bCs/>
          <w:lang w:val="fr-FR"/>
        </w:rPr>
        <w:t>2.</w:t>
      </w:r>
      <w:r>
        <w:rPr>
          <w:lang w:val="fr-FR"/>
        </w:rPr>
        <w:t>1.1</w:t>
      </w:r>
      <w:r>
        <w:rPr>
          <w:lang w:val="fr-FR"/>
        </w:rPr>
        <w:tab/>
        <w:t>La température...</w:t>
      </w:r>
    </w:p>
    <w:p w14:paraId="28757615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6.2.4.</w:t>
      </w:r>
      <w:r w:rsidRPr="00127D4A">
        <w:rPr>
          <w:b/>
          <w:bCs/>
          <w:lang w:val="fr-FR"/>
        </w:rPr>
        <w:t>2.</w:t>
      </w:r>
      <w:r>
        <w:rPr>
          <w:lang w:val="fr-FR"/>
        </w:rPr>
        <w:t>1.2</w:t>
      </w:r>
      <w:r>
        <w:rPr>
          <w:lang w:val="fr-FR"/>
        </w:rPr>
        <w:tab/>
        <w:t>Aucune fuite...</w:t>
      </w:r>
    </w:p>
    <w:p w14:paraId="3D3FBD19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6.2.4.</w:t>
      </w:r>
      <w:r w:rsidRPr="00127D4A">
        <w:rPr>
          <w:b/>
          <w:bCs/>
          <w:lang w:val="fr-FR"/>
        </w:rPr>
        <w:t>2.</w:t>
      </w:r>
      <w:r>
        <w:rPr>
          <w:lang w:val="fr-FR"/>
        </w:rPr>
        <w:t>2</w:t>
      </w:r>
      <w:r>
        <w:rPr>
          <w:lang w:val="fr-FR"/>
        </w:rPr>
        <w:tab/>
      </w:r>
      <w:r>
        <w:rPr>
          <w:i/>
          <w:iCs/>
          <w:lang w:val="fr-FR"/>
        </w:rPr>
        <w:t>Méthodes alternatives</w:t>
      </w:r>
    </w:p>
    <w:p w14:paraId="51464E22" w14:textId="77777777" w:rsidR="00907305" w:rsidRPr="00B812A0" w:rsidRDefault="00907305" w:rsidP="0058122A">
      <w:pPr>
        <w:pStyle w:val="SingleTxtG"/>
        <w:ind w:left="1701" w:firstLine="567"/>
        <w:rPr>
          <w:lang w:val="fr-FR"/>
        </w:rPr>
      </w:pPr>
      <w:r>
        <w:rPr>
          <w:lang w:val="fr-FR"/>
        </w:rPr>
        <w:t>Les méthodes alternatives, qui assurent un degré de sécurité équivalent, peuvent être employées, avec l’agrément de l’autorité compétente, à condition que les prescriptions des 6.2.4.</w:t>
      </w:r>
      <w:r w:rsidRPr="00436F06">
        <w:rPr>
          <w:b/>
          <w:bCs/>
          <w:lang w:val="fr-FR"/>
        </w:rPr>
        <w:t>2.</w:t>
      </w:r>
      <w:r>
        <w:rPr>
          <w:lang w:val="fr-FR"/>
        </w:rPr>
        <w:t>2.1 et, le cas échéant, 6.2.4.</w:t>
      </w:r>
      <w:r w:rsidRPr="00436F06">
        <w:rPr>
          <w:b/>
          <w:bCs/>
          <w:lang w:val="fr-FR"/>
        </w:rPr>
        <w:t>2.</w:t>
      </w:r>
      <w:r>
        <w:rPr>
          <w:lang w:val="fr-FR"/>
        </w:rPr>
        <w:t>2.2 ou 6.2.4.</w:t>
      </w:r>
      <w:r w:rsidRPr="00436F06">
        <w:rPr>
          <w:b/>
          <w:bCs/>
          <w:lang w:val="fr-FR"/>
        </w:rPr>
        <w:t>2.</w:t>
      </w:r>
      <w:r>
        <w:rPr>
          <w:lang w:val="fr-FR"/>
        </w:rPr>
        <w:t>2.3 soient satisfaites.</w:t>
      </w:r>
    </w:p>
    <w:p w14:paraId="11305754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6.2.4.</w:t>
      </w:r>
      <w:r w:rsidRPr="00436F06">
        <w:rPr>
          <w:b/>
          <w:bCs/>
          <w:lang w:val="fr-FR"/>
        </w:rPr>
        <w:t>2.</w:t>
      </w:r>
      <w:r>
        <w:rPr>
          <w:lang w:val="fr-FR"/>
        </w:rPr>
        <w:t>2.1</w:t>
      </w:r>
      <w:r>
        <w:rPr>
          <w:lang w:val="fr-FR"/>
        </w:rPr>
        <w:tab/>
        <w:t>Système qualité</w:t>
      </w:r>
    </w:p>
    <w:p w14:paraId="0692F75A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...</w:t>
      </w:r>
    </w:p>
    <w:p w14:paraId="4F27F643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6.2.4.</w:t>
      </w:r>
      <w:r w:rsidRPr="00436F06">
        <w:rPr>
          <w:b/>
          <w:bCs/>
          <w:lang w:val="fr-FR"/>
        </w:rPr>
        <w:t>2.</w:t>
      </w:r>
      <w:r>
        <w:rPr>
          <w:lang w:val="fr-FR"/>
        </w:rPr>
        <w:t>2.2</w:t>
      </w:r>
      <w:r>
        <w:rPr>
          <w:lang w:val="fr-FR"/>
        </w:rPr>
        <w:tab/>
        <w:t>Générateurs d’aérosols</w:t>
      </w:r>
    </w:p>
    <w:p w14:paraId="4B1F3584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6.2.4.</w:t>
      </w:r>
      <w:r w:rsidRPr="00436F06">
        <w:rPr>
          <w:b/>
          <w:bCs/>
          <w:lang w:val="fr-FR"/>
        </w:rPr>
        <w:t>2.</w:t>
      </w:r>
      <w:r>
        <w:rPr>
          <w:lang w:val="fr-FR"/>
        </w:rPr>
        <w:t>2.2.1</w:t>
      </w:r>
      <w:r>
        <w:rPr>
          <w:lang w:val="fr-FR"/>
        </w:rPr>
        <w:tab/>
        <w:t>Épreuves de pression et d’étanchéité...</w:t>
      </w:r>
    </w:p>
    <w:p w14:paraId="0754E63E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...</w:t>
      </w:r>
    </w:p>
    <w:p w14:paraId="5F119178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6.2.4.</w:t>
      </w:r>
      <w:r w:rsidRPr="00436F06">
        <w:rPr>
          <w:b/>
          <w:bCs/>
          <w:lang w:val="fr-FR"/>
        </w:rPr>
        <w:t>2.</w:t>
      </w:r>
      <w:r>
        <w:rPr>
          <w:lang w:val="fr-FR"/>
        </w:rPr>
        <w:t>2.2.2</w:t>
      </w:r>
      <w:r>
        <w:rPr>
          <w:lang w:val="fr-FR"/>
        </w:rPr>
        <w:tab/>
        <w:t>Épreuve des générateurs d’aérosols après remplissage</w:t>
      </w:r>
    </w:p>
    <w:p w14:paraId="4006843B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6.2.4.</w:t>
      </w:r>
      <w:r w:rsidRPr="00436F06">
        <w:rPr>
          <w:b/>
          <w:bCs/>
          <w:lang w:val="fr-FR"/>
        </w:rPr>
        <w:t>2.</w:t>
      </w:r>
      <w:r>
        <w:rPr>
          <w:lang w:val="fr-FR"/>
        </w:rPr>
        <w:t>2.3</w:t>
      </w:r>
      <w:r>
        <w:rPr>
          <w:lang w:val="fr-FR"/>
        </w:rPr>
        <w:tab/>
        <w:t>Cartouches à gaz et cartouches pour pile à combustible</w:t>
      </w:r>
    </w:p>
    <w:p w14:paraId="550BAAE4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6.2.4.</w:t>
      </w:r>
      <w:r w:rsidRPr="0058122A">
        <w:rPr>
          <w:b/>
          <w:bCs/>
          <w:lang w:val="fr-FR"/>
        </w:rPr>
        <w:t>2.</w:t>
      </w:r>
      <w:r>
        <w:rPr>
          <w:lang w:val="fr-FR"/>
        </w:rPr>
        <w:t>2.3.1</w:t>
      </w:r>
      <w:r>
        <w:rPr>
          <w:lang w:val="fr-FR"/>
        </w:rPr>
        <w:tab/>
        <w:t>Épreuve de pression...</w:t>
      </w:r>
    </w:p>
    <w:p w14:paraId="3BA7D667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...</w:t>
      </w:r>
    </w:p>
    <w:p w14:paraId="30D904A3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6.2.4.</w:t>
      </w:r>
      <w:r w:rsidRPr="00436F06">
        <w:rPr>
          <w:b/>
          <w:bCs/>
          <w:lang w:val="fr-FR"/>
        </w:rPr>
        <w:t>2.</w:t>
      </w:r>
      <w:r>
        <w:rPr>
          <w:lang w:val="fr-FR"/>
        </w:rPr>
        <w:t>2.3.2</w:t>
      </w:r>
      <w:r>
        <w:rPr>
          <w:lang w:val="fr-FR"/>
        </w:rPr>
        <w:tab/>
        <w:t>Épreuve d’étanchéité…</w:t>
      </w:r>
    </w:p>
    <w:p w14:paraId="1093A52E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...</w:t>
      </w:r>
    </w:p>
    <w:p w14:paraId="0B347F86" w14:textId="77777777" w:rsidR="00907305" w:rsidRPr="00B812A0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6.2.4.</w:t>
      </w:r>
      <w:r w:rsidRPr="00436F06">
        <w:rPr>
          <w:b/>
          <w:bCs/>
          <w:lang w:val="fr-FR"/>
        </w:rPr>
        <w:t>2.</w:t>
      </w:r>
      <w:r>
        <w:rPr>
          <w:lang w:val="fr-FR"/>
        </w:rPr>
        <w:t>3</w:t>
      </w:r>
      <w:r>
        <w:rPr>
          <w:lang w:val="fr-FR"/>
        </w:rPr>
        <w:tab/>
        <w:t>Avec l’accord de l’autorité compétente, les aérosols et les récipients de faible capacité ne sont pas soumis aux 6.2.4.</w:t>
      </w:r>
      <w:r w:rsidRPr="00436F06">
        <w:rPr>
          <w:b/>
          <w:bCs/>
          <w:lang w:val="fr-FR"/>
        </w:rPr>
        <w:t>2.</w:t>
      </w:r>
      <w:r>
        <w:rPr>
          <w:lang w:val="fr-FR"/>
        </w:rPr>
        <w:t>1 et 6.2.4.</w:t>
      </w:r>
      <w:r w:rsidRPr="00436F06">
        <w:rPr>
          <w:b/>
          <w:bCs/>
          <w:lang w:val="fr-FR"/>
        </w:rPr>
        <w:t>2.</w:t>
      </w:r>
      <w:r>
        <w:rPr>
          <w:lang w:val="fr-FR"/>
        </w:rPr>
        <w:t>2, s’ils...</w:t>
      </w:r>
    </w:p>
    <w:p w14:paraId="780CF8CA" w14:textId="77777777" w:rsidR="00907305" w:rsidRDefault="00907305" w:rsidP="00FB1B7C">
      <w:pPr>
        <w:pStyle w:val="SingleTxtG"/>
        <w:tabs>
          <w:tab w:val="left" w:pos="2268"/>
        </w:tabs>
        <w:ind w:left="1701"/>
        <w:rPr>
          <w:lang w:val="fr-FR"/>
        </w:rPr>
      </w:pPr>
      <w:r>
        <w:rPr>
          <w:lang w:val="fr-FR"/>
        </w:rPr>
        <w:t>... »</w:t>
      </w:r>
    </w:p>
    <w:p w14:paraId="24B157AB" w14:textId="77777777" w:rsidR="00127D4A" w:rsidRPr="00127D4A" w:rsidRDefault="00127D4A" w:rsidP="00127D4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7D4A" w:rsidRPr="00127D4A" w:rsidSect="0090730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6FC6" w14:textId="77777777" w:rsidR="005C5A05" w:rsidRDefault="005C5A05" w:rsidP="00F95C08">
      <w:pPr>
        <w:spacing w:line="240" w:lineRule="auto"/>
      </w:pPr>
    </w:p>
  </w:endnote>
  <w:endnote w:type="continuationSeparator" w:id="0">
    <w:p w14:paraId="0506E515" w14:textId="77777777" w:rsidR="005C5A05" w:rsidRPr="00AC3823" w:rsidRDefault="005C5A05" w:rsidP="00AC3823">
      <w:pPr>
        <w:pStyle w:val="Footer"/>
      </w:pPr>
    </w:p>
  </w:endnote>
  <w:endnote w:type="continuationNotice" w:id="1">
    <w:p w14:paraId="2E55818D" w14:textId="77777777" w:rsidR="005C5A05" w:rsidRDefault="005C5A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0DAA" w14:textId="77777777" w:rsidR="00907305" w:rsidRPr="00907305" w:rsidRDefault="00907305" w:rsidP="00907305">
    <w:pPr>
      <w:pStyle w:val="Footer"/>
      <w:tabs>
        <w:tab w:val="right" w:pos="9638"/>
      </w:tabs>
    </w:pPr>
    <w:r w:rsidRPr="00907305">
      <w:rPr>
        <w:b/>
        <w:sz w:val="18"/>
      </w:rPr>
      <w:fldChar w:fldCharType="begin"/>
    </w:r>
    <w:r w:rsidRPr="00907305">
      <w:rPr>
        <w:b/>
        <w:sz w:val="18"/>
      </w:rPr>
      <w:instrText xml:space="preserve"> PAGE  \* MERGEFORMAT </w:instrText>
    </w:r>
    <w:r w:rsidRPr="00907305">
      <w:rPr>
        <w:b/>
        <w:sz w:val="18"/>
      </w:rPr>
      <w:fldChar w:fldCharType="separate"/>
    </w:r>
    <w:r w:rsidRPr="00907305">
      <w:rPr>
        <w:b/>
        <w:noProof/>
        <w:sz w:val="18"/>
      </w:rPr>
      <w:t>2</w:t>
    </w:r>
    <w:r w:rsidRPr="00907305">
      <w:rPr>
        <w:b/>
        <w:sz w:val="18"/>
      </w:rPr>
      <w:fldChar w:fldCharType="end"/>
    </w:r>
    <w:r>
      <w:rPr>
        <w:b/>
        <w:sz w:val="18"/>
      </w:rPr>
      <w:tab/>
    </w:r>
    <w:r>
      <w:t>GE.20-05464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DE19" w14:textId="77777777" w:rsidR="00907305" w:rsidRPr="00907305" w:rsidRDefault="00907305" w:rsidP="00907305">
    <w:pPr>
      <w:pStyle w:val="Footer"/>
      <w:tabs>
        <w:tab w:val="right" w:pos="9638"/>
      </w:tabs>
      <w:rPr>
        <w:b/>
        <w:sz w:val="18"/>
      </w:rPr>
    </w:pPr>
    <w:r>
      <w:t>GE.20-05464</w:t>
    </w:r>
    <w:r>
      <w:tab/>
    </w:r>
    <w:r w:rsidRPr="00907305">
      <w:rPr>
        <w:b/>
        <w:sz w:val="18"/>
      </w:rPr>
      <w:fldChar w:fldCharType="begin"/>
    </w:r>
    <w:r w:rsidRPr="00907305">
      <w:rPr>
        <w:b/>
        <w:sz w:val="18"/>
      </w:rPr>
      <w:instrText xml:space="preserve"> PAGE  \* MERGEFORMAT </w:instrText>
    </w:r>
    <w:r w:rsidRPr="00907305">
      <w:rPr>
        <w:b/>
        <w:sz w:val="18"/>
      </w:rPr>
      <w:fldChar w:fldCharType="separate"/>
    </w:r>
    <w:r w:rsidRPr="00907305">
      <w:rPr>
        <w:b/>
        <w:noProof/>
        <w:sz w:val="18"/>
      </w:rPr>
      <w:t>3</w:t>
    </w:r>
    <w:r w:rsidRPr="009073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1E21" w14:textId="77777777" w:rsidR="0068456F" w:rsidRPr="00907305" w:rsidRDefault="00907305" w:rsidP="00907305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A0EE3B9" wp14:editId="1842F0C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20-05464  (F)    121020    1</w:t>
    </w:r>
    <w:r w:rsidR="00722790">
      <w:rPr>
        <w:sz w:val="20"/>
      </w:rPr>
      <w:t>3</w:t>
    </w:r>
    <w:r>
      <w:rPr>
        <w:sz w:val="20"/>
      </w:rPr>
      <w:t>1020</w:t>
    </w:r>
    <w:r>
      <w:rPr>
        <w:sz w:val="20"/>
      </w:rPr>
      <w:br/>
    </w:r>
    <w:r w:rsidRPr="00907305">
      <w:rPr>
        <w:rFonts w:ascii="C39T30Lfz" w:hAnsi="C39T30Lfz"/>
        <w:sz w:val="56"/>
      </w:rPr>
      <w:t>*2005464*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B1C8B9D" wp14:editId="7124E72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F0B6" w14:textId="77777777" w:rsidR="005C5A05" w:rsidRPr="00AC3823" w:rsidRDefault="005C5A0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C6272B" w14:textId="77777777" w:rsidR="005C5A05" w:rsidRPr="00AC3823" w:rsidRDefault="005C5A0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BC11DE" w14:textId="77777777" w:rsidR="005C5A05" w:rsidRPr="00AC3823" w:rsidRDefault="005C5A05">
      <w:pPr>
        <w:spacing w:line="240" w:lineRule="auto"/>
        <w:rPr>
          <w:sz w:val="2"/>
          <w:szCs w:val="2"/>
        </w:rPr>
      </w:pPr>
    </w:p>
  </w:footnote>
  <w:footnote w:id="2">
    <w:p w14:paraId="2FC43981" w14:textId="77777777" w:rsidR="00127D4A" w:rsidRPr="00127D4A" w:rsidRDefault="00127D4A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127D4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27D4A">
        <w:rPr>
          <w:szCs w:val="18"/>
        </w:rPr>
        <w:t>Sous-programme 2 du budget-programme pour 2020 (A/74/6 (</w:t>
      </w:r>
      <w:r>
        <w:rPr>
          <w:szCs w:val="18"/>
        </w:rPr>
        <w:t>s</w:t>
      </w:r>
      <w:r w:rsidRPr="00127D4A">
        <w:rPr>
          <w:szCs w:val="18"/>
        </w:rPr>
        <w:t>ect. 20)) et informations complémentaires.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42A0" w14:textId="5E4862D7" w:rsidR="00907305" w:rsidRPr="00907305" w:rsidRDefault="00332730">
    <w:pPr>
      <w:pStyle w:val="Header"/>
    </w:pPr>
    <w:fldSimple w:instr=" TITLE  \* MERGEFORMAT ">
      <w:r>
        <w:t>ST/SG/AC.10/C.3/2020/43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95E8" w14:textId="45165D1B" w:rsidR="00907305" w:rsidRPr="00907305" w:rsidRDefault="00332730" w:rsidP="00907305">
    <w:pPr>
      <w:pStyle w:val="Header"/>
      <w:jc w:val="right"/>
    </w:pPr>
    <w:fldSimple w:instr=" TITLE  \* MERGEFORMAT ">
      <w:r>
        <w:t>ST/SG/AC.10/C.3/2020/43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05"/>
    <w:rsid w:val="00017F94"/>
    <w:rsid w:val="00023842"/>
    <w:rsid w:val="000305D3"/>
    <w:rsid w:val="000334F9"/>
    <w:rsid w:val="0007796D"/>
    <w:rsid w:val="000B7790"/>
    <w:rsid w:val="00111F2F"/>
    <w:rsid w:val="00127D4A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32730"/>
    <w:rsid w:val="00436F06"/>
    <w:rsid w:val="00441C3B"/>
    <w:rsid w:val="00446FE5"/>
    <w:rsid w:val="00452396"/>
    <w:rsid w:val="004E468C"/>
    <w:rsid w:val="005425CC"/>
    <w:rsid w:val="005505B7"/>
    <w:rsid w:val="00556F84"/>
    <w:rsid w:val="00573BE5"/>
    <w:rsid w:val="0058122A"/>
    <w:rsid w:val="00584DC4"/>
    <w:rsid w:val="00586ED3"/>
    <w:rsid w:val="00596AA9"/>
    <w:rsid w:val="005C5A05"/>
    <w:rsid w:val="0068456F"/>
    <w:rsid w:val="0071601D"/>
    <w:rsid w:val="00722790"/>
    <w:rsid w:val="007A62E6"/>
    <w:rsid w:val="0080684C"/>
    <w:rsid w:val="00871C75"/>
    <w:rsid w:val="008776DC"/>
    <w:rsid w:val="008B40CD"/>
    <w:rsid w:val="008D28E8"/>
    <w:rsid w:val="00907305"/>
    <w:rsid w:val="009705C8"/>
    <w:rsid w:val="009848A2"/>
    <w:rsid w:val="009C1CF4"/>
    <w:rsid w:val="00A10B2D"/>
    <w:rsid w:val="00A30353"/>
    <w:rsid w:val="00AC3823"/>
    <w:rsid w:val="00AE323C"/>
    <w:rsid w:val="00B00181"/>
    <w:rsid w:val="00B00B0D"/>
    <w:rsid w:val="00B25D6A"/>
    <w:rsid w:val="00B765F7"/>
    <w:rsid w:val="00BA0CA9"/>
    <w:rsid w:val="00C02897"/>
    <w:rsid w:val="00D3439C"/>
    <w:rsid w:val="00D57022"/>
    <w:rsid w:val="00DB1831"/>
    <w:rsid w:val="00DD3BFD"/>
    <w:rsid w:val="00DF6678"/>
    <w:rsid w:val="00EF2E22"/>
    <w:rsid w:val="00F01738"/>
    <w:rsid w:val="00F660DF"/>
    <w:rsid w:val="00F730C8"/>
    <w:rsid w:val="00F95C08"/>
    <w:rsid w:val="00F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BA3942"/>
  <w15:docId w15:val="{2DF57B6B-D787-4AD1-A74E-302B7D97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0DD7F-057C-4A08-9BD9-8997402EF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D3B6D-094E-4654-9125-036D0A1C1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AF77B-841A-4C21-9F3C-B92393190A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ST/SG/AC.10/C.3/2020/43</vt:lpstr>
    </vt:vector>
  </TitlesOfParts>
  <Company>DCM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ST/SG/AC.10/C.3/2020/43</dc:title>
  <dc:subject/>
  <dc:creator>Christine CHAUTAGNAT</dc:creator>
  <cp:keywords/>
  <cp:lastModifiedBy>Laurence Berthet</cp:lastModifiedBy>
  <cp:revision>2</cp:revision>
  <cp:lastPrinted>2020-10-13T06:09:00Z</cp:lastPrinted>
  <dcterms:created xsi:type="dcterms:W3CDTF">2020-10-13T08:21:00Z</dcterms:created>
  <dcterms:modified xsi:type="dcterms:W3CDTF">2020-10-13T08:21:00Z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