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3A0D95B2" w14:textId="77777777" w:rsidTr="00F01738">
        <w:trPr>
          <w:trHeight w:hRule="exact" w:val="851"/>
        </w:trPr>
        <w:tc>
          <w:tcPr>
            <w:tcW w:w="1276" w:type="dxa"/>
            <w:tcBorders>
              <w:bottom w:val="single" w:sz="4" w:space="0" w:color="auto"/>
            </w:tcBorders>
          </w:tcPr>
          <w:p w14:paraId="20441DAA" w14:textId="77777777" w:rsidR="00132EA9" w:rsidRPr="00DB58B5" w:rsidRDefault="00132EA9" w:rsidP="00560D32"/>
        </w:tc>
        <w:tc>
          <w:tcPr>
            <w:tcW w:w="2268" w:type="dxa"/>
            <w:tcBorders>
              <w:bottom w:val="single" w:sz="4" w:space="0" w:color="auto"/>
            </w:tcBorders>
            <w:vAlign w:val="bottom"/>
          </w:tcPr>
          <w:p w14:paraId="7032B688"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4916CF3" w14:textId="77777777" w:rsidR="00132EA9" w:rsidRPr="00DB58B5" w:rsidRDefault="00560D32" w:rsidP="00560D32">
            <w:pPr>
              <w:jc w:val="right"/>
            </w:pPr>
            <w:r w:rsidRPr="00560D32">
              <w:rPr>
                <w:sz w:val="40"/>
              </w:rPr>
              <w:t>ST</w:t>
            </w:r>
            <w:r>
              <w:t>/SG/AC.10/C.3/2020/40</w:t>
            </w:r>
          </w:p>
        </w:tc>
      </w:tr>
      <w:tr w:rsidR="00132EA9" w:rsidRPr="00DB58B5" w14:paraId="16377BB9" w14:textId="77777777" w:rsidTr="00F01738">
        <w:trPr>
          <w:trHeight w:hRule="exact" w:val="2835"/>
        </w:trPr>
        <w:tc>
          <w:tcPr>
            <w:tcW w:w="1276" w:type="dxa"/>
            <w:tcBorders>
              <w:top w:val="single" w:sz="4" w:space="0" w:color="auto"/>
              <w:bottom w:val="single" w:sz="12" w:space="0" w:color="auto"/>
            </w:tcBorders>
          </w:tcPr>
          <w:p w14:paraId="3634AB53" w14:textId="77777777" w:rsidR="00132EA9" w:rsidRPr="00DB58B5" w:rsidRDefault="00132EA9" w:rsidP="00F01738">
            <w:pPr>
              <w:spacing w:before="120"/>
              <w:jc w:val="center"/>
            </w:pPr>
            <w:r>
              <w:rPr>
                <w:noProof/>
                <w:lang w:eastAsia="fr-CH"/>
              </w:rPr>
              <w:drawing>
                <wp:inline distT="0" distB="0" distL="0" distR="0" wp14:anchorId="027C7715" wp14:editId="7BF1252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D9D6AF1"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3B1C6695" w14:textId="77777777" w:rsidR="00132EA9" w:rsidRDefault="00560D32" w:rsidP="00F01738">
            <w:pPr>
              <w:spacing w:before="240"/>
            </w:pPr>
            <w:r>
              <w:t xml:space="preserve">Distr. </w:t>
            </w:r>
            <w:proofErr w:type="gramStart"/>
            <w:r>
              <w:t>générale</w:t>
            </w:r>
            <w:proofErr w:type="gramEnd"/>
          </w:p>
          <w:p w14:paraId="4B984376" w14:textId="77777777" w:rsidR="00560D32" w:rsidRDefault="00560D32" w:rsidP="00560D32">
            <w:pPr>
              <w:spacing w:line="240" w:lineRule="exact"/>
            </w:pPr>
            <w:r>
              <w:t>9 avril 2020</w:t>
            </w:r>
          </w:p>
          <w:p w14:paraId="2B60DDD6" w14:textId="77777777" w:rsidR="00560D32" w:rsidRDefault="00560D32" w:rsidP="00560D32">
            <w:pPr>
              <w:spacing w:line="240" w:lineRule="exact"/>
            </w:pPr>
            <w:r>
              <w:t>Français</w:t>
            </w:r>
          </w:p>
          <w:p w14:paraId="3E2B17A9" w14:textId="77777777" w:rsidR="00560D32" w:rsidRPr="00DB58B5" w:rsidRDefault="00560D32" w:rsidP="00560D32">
            <w:pPr>
              <w:spacing w:line="240" w:lineRule="exact"/>
            </w:pPr>
            <w:r>
              <w:t>Original : anglais</w:t>
            </w:r>
          </w:p>
        </w:tc>
      </w:tr>
    </w:tbl>
    <w:p w14:paraId="69922D10" w14:textId="77777777" w:rsidR="00560D32" w:rsidRPr="00CA0680" w:rsidRDefault="00560D32" w:rsidP="000305D3">
      <w:pPr>
        <w:spacing w:before="120"/>
        <w:rPr>
          <w:b/>
          <w:sz w:val="24"/>
          <w:szCs w:val="24"/>
        </w:rPr>
      </w:pPr>
      <w:r w:rsidRPr="00CA0680">
        <w:rPr>
          <w:b/>
          <w:sz w:val="24"/>
          <w:szCs w:val="24"/>
        </w:rPr>
        <w:t>Comité d</w:t>
      </w:r>
      <w:r w:rsidR="00DA2AF8">
        <w:rPr>
          <w:b/>
          <w:sz w:val="24"/>
          <w:szCs w:val="24"/>
        </w:rPr>
        <w:t>’</w:t>
      </w:r>
      <w:r w:rsidRPr="00CA0680">
        <w:rPr>
          <w:b/>
          <w:sz w:val="24"/>
          <w:szCs w:val="24"/>
        </w:rPr>
        <w:t>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w:t>
      </w:r>
      <w:r w:rsidR="00DA2AF8">
        <w:rPr>
          <w:b/>
          <w:sz w:val="24"/>
          <w:szCs w:val="24"/>
        </w:rPr>
        <w:t>’</w:t>
      </w:r>
      <w:r w:rsidRPr="00CA0680">
        <w:rPr>
          <w:b/>
          <w:sz w:val="24"/>
          <w:szCs w:val="24"/>
        </w:rPr>
        <w:t>étiquetage</w:t>
      </w:r>
      <w:r>
        <w:rPr>
          <w:b/>
          <w:sz w:val="24"/>
          <w:szCs w:val="24"/>
        </w:rPr>
        <w:t xml:space="preserve"> </w:t>
      </w:r>
      <w:r w:rsidRPr="00CA0680">
        <w:rPr>
          <w:b/>
          <w:sz w:val="24"/>
          <w:szCs w:val="24"/>
        </w:rPr>
        <w:t>des produits chimiques</w:t>
      </w:r>
    </w:p>
    <w:p w14:paraId="27D7BC3F" w14:textId="77777777" w:rsidR="00560D32" w:rsidRPr="00CA0680" w:rsidRDefault="00560D32" w:rsidP="000305D3">
      <w:pPr>
        <w:spacing w:before="120"/>
        <w:rPr>
          <w:b/>
        </w:rPr>
      </w:pPr>
      <w:r w:rsidRPr="00CA0680">
        <w:rPr>
          <w:b/>
        </w:rPr>
        <w:t>Sous</w:t>
      </w:r>
      <w:r>
        <w:rPr>
          <w:b/>
        </w:rPr>
        <w:t>-</w:t>
      </w:r>
      <w:r w:rsidRPr="00CA0680">
        <w:rPr>
          <w:b/>
        </w:rPr>
        <w:t>Comité d</w:t>
      </w:r>
      <w:r w:rsidR="00DA2AF8">
        <w:rPr>
          <w:b/>
        </w:rPr>
        <w:t>’</w:t>
      </w:r>
      <w:r w:rsidRPr="00CA0680">
        <w:rPr>
          <w:b/>
        </w:rPr>
        <w:t>experts du transport des marchandises dangereuses</w:t>
      </w:r>
    </w:p>
    <w:p w14:paraId="1A5D72EA" w14:textId="77777777" w:rsidR="00560D32" w:rsidRDefault="00560D32" w:rsidP="000305D3">
      <w:pPr>
        <w:spacing w:before="120"/>
        <w:rPr>
          <w:b/>
        </w:rPr>
      </w:pPr>
      <w:r>
        <w:rPr>
          <w:b/>
          <w:bCs/>
          <w:lang w:val="fr-FR"/>
        </w:rPr>
        <w:t>Cinquante-septième</w:t>
      </w:r>
      <w:r>
        <w:rPr>
          <w:b/>
        </w:rPr>
        <w:t xml:space="preserve"> </w:t>
      </w:r>
      <w:r w:rsidRPr="00CA0680">
        <w:rPr>
          <w:b/>
        </w:rPr>
        <w:t>session</w:t>
      </w:r>
    </w:p>
    <w:p w14:paraId="0E0E2D10" w14:textId="77777777" w:rsidR="00560D32" w:rsidRDefault="00560D32" w:rsidP="000305D3">
      <w:r>
        <w:t xml:space="preserve">Genève, </w:t>
      </w:r>
      <w:r>
        <w:rPr>
          <w:lang w:val="fr-FR"/>
        </w:rPr>
        <w:t>29 juin-8 juillet 2020</w:t>
      </w:r>
    </w:p>
    <w:p w14:paraId="50E37F2D" w14:textId="77777777" w:rsidR="00560D32" w:rsidRDefault="00560D32" w:rsidP="000305D3">
      <w:r>
        <w:t>Point </w:t>
      </w:r>
      <w:r>
        <w:rPr>
          <w:lang w:val="fr-FR"/>
        </w:rPr>
        <w:t xml:space="preserve">4 c) </w:t>
      </w:r>
      <w:r>
        <w:t>de l</w:t>
      </w:r>
      <w:r w:rsidR="00DA2AF8">
        <w:t>’</w:t>
      </w:r>
      <w:r>
        <w:t>ordre du jour provisoire</w:t>
      </w:r>
    </w:p>
    <w:p w14:paraId="4292BC50" w14:textId="77777777" w:rsidR="00560D32" w:rsidRPr="0047302C" w:rsidRDefault="00560D32" w:rsidP="00560D32">
      <w:pPr>
        <w:rPr>
          <w:rFonts w:eastAsia="Malgun Gothic"/>
          <w:b/>
          <w:bCs/>
        </w:rPr>
      </w:pPr>
      <w:r>
        <w:rPr>
          <w:b/>
          <w:bCs/>
          <w:lang w:val="fr-FR"/>
        </w:rPr>
        <w:t>Systèmes de stockage de l</w:t>
      </w:r>
      <w:r w:rsidR="00DA2AF8">
        <w:rPr>
          <w:b/>
          <w:bCs/>
          <w:lang w:val="fr-FR"/>
        </w:rPr>
        <w:t>’</w:t>
      </w:r>
      <w:r>
        <w:rPr>
          <w:b/>
          <w:bCs/>
          <w:lang w:val="fr-FR"/>
        </w:rPr>
        <w:t xml:space="preserve">électricité : </w:t>
      </w:r>
      <w:r w:rsidR="003A57D1">
        <w:rPr>
          <w:b/>
          <w:bCs/>
          <w:lang w:val="fr-FR"/>
        </w:rPr>
        <w:br/>
      </w:r>
      <w:r>
        <w:rPr>
          <w:b/>
          <w:bCs/>
          <w:lang w:val="fr-FR"/>
        </w:rPr>
        <w:t>dispositions relatives</w:t>
      </w:r>
      <w:r w:rsidR="003A57D1">
        <w:rPr>
          <w:b/>
          <w:bCs/>
          <w:lang w:val="fr-FR"/>
        </w:rPr>
        <w:t xml:space="preserve"> </w:t>
      </w:r>
      <w:r>
        <w:rPr>
          <w:b/>
          <w:bCs/>
          <w:lang w:val="fr-FR"/>
        </w:rPr>
        <w:t>au</w:t>
      </w:r>
      <w:r w:rsidR="003A57D1">
        <w:rPr>
          <w:b/>
          <w:bCs/>
          <w:lang w:val="fr-FR"/>
        </w:rPr>
        <w:t xml:space="preserve"> </w:t>
      </w:r>
      <w:r>
        <w:rPr>
          <w:b/>
          <w:bCs/>
          <w:lang w:val="fr-FR"/>
        </w:rPr>
        <w:t>transport</w:t>
      </w:r>
    </w:p>
    <w:p w14:paraId="124F102C" w14:textId="77777777" w:rsidR="00560D32" w:rsidRPr="0047302C" w:rsidRDefault="00560D32" w:rsidP="00560D32">
      <w:pPr>
        <w:pStyle w:val="HChG"/>
      </w:pPr>
      <w:r>
        <w:rPr>
          <w:lang w:val="fr-FR"/>
        </w:rPr>
        <w:tab/>
      </w:r>
      <w:r>
        <w:rPr>
          <w:lang w:val="fr-FR"/>
        </w:rPr>
        <w:tab/>
        <w:t>Révision du chapitre 2.9.4 en vue de distinguer le système de gestion de la qualité des prescriptions relatives à la classification</w:t>
      </w:r>
    </w:p>
    <w:p w14:paraId="7E2C29EB" w14:textId="77777777" w:rsidR="00560D32" w:rsidRPr="0047302C" w:rsidRDefault="00560D32" w:rsidP="00560D32">
      <w:pPr>
        <w:pStyle w:val="H1G"/>
      </w:pPr>
      <w:r>
        <w:rPr>
          <w:lang w:val="fr-FR"/>
        </w:rPr>
        <w:tab/>
      </w:r>
      <w:r>
        <w:rPr>
          <w:lang w:val="fr-FR"/>
        </w:rPr>
        <w:tab/>
        <w:t>Communication de l</w:t>
      </w:r>
      <w:r w:rsidR="00DA2AF8">
        <w:rPr>
          <w:lang w:val="fr-FR"/>
        </w:rPr>
        <w:t>’</w:t>
      </w:r>
      <w:r>
        <w:rPr>
          <w:lang w:val="fr-FR"/>
        </w:rPr>
        <w:t>Association du transport aérien international (IATA)</w:t>
      </w:r>
      <w:r w:rsidRPr="00560D32">
        <w:rPr>
          <w:rStyle w:val="FootnoteReference"/>
          <w:b w:val="0"/>
          <w:sz w:val="20"/>
          <w:vertAlign w:val="baseline"/>
        </w:rPr>
        <w:footnoteReference w:customMarkFollows="1" w:id="2"/>
        <w:t>*</w:t>
      </w:r>
    </w:p>
    <w:p w14:paraId="7F511693" w14:textId="77777777" w:rsidR="00560D32" w:rsidRPr="0047302C" w:rsidRDefault="00560D32" w:rsidP="00560D32">
      <w:pPr>
        <w:pStyle w:val="HChG"/>
      </w:pPr>
      <w:r>
        <w:rPr>
          <w:lang w:val="fr-FR"/>
        </w:rPr>
        <w:tab/>
      </w:r>
      <w:r>
        <w:rPr>
          <w:lang w:val="fr-FR"/>
        </w:rPr>
        <w:tab/>
        <w:t>Introduction</w:t>
      </w:r>
    </w:p>
    <w:p w14:paraId="64DC0F7E" w14:textId="77777777" w:rsidR="00560D32" w:rsidRPr="0047302C" w:rsidRDefault="00560D32" w:rsidP="00560D32">
      <w:pPr>
        <w:pStyle w:val="SingleTxtG"/>
      </w:pPr>
      <w:r>
        <w:rPr>
          <w:lang w:val="fr-FR"/>
        </w:rPr>
        <w:t>1.</w:t>
      </w:r>
      <w:r>
        <w:rPr>
          <w:lang w:val="fr-FR"/>
        </w:rPr>
        <w:tab/>
        <w:t>À la cinquante-sixième session du Sous-Comité, l</w:t>
      </w:r>
      <w:r w:rsidR="00DA2AF8">
        <w:rPr>
          <w:lang w:val="fr-FR"/>
        </w:rPr>
        <w:t>’</w:t>
      </w:r>
      <w:r>
        <w:rPr>
          <w:lang w:val="fr-FR"/>
        </w:rPr>
        <w:t>IATA a soumis le document informel INF.20 tendant à ouvrir un débat sur la nécessité, pour les expéditeurs de piles ou de batteries au lithium (Nos ONU 3090, 3091, 3480 ou 3481) dont ils ne sont pas les fabricants, de disposer d</w:t>
      </w:r>
      <w:r w:rsidR="00DA2AF8">
        <w:rPr>
          <w:lang w:val="fr-FR"/>
        </w:rPr>
        <w:t>’</w:t>
      </w:r>
      <w:r>
        <w:rPr>
          <w:lang w:val="fr-FR"/>
        </w:rPr>
        <w:t>une preuve du programme de gestion de la qualité du fabricant.</w:t>
      </w:r>
    </w:p>
    <w:p w14:paraId="694B4BFB" w14:textId="77777777" w:rsidR="00560D32" w:rsidRPr="0047302C" w:rsidRDefault="00560D32" w:rsidP="00560D32">
      <w:pPr>
        <w:pStyle w:val="SingleTxtG"/>
      </w:pPr>
      <w:r>
        <w:rPr>
          <w:lang w:val="fr-FR"/>
        </w:rPr>
        <w:t>2.</w:t>
      </w:r>
      <w:r>
        <w:rPr>
          <w:lang w:val="fr-FR"/>
        </w:rPr>
        <w:tab/>
        <w:t>Au cours d</w:t>
      </w:r>
      <w:r w:rsidR="00DA2AF8">
        <w:rPr>
          <w:lang w:val="fr-FR"/>
        </w:rPr>
        <w:t>’</w:t>
      </w:r>
      <w:r>
        <w:rPr>
          <w:lang w:val="fr-FR"/>
        </w:rPr>
        <w:t>une discussion informelle pendant une pause-café lors de la cinquante</w:t>
      </w:r>
      <w:r w:rsidR="003A57D1">
        <w:rPr>
          <w:lang w:val="fr-FR"/>
        </w:rPr>
        <w:noBreakHyphen/>
      </w:r>
      <w:r>
        <w:rPr>
          <w:lang w:val="fr-FR"/>
        </w:rPr>
        <w:t>sixième session, les experts se sont accordés sur le fait que le fabricant n</w:t>
      </w:r>
      <w:r w:rsidR="00DA2AF8">
        <w:rPr>
          <w:lang w:val="fr-FR"/>
        </w:rPr>
        <w:t>’</w:t>
      </w:r>
      <w:r>
        <w:rPr>
          <w:lang w:val="fr-FR"/>
        </w:rPr>
        <w:t>était pas tenu de fournir la preuve d</w:t>
      </w:r>
      <w:r w:rsidR="00DA2AF8">
        <w:rPr>
          <w:lang w:val="fr-FR"/>
        </w:rPr>
        <w:t>’</w:t>
      </w:r>
      <w:r>
        <w:rPr>
          <w:lang w:val="fr-FR"/>
        </w:rPr>
        <w:t>un programme de gestion de la qualité à toute autre partie que l</w:t>
      </w:r>
      <w:r w:rsidR="00DA2AF8">
        <w:rPr>
          <w:lang w:val="fr-FR"/>
        </w:rPr>
        <w:t>’</w:t>
      </w:r>
      <w:r>
        <w:rPr>
          <w:lang w:val="fr-FR"/>
        </w:rPr>
        <w:t>autorité compétente.</w:t>
      </w:r>
    </w:p>
    <w:p w14:paraId="08AEDC04" w14:textId="77777777" w:rsidR="00560D32" w:rsidRPr="0047302C" w:rsidRDefault="00560D32" w:rsidP="00560D32">
      <w:pPr>
        <w:pStyle w:val="SingleTxtG"/>
      </w:pPr>
      <w:r>
        <w:rPr>
          <w:lang w:val="fr-FR"/>
        </w:rPr>
        <w:t>3.</w:t>
      </w:r>
      <w:r>
        <w:rPr>
          <w:lang w:val="fr-FR"/>
        </w:rPr>
        <w:tab/>
        <w:t>Sur la base de cette discussion informelle, il est proposé dans le présent document une légère restructuration du point 2.9.4 afin de distinguer la disposition exigeant que les piles et batteries au lithium soient fabriquées dans le cadre d</w:t>
      </w:r>
      <w:r w:rsidR="00DA2AF8">
        <w:rPr>
          <w:lang w:val="fr-FR"/>
        </w:rPr>
        <w:t>’</w:t>
      </w:r>
      <w:r>
        <w:rPr>
          <w:lang w:val="fr-FR"/>
        </w:rPr>
        <w:t>un programme de gestion de la qualité des dispositions applicables à la classification des piles et batteries au lithium auxquelles</w:t>
      </w:r>
      <w:r w:rsidRPr="00246E9E">
        <w:rPr>
          <w:lang w:val="fr-FR"/>
        </w:rPr>
        <w:t xml:space="preserve"> </w:t>
      </w:r>
      <w:r>
        <w:rPr>
          <w:lang w:val="fr-FR"/>
        </w:rPr>
        <w:t>sont soumis les expéditeurs lorsqu</w:t>
      </w:r>
      <w:r w:rsidR="00DA2AF8">
        <w:rPr>
          <w:lang w:val="fr-FR"/>
        </w:rPr>
        <w:t>’</w:t>
      </w:r>
      <w:r>
        <w:rPr>
          <w:lang w:val="fr-FR"/>
        </w:rPr>
        <w:t>ils proposent des piles ou batteries au transport.</w:t>
      </w:r>
    </w:p>
    <w:p w14:paraId="373B3449" w14:textId="77777777" w:rsidR="00560D32" w:rsidRPr="0047302C" w:rsidRDefault="00560D32" w:rsidP="00560D32">
      <w:pPr>
        <w:pStyle w:val="SingleTxtG"/>
      </w:pPr>
      <w:r>
        <w:rPr>
          <w:lang w:val="fr-FR"/>
        </w:rPr>
        <w:t>4.</w:t>
      </w:r>
      <w:r>
        <w:rPr>
          <w:lang w:val="fr-FR"/>
        </w:rPr>
        <w:tab/>
        <w:t xml:space="preserve">La deuxième phrase du paragraphe introductif du point 2.9.4 est actuellement formulée comme suit : « Elles </w:t>
      </w:r>
      <w:r w:rsidRPr="00246E9E">
        <w:rPr>
          <w:i/>
          <w:iCs/>
          <w:lang w:val="fr-FR"/>
        </w:rPr>
        <w:t>[les piles et batteries au lithium]</w:t>
      </w:r>
      <w:r>
        <w:rPr>
          <w:lang w:val="fr-FR"/>
        </w:rPr>
        <w:t xml:space="preserve"> peuvent être transportées au titre de ces rubriques si elles satisfont aux dispositions ci-après : ». Cela implique que les transporteurs sont également responsables, mais étant donné que ce sont des dispositions qui s</w:t>
      </w:r>
      <w:r w:rsidR="00DA2AF8">
        <w:rPr>
          <w:lang w:val="fr-FR"/>
        </w:rPr>
        <w:t>’</w:t>
      </w:r>
      <w:r>
        <w:rPr>
          <w:lang w:val="fr-FR"/>
        </w:rPr>
        <w:t>appliquent pour permettre l</w:t>
      </w:r>
      <w:r w:rsidR="00DA2AF8">
        <w:rPr>
          <w:lang w:val="fr-FR"/>
        </w:rPr>
        <w:t>’</w:t>
      </w:r>
      <w:r>
        <w:rPr>
          <w:lang w:val="fr-FR"/>
        </w:rPr>
        <w:t>expédition de piles ou batteries au lithium, c</w:t>
      </w:r>
      <w:r w:rsidR="00DA2AF8">
        <w:rPr>
          <w:lang w:val="fr-FR"/>
        </w:rPr>
        <w:t>’</w:t>
      </w:r>
      <w:r>
        <w:rPr>
          <w:lang w:val="fr-FR"/>
        </w:rPr>
        <w:t>est l</w:t>
      </w:r>
      <w:r w:rsidR="00DA2AF8">
        <w:rPr>
          <w:lang w:val="fr-FR"/>
        </w:rPr>
        <w:t>’</w:t>
      </w:r>
      <w:r>
        <w:rPr>
          <w:lang w:val="fr-FR"/>
        </w:rPr>
        <w:t xml:space="preserve">expéditeur </w:t>
      </w:r>
      <w:r>
        <w:rPr>
          <w:lang w:val="fr-FR"/>
        </w:rPr>
        <w:lastRenderedPageBreak/>
        <w:t>qui est responsable. Par conséquent, la phrase devrait se lire comme suit : « Elles peuvent être présentées au transport... ».</w:t>
      </w:r>
    </w:p>
    <w:p w14:paraId="75519C26" w14:textId="77777777" w:rsidR="00560D32" w:rsidRPr="0047302C" w:rsidRDefault="00560D32" w:rsidP="00560D32">
      <w:pPr>
        <w:pStyle w:val="SingleTxtG"/>
      </w:pPr>
      <w:r>
        <w:rPr>
          <w:lang w:val="fr-FR"/>
        </w:rPr>
        <w:t>5.</w:t>
      </w:r>
      <w:r>
        <w:rPr>
          <w:lang w:val="fr-FR"/>
        </w:rPr>
        <w:tab/>
        <w:t>Il a également été constaté que la liste des numéros ONU auxquels les dispositions du point 2.9.4 s</w:t>
      </w:r>
      <w:r w:rsidR="00DA2AF8">
        <w:rPr>
          <w:lang w:val="fr-FR"/>
        </w:rPr>
        <w:t>’</w:t>
      </w:r>
      <w:r>
        <w:rPr>
          <w:lang w:val="fr-FR"/>
        </w:rPr>
        <w:t>appliquent ne comprend pas le No ONU 3536 BATTERIES AU LITHIUM INSTALLÉES DANS DES ENGINS DE TRANSPORT. L</w:t>
      </w:r>
      <w:r w:rsidR="00DA2AF8">
        <w:rPr>
          <w:lang w:val="fr-FR"/>
        </w:rPr>
        <w:t>’</w:t>
      </w:r>
      <w:r>
        <w:rPr>
          <w:lang w:val="fr-FR"/>
        </w:rPr>
        <w:t>IATA est d</w:t>
      </w:r>
      <w:r w:rsidR="00DA2AF8">
        <w:rPr>
          <w:lang w:val="fr-FR"/>
        </w:rPr>
        <w:t>’</w:t>
      </w:r>
      <w:r>
        <w:rPr>
          <w:lang w:val="fr-FR"/>
        </w:rPr>
        <w:t>avis que ce numéro ONU devrait être inclus dans cette liste.</w:t>
      </w:r>
    </w:p>
    <w:p w14:paraId="56E05085" w14:textId="77777777" w:rsidR="00560D32" w:rsidRPr="0047302C" w:rsidRDefault="00560D32" w:rsidP="00560D32">
      <w:pPr>
        <w:pStyle w:val="SingleTxtG"/>
      </w:pPr>
      <w:r>
        <w:rPr>
          <w:lang w:val="fr-FR"/>
        </w:rPr>
        <w:t>6.</w:t>
      </w:r>
      <w:r>
        <w:rPr>
          <w:lang w:val="fr-FR"/>
        </w:rPr>
        <w:tab/>
        <w:t>Si la proposition de révision du point 2.9.4 est acceptée, des modifications corrélatives d</w:t>
      </w:r>
      <w:r w:rsidR="00DA2AF8">
        <w:rPr>
          <w:lang w:val="fr-FR"/>
        </w:rPr>
        <w:t>’</w:t>
      </w:r>
      <w:r>
        <w:rPr>
          <w:lang w:val="fr-FR"/>
        </w:rPr>
        <w:t>autres parties du Règlement type seront nécessaires pour que les renvois visent le paragraphe adéquat.</w:t>
      </w:r>
    </w:p>
    <w:p w14:paraId="767DDBC0" w14:textId="77777777" w:rsidR="00560D32" w:rsidRPr="0047302C" w:rsidRDefault="00560D32" w:rsidP="00560D32">
      <w:pPr>
        <w:pStyle w:val="HChG"/>
      </w:pPr>
      <w:r>
        <w:rPr>
          <w:lang w:val="fr-FR"/>
        </w:rPr>
        <w:tab/>
      </w:r>
      <w:r>
        <w:rPr>
          <w:lang w:val="fr-FR"/>
        </w:rPr>
        <w:tab/>
        <w:t>Proposition</w:t>
      </w:r>
    </w:p>
    <w:p w14:paraId="556441FF" w14:textId="77777777" w:rsidR="00560D32" w:rsidRPr="0047302C" w:rsidRDefault="00560D32" w:rsidP="00560D32">
      <w:pPr>
        <w:pStyle w:val="SingleTxtG"/>
      </w:pPr>
      <w:r>
        <w:rPr>
          <w:lang w:val="fr-FR"/>
        </w:rPr>
        <w:t>7.</w:t>
      </w:r>
      <w:r>
        <w:rPr>
          <w:lang w:val="fr-FR"/>
        </w:rPr>
        <w:tab/>
        <w:t>Le Sous-Comité est invité à envisager de réviser le point 2.9.4 afin de placer les dispositions de classification dans un nouveau paragraphe 2.9.4.1, l</w:t>
      </w:r>
      <w:r w:rsidR="00DA2AF8">
        <w:rPr>
          <w:lang w:val="fr-FR"/>
        </w:rPr>
        <w:t>’</w:t>
      </w:r>
      <w:r>
        <w:rPr>
          <w:lang w:val="fr-FR"/>
        </w:rPr>
        <w:t>alinéa e) existant pour le programme de gestion de la qualité devant alors être déplacé pour devenir le point 2.9.4.2, comme suit :</w:t>
      </w:r>
    </w:p>
    <w:p w14:paraId="0244A730" w14:textId="77777777" w:rsidR="00560D32" w:rsidRPr="0047302C" w:rsidRDefault="00560D32" w:rsidP="00C8036D">
      <w:pPr>
        <w:pStyle w:val="SingleTxtG"/>
        <w:tabs>
          <w:tab w:val="left" w:pos="2268"/>
        </w:tabs>
        <w:ind w:left="1701"/>
      </w:pPr>
      <w:r w:rsidRPr="00F02BF9">
        <w:rPr>
          <w:lang w:val="fr-FR"/>
        </w:rPr>
        <w:t>«</w:t>
      </w:r>
      <w:r w:rsidR="00684F45">
        <w:rPr>
          <w:lang w:val="fr-FR"/>
        </w:rPr>
        <w:t> </w:t>
      </w:r>
      <w:r w:rsidRPr="00684F45">
        <w:rPr>
          <w:b/>
          <w:lang w:val="fr-FR"/>
        </w:rPr>
        <w:t>2.9.4</w:t>
      </w:r>
      <w:r w:rsidR="00684F45" w:rsidRPr="00684F45">
        <w:rPr>
          <w:b/>
          <w:lang w:val="fr-FR"/>
        </w:rPr>
        <w:tab/>
      </w:r>
      <w:r w:rsidRPr="00684F45">
        <w:rPr>
          <w:b/>
          <w:lang w:val="fr-FR"/>
        </w:rPr>
        <w:t>Piles au lithium</w:t>
      </w:r>
    </w:p>
    <w:p w14:paraId="1ECE7DDC" w14:textId="77777777" w:rsidR="00560D32" w:rsidRPr="0047302C" w:rsidRDefault="00560D32" w:rsidP="00C8036D">
      <w:pPr>
        <w:pStyle w:val="SingleTxtG"/>
        <w:tabs>
          <w:tab w:val="left" w:pos="2268"/>
        </w:tabs>
        <w:ind w:left="1701"/>
        <w:rPr>
          <w:b/>
          <w:bCs/>
          <w:u w:val="single"/>
        </w:rPr>
      </w:pPr>
      <w:r w:rsidRPr="001C50E1">
        <w:rPr>
          <w:b/>
          <w:bCs/>
          <w:u w:val="single"/>
          <w:lang w:val="fr-FR"/>
        </w:rPr>
        <w:t>2.9.4.1</w:t>
      </w:r>
      <w:r w:rsidRPr="001C50E1">
        <w:rPr>
          <w:b/>
          <w:bCs/>
          <w:u w:val="single"/>
          <w:lang w:val="fr-FR"/>
        </w:rPr>
        <w:tab/>
      </w:r>
      <w:r w:rsidRPr="001C50E1">
        <w:rPr>
          <w:b/>
          <w:bCs/>
          <w:i/>
          <w:iCs/>
          <w:u w:val="single"/>
          <w:lang w:val="fr-FR"/>
        </w:rPr>
        <w:t>Conception, essais et résumé des essais</w:t>
      </w:r>
    </w:p>
    <w:p w14:paraId="72BF14D9" w14:textId="77777777" w:rsidR="00560D32" w:rsidRPr="0047302C" w:rsidRDefault="00560D32" w:rsidP="00684F45">
      <w:pPr>
        <w:pStyle w:val="SingleTxtG"/>
        <w:tabs>
          <w:tab w:val="left" w:pos="2835"/>
        </w:tabs>
        <w:ind w:left="1701" w:firstLine="567"/>
      </w:pPr>
      <w:r w:rsidRPr="00F02BF9">
        <w:rPr>
          <w:lang w:val="fr-FR"/>
        </w:rPr>
        <w:t xml:space="preserve">Les piles et batteries, les piles et batteries contenues dans un équipement, ou les piles et batteries emballées avec un équipement, contenant du lithium sous quelque forme que ce soit doivent être classées sous les Nos ONU 3090, 3091, 3480, 3481 </w:t>
      </w:r>
      <w:r w:rsidRPr="00F02BF9">
        <w:rPr>
          <w:u w:val="single"/>
          <w:lang w:val="fr-FR"/>
        </w:rPr>
        <w:t>ou 3536</w:t>
      </w:r>
      <w:r w:rsidRPr="00F02BF9">
        <w:rPr>
          <w:lang w:val="fr-FR"/>
        </w:rPr>
        <w:t>, selon qu</w:t>
      </w:r>
      <w:r w:rsidR="00DA2AF8">
        <w:rPr>
          <w:lang w:val="fr-FR"/>
        </w:rPr>
        <w:t>’</w:t>
      </w:r>
      <w:r w:rsidRPr="00F02BF9">
        <w:rPr>
          <w:lang w:val="fr-FR"/>
        </w:rPr>
        <w:t xml:space="preserve">il convient. Elles peuvent être </w:t>
      </w:r>
      <w:r w:rsidRPr="00F02BF9">
        <w:rPr>
          <w:u w:val="single"/>
          <w:lang w:val="fr-FR"/>
        </w:rPr>
        <w:t>présentées au transport</w:t>
      </w:r>
      <w:r w:rsidRPr="00F02BF9">
        <w:rPr>
          <w:lang w:val="fr-FR"/>
        </w:rPr>
        <w:t xml:space="preserve"> au titre de ces rubriques si elles satisfont aux dispositions ci-après</w:t>
      </w:r>
      <w:r>
        <w:rPr>
          <w:lang w:val="fr-FR"/>
        </w:rPr>
        <w:t> :</w:t>
      </w:r>
    </w:p>
    <w:p w14:paraId="278FB4F5" w14:textId="77777777" w:rsidR="00560D32" w:rsidRPr="0047302C" w:rsidRDefault="00560D32" w:rsidP="00684F45">
      <w:pPr>
        <w:pStyle w:val="SingleTxtG"/>
        <w:tabs>
          <w:tab w:val="left" w:pos="2835"/>
        </w:tabs>
        <w:ind w:left="2268"/>
      </w:pPr>
      <w:r w:rsidRPr="00F02BF9">
        <w:rPr>
          <w:lang w:val="fr-FR"/>
        </w:rPr>
        <w:t>…</w:t>
      </w:r>
    </w:p>
    <w:p w14:paraId="4F1DD2AD" w14:textId="77777777" w:rsidR="00560D32" w:rsidRPr="0047302C" w:rsidRDefault="00560D32" w:rsidP="00684F45">
      <w:pPr>
        <w:pStyle w:val="SingleTxtG"/>
        <w:tabs>
          <w:tab w:val="left" w:pos="2835"/>
        </w:tabs>
        <w:ind w:left="2835" w:hanging="567"/>
      </w:pPr>
      <w:r w:rsidRPr="00F02BF9">
        <w:rPr>
          <w:lang w:val="fr-FR"/>
        </w:rPr>
        <w:t>d)</w:t>
      </w:r>
      <w:r w:rsidRPr="00F02BF9">
        <w:rPr>
          <w:lang w:val="fr-FR"/>
        </w:rPr>
        <w:tab/>
        <w:t>Chaque batterie ... pour arrêter les courants inverses (par exemple diodes, fusibles, etc.)</w:t>
      </w:r>
      <w:r>
        <w:rPr>
          <w:lang w:val="fr-FR"/>
        </w:rPr>
        <w:t> ;</w:t>
      </w:r>
    </w:p>
    <w:p w14:paraId="46280F1D" w14:textId="77777777" w:rsidR="00560D32" w:rsidRPr="0047302C" w:rsidRDefault="00560D32" w:rsidP="00684F45">
      <w:pPr>
        <w:pStyle w:val="SingleTxtG"/>
        <w:tabs>
          <w:tab w:val="left" w:pos="2835"/>
        </w:tabs>
        <w:ind w:left="2835" w:hanging="567"/>
      </w:pPr>
      <w:r w:rsidRPr="00F02BF9">
        <w:rPr>
          <w:u w:val="single"/>
          <w:lang w:val="fr-FR"/>
        </w:rPr>
        <w:t>e)</w:t>
      </w:r>
      <w:r w:rsidRPr="00F02BF9">
        <w:rPr>
          <w:lang w:val="fr-FR"/>
        </w:rPr>
        <w:tab/>
        <w:t>Les batteries au lithium, contenant à la fois des piles primaires au lithium métal et des piles au lithium ionique rechargeables, qui ne sont pas conçues pour être chargées de l</w:t>
      </w:r>
      <w:r w:rsidR="00DA2AF8">
        <w:rPr>
          <w:lang w:val="fr-FR"/>
        </w:rPr>
        <w:t>’</w:t>
      </w:r>
      <w:r w:rsidRPr="00F02BF9">
        <w:rPr>
          <w:lang w:val="fr-FR"/>
        </w:rPr>
        <w:t>extérieur (voir disposition spéciale</w:t>
      </w:r>
      <w:r>
        <w:rPr>
          <w:lang w:val="fr-FR"/>
        </w:rPr>
        <w:t> </w:t>
      </w:r>
      <w:r w:rsidRPr="00F02BF9">
        <w:rPr>
          <w:lang w:val="fr-FR"/>
        </w:rPr>
        <w:t>387 du chapitre 3.3), doivent satisfaire aux conditions suivantes</w:t>
      </w:r>
      <w:r>
        <w:rPr>
          <w:lang w:val="fr-FR"/>
        </w:rPr>
        <w:t> :</w:t>
      </w:r>
      <w:r w:rsidRPr="00F02BF9">
        <w:rPr>
          <w:lang w:val="fr-FR"/>
        </w:rPr>
        <w:t xml:space="preserve"> </w:t>
      </w:r>
    </w:p>
    <w:p w14:paraId="09D8A454" w14:textId="77777777" w:rsidR="00560D32" w:rsidRPr="0047302C" w:rsidRDefault="00560D32" w:rsidP="00684F45">
      <w:pPr>
        <w:pStyle w:val="SingleTxtG"/>
        <w:tabs>
          <w:tab w:val="left" w:pos="2835"/>
        </w:tabs>
        <w:ind w:left="3402" w:hanging="567"/>
      </w:pPr>
      <w:r w:rsidRPr="00F02BF9">
        <w:rPr>
          <w:lang w:val="fr-FR"/>
        </w:rPr>
        <w:t>i)</w:t>
      </w:r>
      <w:r w:rsidRPr="00F02BF9">
        <w:rPr>
          <w:lang w:val="fr-FR"/>
        </w:rPr>
        <w:tab/>
        <w:t>Les piles rechargeables au lithium ionique ne peuvent être chargées qu</w:t>
      </w:r>
      <w:r w:rsidR="00DA2AF8">
        <w:rPr>
          <w:lang w:val="fr-FR"/>
        </w:rPr>
        <w:t>’</w:t>
      </w:r>
      <w:r w:rsidRPr="00F02BF9">
        <w:rPr>
          <w:lang w:val="fr-FR"/>
        </w:rPr>
        <w:t>à partir des piles primaires au lithium métal</w:t>
      </w:r>
      <w:r>
        <w:rPr>
          <w:lang w:val="fr-FR"/>
        </w:rPr>
        <w:t> ;</w:t>
      </w:r>
    </w:p>
    <w:p w14:paraId="5724E75B" w14:textId="77777777" w:rsidR="00560D32" w:rsidRPr="0047302C" w:rsidRDefault="00560D32" w:rsidP="00684F45">
      <w:pPr>
        <w:pStyle w:val="SingleTxtG"/>
        <w:tabs>
          <w:tab w:val="left" w:pos="2835"/>
        </w:tabs>
        <w:ind w:left="3402" w:hanging="567"/>
      </w:pPr>
      <w:r w:rsidRPr="00F02BF9">
        <w:rPr>
          <w:lang w:val="fr-FR"/>
        </w:rPr>
        <w:t>ii)</w:t>
      </w:r>
      <w:r w:rsidRPr="00F02BF9">
        <w:rPr>
          <w:lang w:val="fr-FR"/>
        </w:rPr>
        <w:tab/>
        <w:t>La surcharge des piles rechargeables au lithium ionique est exclue par conception</w:t>
      </w:r>
      <w:r>
        <w:rPr>
          <w:lang w:val="fr-FR"/>
        </w:rPr>
        <w:t> ;</w:t>
      </w:r>
    </w:p>
    <w:p w14:paraId="3DCC7AC8" w14:textId="77777777" w:rsidR="00560D32" w:rsidRPr="0047302C" w:rsidRDefault="00560D32" w:rsidP="00684F45">
      <w:pPr>
        <w:pStyle w:val="SingleTxtG"/>
        <w:tabs>
          <w:tab w:val="left" w:pos="2835"/>
        </w:tabs>
        <w:ind w:left="3402" w:hanging="567"/>
      </w:pPr>
      <w:r w:rsidRPr="00F02BF9">
        <w:rPr>
          <w:lang w:val="fr-FR"/>
        </w:rPr>
        <w:t>iii)</w:t>
      </w:r>
      <w:r w:rsidRPr="00F02BF9">
        <w:rPr>
          <w:lang w:val="fr-FR"/>
        </w:rPr>
        <w:tab/>
        <w:t>La batterie a été éprouvée comme une batterie primaire au lithium</w:t>
      </w:r>
      <w:r>
        <w:rPr>
          <w:lang w:val="fr-FR"/>
        </w:rPr>
        <w:t> ;</w:t>
      </w:r>
      <w:r w:rsidRPr="00F02BF9">
        <w:rPr>
          <w:lang w:val="fr-FR"/>
        </w:rPr>
        <w:t xml:space="preserve"> </w:t>
      </w:r>
    </w:p>
    <w:p w14:paraId="688F13A2" w14:textId="77777777" w:rsidR="00560D32" w:rsidRPr="0047302C" w:rsidRDefault="00560D32" w:rsidP="00684F45">
      <w:pPr>
        <w:pStyle w:val="SingleTxtG"/>
        <w:tabs>
          <w:tab w:val="left" w:pos="2835"/>
        </w:tabs>
        <w:ind w:left="3402" w:hanging="567"/>
      </w:pPr>
      <w:r w:rsidRPr="00F02BF9">
        <w:rPr>
          <w:lang w:val="fr-FR"/>
        </w:rPr>
        <w:t>iv)</w:t>
      </w:r>
      <w:r w:rsidRPr="00F02BF9">
        <w:rPr>
          <w:lang w:val="fr-FR"/>
        </w:rPr>
        <w:tab/>
        <w:t>Les piles composant la batterie doivent être conformes à un type ayant satisfait aux prescriptions des épreuves de la sous</w:t>
      </w:r>
      <w:r w:rsidR="00C8036D">
        <w:rPr>
          <w:lang w:val="fr-FR"/>
        </w:rPr>
        <w:noBreakHyphen/>
      </w:r>
      <w:r w:rsidRPr="00F02BF9">
        <w:rPr>
          <w:lang w:val="fr-FR"/>
        </w:rPr>
        <w:t>section</w:t>
      </w:r>
      <w:r>
        <w:rPr>
          <w:lang w:val="fr-FR"/>
        </w:rPr>
        <w:t> </w:t>
      </w:r>
      <w:r w:rsidRPr="00F02BF9">
        <w:rPr>
          <w:lang w:val="fr-FR"/>
        </w:rPr>
        <w:t>38.3 de la troisième partie du Manuel d</w:t>
      </w:r>
      <w:r w:rsidR="00DA2AF8">
        <w:rPr>
          <w:lang w:val="fr-FR"/>
        </w:rPr>
        <w:t>’</w:t>
      </w:r>
      <w:r w:rsidRPr="00F02BF9">
        <w:rPr>
          <w:lang w:val="fr-FR"/>
        </w:rPr>
        <w:t>épreuves et de critères.</w:t>
      </w:r>
    </w:p>
    <w:p w14:paraId="53F12AE8" w14:textId="77777777" w:rsidR="00560D32" w:rsidRPr="0047302C" w:rsidRDefault="00560D32" w:rsidP="00684F45">
      <w:pPr>
        <w:pStyle w:val="SingleTxtG"/>
        <w:tabs>
          <w:tab w:val="left" w:pos="2835"/>
        </w:tabs>
        <w:ind w:left="2835" w:hanging="567"/>
      </w:pPr>
      <w:r w:rsidRPr="00F02BF9">
        <w:rPr>
          <w:u w:val="single"/>
          <w:lang w:val="fr-FR"/>
        </w:rPr>
        <w:t>f)</w:t>
      </w:r>
      <w:r w:rsidRPr="00F02BF9">
        <w:rPr>
          <w:lang w:val="fr-FR"/>
        </w:rPr>
        <w:tab/>
        <w:t>Les fabricants et distributeurs de piles ou batteries fabriquées après le 30 juin 2003 doivent mettre à disposition le résumé du procès-verbal d</w:t>
      </w:r>
      <w:r w:rsidR="00DA2AF8">
        <w:rPr>
          <w:lang w:val="fr-FR"/>
        </w:rPr>
        <w:t>’</w:t>
      </w:r>
      <w:r w:rsidRPr="00F02BF9">
        <w:rPr>
          <w:lang w:val="fr-FR"/>
        </w:rPr>
        <w:t>épreuve tel que spécifié dans le Manuel d</w:t>
      </w:r>
      <w:r w:rsidR="00DA2AF8">
        <w:rPr>
          <w:lang w:val="fr-FR"/>
        </w:rPr>
        <w:t>’</w:t>
      </w:r>
      <w:r w:rsidRPr="00F02BF9">
        <w:rPr>
          <w:lang w:val="fr-FR"/>
        </w:rPr>
        <w:t>épreuves et de critères, troisième partie, sous-section 38.3, paragraphe 38.3.5.</w:t>
      </w:r>
    </w:p>
    <w:p w14:paraId="6607E630" w14:textId="77777777" w:rsidR="00560D32" w:rsidRPr="0047302C" w:rsidRDefault="00560D32" w:rsidP="00CA5C24">
      <w:pPr>
        <w:pStyle w:val="SingleTxtG"/>
        <w:keepNext/>
        <w:tabs>
          <w:tab w:val="left" w:pos="2268"/>
        </w:tabs>
        <w:ind w:left="1701"/>
        <w:rPr>
          <w:b/>
          <w:bCs/>
          <w:u w:val="single"/>
        </w:rPr>
      </w:pPr>
      <w:bookmarkStart w:id="0" w:name="_GoBack"/>
      <w:bookmarkEnd w:id="0"/>
      <w:r w:rsidRPr="00F02BF9">
        <w:rPr>
          <w:b/>
          <w:bCs/>
          <w:u w:val="single"/>
          <w:lang w:val="fr-FR"/>
        </w:rPr>
        <w:lastRenderedPageBreak/>
        <w:t>2.9.</w:t>
      </w:r>
      <w:r w:rsidRPr="00684F45">
        <w:rPr>
          <w:b/>
          <w:bCs/>
          <w:u w:val="single"/>
          <w:lang w:val="fr-FR"/>
        </w:rPr>
        <w:t>4.2</w:t>
      </w:r>
      <w:r w:rsidRPr="00684F45">
        <w:rPr>
          <w:u w:val="single"/>
          <w:lang w:val="fr-FR"/>
        </w:rPr>
        <w:tab/>
      </w:r>
      <w:r w:rsidRPr="00F02BF9">
        <w:rPr>
          <w:b/>
          <w:bCs/>
          <w:i/>
          <w:iCs/>
          <w:u w:val="single"/>
          <w:lang w:val="fr-FR"/>
        </w:rPr>
        <w:t>Programmes de gestion de la qualité</w:t>
      </w:r>
    </w:p>
    <w:p w14:paraId="5816AC75" w14:textId="77777777" w:rsidR="00560D32" w:rsidRPr="0047302C" w:rsidRDefault="00560D32" w:rsidP="00CA5C24">
      <w:pPr>
        <w:pStyle w:val="SingleTxtG"/>
        <w:keepNext/>
        <w:tabs>
          <w:tab w:val="left" w:pos="2835"/>
        </w:tabs>
        <w:ind w:left="1701" w:firstLine="567"/>
      </w:pPr>
      <w:r w:rsidRPr="00F02BF9">
        <w:rPr>
          <w:lang w:val="fr-FR"/>
        </w:rPr>
        <w:t xml:space="preserve">Les piles et batteries </w:t>
      </w:r>
      <w:r w:rsidRPr="00F02BF9">
        <w:rPr>
          <w:u w:val="single"/>
          <w:lang w:val="fr-FR"/>
        </w:rPr>
        <w:t>au lithium</w:t>
      </w:r>
      <w:r w:rsidRPr="00F02BF9">
        <w:rPr>
          <w:lang w:val="fr-FR"/>
        </w:rPr>
        <w:t xml:space="preserve"> doivent être fabriquées conformément à un programme de gestion de la qualité qui doit comprendre les éléments suivants</w:t>
      </w:r>
      <w:r>
        <w:rPr>
          <w:lang w:val="fr-FR"/>
        </w:rPr>
        <w:t> :</w:t>
      </w:r>
    </w:p>
    <w:p w14:paraId="78E2E95B" w14:textId="77777777" w:rsidR="00560D32" w:rsidRPr="0047302C" w:rsidRDefault="00560D32" w:rsidP="00CA5C24">
      <w:pPr>
        <w:pStyle w:val="SingleTxtG"/>
        <w:keepNext/>
        <w:tabs>
          <w:tab w:val="left" w:pos="2835"/>
        </w:tabs>
        <w:ind w:left="2835" w:hanging="567"/>
      </w:pPr>
      <w:r w:rsidRPr="00F02BF9">
        <w:rPr>
          <w:u w:val="single"/>
          <w:lang w:val="fr-FR"/>
        </w:rPr>
        <w:t>a)</w:t>
      </w:r>
      <w:r w:rsidRPr="00F02BF9">
        <w:rPr>
          <w:lang w:val="fr-FR"/>
        </w:rPr>
        <w:tab/>
        <w:t>Une description de la structure organisationnelle et des responsabilités du personnel en ce qui concerne la conception et la qualité du produit</w:t>
      </w:r>
      <w:r>
        <w:rPr>
          <w:lang w:val="fr-FR"/>
        </w:rPr>
        <w:t> ;</w:t>
      </w:r>
    </w:p>
    <w:p w14:paraId="341F34A1" w14:textId="77777777" w:rsidR="00560D32" w:rsidRPr="0047302C" w:rsidRDefault="00560D32" w:rsidP="00684F45">
      <w:pPr>
        <w:pStyle w:val="SingleTxtG"/>
        <w:tabs>
          <w:tab w:val="left" w:pos="2835"/>
        </w:tabs>
        <w:ind w:left="2835" w:hanging="567"/>
      </w:pPr>
      <w:r w:rsidRPr="00F02BF9">
        <w:rPr>
          <w:u w:val="single"/>
          <w:lang w:val="fr-FR"/>
        </w:rPr>
        <w:t>b)</w:t>
      </w:r>
      <w:r w:rsidRPr="00F02BF9">
        <w:rPr>
          <w:lang w:val="fr-FR"/>
        </w:rPr>
        <w:tab/>
        <w:t>Les instructions pertinentes qui seront utilisées pour les contrôles et les épreuves, le contrôle de la qualité, l</w:t>
      </w:r>
      <w:r w:rsidR="00DA2AF8">
        <w:rPr>
          <w:lang w:val="fr-FR"/>
        </w:rPr>
        <w:t>’</w:t>
      </w:r>
      <w:r w:rsidRPr="00F02BF9">
        <w:rPr>
          <w:lang w:val="fr-FR"/>
        </w:rPr>
        <w:t>assurance qualité et le déroulement des opérations</w:t>
      </w:r>
      <w:r>
        <w:rPr>
          <w:lang w:val="fr-FR"/>
        </w:rPr>
        <w:t> ;</w:t>
      </w:r>
    </w:p>
    <w:p w14:paraId="2C32E5F9" w14:textId="77777777" w:rsidR="00560D32" w:rsidRPr="0047302C" w:rsidRDefault="00560D32" w:rsidP="00684F45">
      <w:pPr>
        <w:pStyle w:val="SingleTxtG"/>
        <w:tabs>
          <w:tab w:val="left" w:pos="2835"/>
        </w:tabs>
        <w:ind w:left="2835" w:hanging="567"/>
      </w:pPr>
      <w:r w:rsidRPr="00F02BF9">
        <w:rPr>
          <w:u w:val="single"/>
          <w:lang w:val="fr-FR"/>
        </w:rPr>
        <w:t>c)</w:t>
      </w:r>
      <w:r w:rsidRPr="00F02BF9">
        <w:rPr>
          <w:lang w:val="fr-FR"/>
        </w:rPr>
        <w:tab/>
        <w:t>Des contrôles des processus qui devraient inclure des activités pertinentes visant à prévenir et à détecter les défaillances au niveau des courts-circuits internes lors de la fabrication des piles</w:t>
      </w:r>
      <w:r>
        <w:rPr>
          <w:lang w:val="fr-FR"/>
        </w:rPr>
        <w:t> ;</w:t>
      </w:r>
    </w:p>
    <w:p w14:paraId="37AD40FF" w14:textId="77777777" w:rsidR="00560D32" w:rsidRPr="0047302C" w:rsidRDefault="00560D32" w:rsidP="00684F45">
      <w:pPr>
        <w:pStyle w:val="SingleTxtG"/>
        <w:tabs>
          <w:tab w:val="left" w:pos="2835"/>
        </w:tabs>
        <w:ind w:left="2835" w:hanging="567"/>
      </w:pPr>
      <w:r w:rsidRPr="00F02BF9">
        <w:rPr>
          <w:u w:val="single"/>
          <w:lang w:val="fr-FR"/>
        </w:rPr>
        <w:t>d</w:t>
      </w:r>
      <w:r w:rsidRPr="00F02BF9">
        <w:rPr>
          <w:lang w:val="fr-FR"/>
        </w:rPr>
        <w:t>)</w:t>
      </w:r>
      <w:r w:rsidRPr="00F02BF9">
        <w:rPr>
          <w:lang w:val="fr-FR"/>
        </w:rPr>
        <w:tab/>
        <w:t>Des relevés d</w:t>
      </w:r>
      <w:r w:rsidR="00DA2AF8">
        <w:rPr>
          <w:lang w:val="fr-FR"/>
        </w:rPr>
        <w:t>’</w:t>
      </w:r>
      <w:r w:rsidRPr="00F02BF9">
        <w:rPr>
          <w:lang w:val="fr-FR"/>
        </w:rPr>
        <w:t>évaluation de la qualité, tels que rapports de contrôle, données d</w:t>
      </w:r>
      <w:r w:rsidR="00DA2AF8">
        <w:rPr>
          <w:lang w:val="fr-FR"/>
        </w:rPr>
        <w:t>’</w:t>
      </w:r>
      <w:r w:rsidRPr="00F02BF9">
        <w:rPr>
          <w:lang w:val="fr-FR"/>
        </w:rPr>
        <w:t>épreuve, données d</w:t>
      </w:r>
      <w:r w:rsidR="00DA2AF8">
        <w:rPr>
          <w:lang w:val="fr-FR"/>
        </w:rPr>
        <w:t>’</w:t>
      </w:r>
      <w:r w:rsidRPr="00F02BF9">
        <w:rPr>
          <w:lang w:val="fr-FR"/>
        </w:rPr>
        <w:t>étalonnage et certificats. Les données d</w:t>
      </w:r>
      <w:r w:rsidR="00DA2AF8">
        <w:rPr>
          <w:lang w:val="fr-FR"/>
        </w:rPr>
        <w:t>’</w:t>
      </w:r>
      <w:r w:rsidRPr="00F02BF9">
        <w:rPr>
          <w:lang w:val="fr-FR"/>
        </w:rPr>
        <w:t>épreuves doivent être conservées et communiquées à l</w:t>
      </w:r>
      <w:r w:rsidR="00DA2AF8">
        <w:rPr>
          <w:lang w:val="fr-FR"/>
        </w:rPr>
        <w:t>’</w:t>
      </w:r>
      <w:r w:rsidRPr="00F02BF9">
        <w:rPr>
          <w:lang w:val="fr-FR"/>
        </w:rPr>
        <w:t>autorité compétente sur demande</w:t>
      </w:r>
      <w:r>
        <w:rPr>
          <w:lang w:val="fr-FR"/>
        </w:rPr>
        <w:t> ;</w:t>
      </w:r>
    </w:p>
    <w:p w14:paraId="0CA351AE" w14:textId="77777777" w:rsidR="00560D32" w:rsidRPr="0047302C" w:rsidRDefault="00560D32" w:rsidP="00684F45">
      <w:pPr>
        <w:pStyle w:val="SingleTxtG"/>
        <w:tabs>
          <w:tab w:val="left" w:pos="2835"/>
        </w:tabs>
        <w:ind w:left="2835" w:hanging="567"/>
      </w:pPr>
      <w:r w:rsidRPr="00F02BF9">
        <w:rPr>
          <w:u w:val="single"/>
          <w:lang w:val="fr-FR"/>
        </w:rPr>
        <w:t>e</w:t>
      </w:r>
      <w:r w:rsidRPr="00F02BF9">
        <w:rPr>
          <w:lang w:val="fr-FR"/>
        </w:rPr>
        <w:t>)</w:t>
      </w:r>
      <w:r w:rsidRPr="00F02BF9">
        <w:rPr>
          <w:lang w:val="fr-FR"/>
        </w:rPr>
        <w:tab/>
        <w:t>La vérification par la direction de l</w:t>
      </w:r>
      <w:r w:rsidR="00DA2AF8">
        <w:rPr>
          <w:lang w:val="fr-FR"/>
        </w:rPr>
        <w:t>’</w:t>
      </w:r>
      <w:r w:rsidRPr="00F02BF9">
        <w:rPr>
          <w:lang w:val="fr-FR"/>
        </w:rPr>
        <w:t>efficacité du système qualité</w:t>
      </w:r>
      <w:r>
        <w:rPr>
          <w:lang w:val="fr-FR"/>
        </w:rPr>
        <w:t> ;</w:t>
      </w:r>
    </w:p>
    <w:p w14:paraId="708127EC" w14:textId="77777777" w:rsidR="00560D32" w:rsidRPr="0047302C" w:rsidRDefault="00560D32" w:rsidP="00684F45">
      <w:pPr>
        <w:pStyle w:val="SingleTxtG"/>
        <w:tabs>
          <w:tab w:val="left" w:pos="2835"/>
        </w:tabs>
        <w:ind w:left="2835" w:hanging="567"/>
      </w:pPr>
      <w:r w:rsidRPr="00F02BF9">
        <w:rPr>
          <w:u w:val="single"/>
          <w:lang w:val="fr-FR"/>
        </w:rPr>
        <w:t>f</w:t>
      </w:r>
      <w:r w:rsidRPr="00F02BF9">
        <w:rPr>
          <w:lang w:val="fr-FR"/>
        </w:rPr>
        <w:t>)</w:t>
      </w:r>
      <w:r w:rsidRPr="00F02BF9">
        <w:rPr>
          <w:lang w:val="fr-FR"/>
        </w:rPr>
        <w:tab/>
        <w:t>Une procédure de contrôle des documents et de leur révision</w:t>
      </w:r>
      <w:r>
        <w:rPr>
          <w:lang w:val="fr-FR"/>
        </w:rPr>
        <w:t> ;</w:t>
      </w:r>
    </w:p>
    <w:p w14:paraId="25E56CEA" w14:textId="77777777" w:rsidR="00560D32" w:rsidRPr="0047302C" w:rsidRDefault="00560D32" w:rsidP="00684F45">
      <w:pPr>
        <w:pStyle w:val="SingleTxtG"/>
        <w:tabs>
          <w:tab w:val="left" w:pos="2835"/>
        </w:tabs>
        <w:ind w:left="2835" w:hanging="567"/>
      </w:pPr>
      <w:r w:rsidRPr="00033989">
        <w:rPr>
          <w:u w:val="single"/>
          <w:lang w:val="fr-FR"/>
        </w:rPr>
        <w:t>g</w:t>
      </w:r>
      <w:r w:rsidRPr="00F02BF9">
        <w:rPr>
          <w:lang w:val="fr-FR"/>
        </w:rPr>
        <w:t>)</w:t>
      </w:r>
      <w:r w:rsidRPr="00F02BF9">
        <w:rPr>
          <w:lang w:val="fr-FR"/>
        </w:rPr>
        <w:tab/>
        <w:t>Un moyen de contrôle des piles et des batteries non conformes au type ayant satisfait aux prescriptions des épreuves, tel qu</w:t>
      </w:r>
      <w:r w:rsidR="00DA2AF8">
        <w:rPr>
          <w:lang w:val="fr-FR"/>
        </w:rPr>
        <w:t>’</w:t>
      </w:r>
      <w:r w:rsidRPr="00F02BF9">
        <w:rPr>
          <w:lang w:val="fr-FR"/>
        </w:rPr>
        <w:t>il est mentionné à l</w:t>
      </w:r>
      <w:r w:rsidR="00DA2AF8">
        <w:rPr>
          <w:lang w:val="fr-FR"/>
        </w:rPr>
        <w:t>’</w:t>
      </w:r>
      <w:r w:rsidRPr="00F02BF9">
        <w:rPr>
          <w:lang w:val="fr-FR"/>
        </w:rPr>
        <w:t xml:space="preserve">alinéa a) </w:t>
      </w:r>
      <w:r>
        <w:rPr>
          <w:lang w:val="fr-FR"/>
        </w:rPr>
        <w:t xml:space="preserve">du 2.9.4.1 </w:t>
      </w:r>
      <w:r w:rsidRPr="00F02BF9">
        <w:rPr>
          <w:lang w:val="fr-FR"/>
        </w:rPr>
        <w:t>ci-dessus</w:t>
      </w:r>
      <w:r>
        <w:rPr>
          <w:lang w:val="fr-FR"/>
        </w:rPr>
        <w:t> ;</w:t>
      </w:r>
    </w:p>
    <w:p w14:paraId="6D90214D" w14:textId="77777777" w:rsidR="00560D32" w:rsidRPr="0047302C" w:rsidRDefault="00560D32" w:rsidP="00684F45">
      <w:pPr>
        <w:pStyle w:val="SingleTxtG"/>
        <w:tabs>
          <w:tab w:val="left" w:pos="2835"/>
        </w:tabs>
        <w:ind w:left="2835" w:hanging="567"/>
      </w:pPr>
      <w:r w:rsidRPr="00F02BF9">
        <w:rPr>
          <w:u w:val="single"/>
          <w:lang w:val="fr-FR"/>
        </w:rPr>
        <w:t>h</w:t>
      </w:r>
      <w:r w:rsidRPr="00F02BF9">
        <w:rPr>
          <w:lang w:val="fr-FR"/>
        </w:rPr>
        <w:t>)</w:t>
      </w:r>
      <w:r w:rsidRPr="00F02BF9">
        <w:rPr>
          <w:lang w:val="fr-FR"/>
        </w:rPr>
        <w:tab/>
        <w:t>Des programmes de formation et des procédures de qualification destinés au personnel</w:t>
      </w:r>
      <w:r>
        <w:rPr>
          <w:lang w:val="fr-FR"/>
        </w:rPr>
        <w:t> ;</w:t>
      </w:r>
      <w:r w:rsidRPr="00F02BF9">
        <w:rPr>
          <w:lang w:val="fr-FR"/>
        </w:rPr>
        <w:t xml:space="preserve"> et</w:t>
      </w:r>
    </w:p>
    <w:p w14:paraId="4D5A6E13" w14:textId="77777777" w:rsidR="00560D32" w:rsidRPr="0047302C" w:rsidRDefault="00560D32" w:rsidP="00684F45">
      <w:pPr>
        <w:pStyle w:val="SingleTxtG"/>
        <w:tabs>
          <w:tab w:val="left" w:pos="2835"/>
        </w:tabs>
        <w:ind w:left="2835" w:hanging="567"/>
      </w:pPr>
      <w:r w:rsidRPr="00F02BF9">
        <w:rPr>
          <w:u w:val="single"/>
          <w:lang w:val="fr-FR"/>
        </w:rPr>
        <w:t>i)</w:t>
      </w:r>
      <w:r w:rsidRPr="00F02BF9">
        <w:rPr>
          <w:lang w:val="fr-FR"/>
        </w:rPr>
        <w:tab/>
        <w:t>Des procédures garantissant que le produit fini n</w:t>
      </w:r>
      <w:r w:rsidR="00DA2AF8">
        <w:rPr>
          <w:lang w:val="fr-FR"/>
        </w:rPr>
        <w:t>’</w:t>
      </w:r>
      <w:r w:rsidRPr="00F02BF9">
        <w:rPr>
          <w:lang w:val="fr-FR"/>
        </w:rPr>
        <w:t>est pas endommagé.</w:t>
      </w:r>
    </w:p>
    <w:p w14:paraId="213DA659" w14:textId="77777777" w:rsidR="00560D32" w:rsidRPr="0047302C" w:rsidRDefault="00560D32" w:rsidP="009A5616">
      <w:pPr>
        <w:pStyle w:val="SingleTxtG"/>
        <w:tabs>
          <w:tab w:val="left" w:pos="2835"/>
        </w:tabs>
        <w:ind w:left="2268"/>
      </w:pPr>
      <w:r w:rsidRPr="00F02BF9">
        <w:rPr>
          <w:b/>
          <w:bCs/>
          <w:i/>
          <w:iCs/>
          <w:lang w:val="fr-FR"/>
        </w:rPr>
        <w:t>NOTA</w:t>
      </w:r>
      <w:r>
        <w:rPr>
          <w:b/>
          <w:bCs/>
          <w:i/>
          <w:iCs/>
          <w:lang w:val="fr-FR"/>
        </w:rPr>
        <w:t> :</w:t>
      </w:r>
      <w:r w:rsidRPr="00F02BF9">
        <w:rPr>
          <w:lang w:val="fr-FR"/>
        </w:rPr>
        <w:tab/>
      </w:r>
      <w:r w:rsidRPr="00F02BF9">
        <w:rPr>
          <w:i/>
          <w:iCs/>
          <w:lang w:val="fr-FR"/>
        </w:rPr>
        <w:t>Les programmes internes de gestion de la qualité peuvent être autorisés.</w:t>
      </w:r>
      <w:r w:rsidRPr="00F02BF9">
        <w:rPr>
          <w:lang w:val="fr-FR"/>
        </w:rPr>
        <w:t xml:space="preserve"> </w:t>
      </w:r>
      <w:r w:rsidRPr="00F02BF9">
        <w:rPr>
          <w:i/>
          <w:iCs/>
          <w:lang w:val="fr-FR"/>
        </w:rPr>
        <w:t>La certification par une tierce partie n</w:t>
      </w:r>
      <w:r w:rsidR="00DA2AF8">
        <w:rPr>
          <w:i/>
          <w:iCs/>
          <w:lang w:val="fr-FR"/>
        </w:rPr>
        <w:t>’</w:t>
      </w:r>
      <w:r w:rsidRPr="00F02BF9">
        <w:rPr>
          <w:i/>
          <w:iCs/>
          <w:lang w:val="fr-FR"/>
        </w:rPr>
        <w:t xml:space="preserve">est pas requise, mais les procédures énoncées aux alinéas </w:t>
      </w:r>
      <w:proofErr w:type="gramStart"/>
      <w:r w:rsidRPr="002D2EC6">
        <w:rPr>
          <w:i/>
          <w:iCs/>
          <w:u w:val="single"/>
          <w:lang w:val="fr-FR"/>
        </w:rPr>
        <w:t>a</w:t>
      </w:r>
      <w:proofErr w:type="gramEnd"/>
      <w:r w:rsidRPr="00F02BF9">
        <w:rPr>
          <w:i/>
          <w:iCs/>
          <w:lang w:val="fr-FR"/>
        </w:rPr>
        <w:t xml:space="preserve">) à </w:t>
      </w:r>
      <w:r w:rsidRPr="002D2EC6">
        <w:rPr>
          <w:i/>
          <w:iCs/>
          <w:u w:val="single"/>
          <w:lang w:val="fr-FR"/>
        </w:rPr>
        <w:t>i</w:t>
      </w:r>
      <w:r w:rsidRPr="00F02BF9">
        <w:rPr>
          <w:i/>
          <w:iCs/>
          <w:lang w:val="fr-FR"/>
        </w:rPr>
        <w:t>) ci-dessus doivent être dûment enregistrées et identifiables.</w:t>
      </w:r>
      <w:r w:rsidRPr="00F02BF9">
        <w:rPr>
          <w:lang w:val="fr-FR"/>
        </w:rPr>
        <w:t xml:space="preserve"> </w:t>
      </w:r>
      <w:r w:rsidRPr="00F02BF9">
        <w:rPr>
          <w:i/>
          <w:iCs/>
          <w:lang w:val="fr-FR"/>
        </w:rPr>
        <w:t>Un exemplaire du programme de gestion de la qualité doit être mis à la disposition de l</w:t>
      </w:r>
      <w:r w:rsidR="00DA2AF8">
        <w:rPr>
          <w:i/>
          <w:iCs/>
          <w:lang w:val="fr-FR"/>
        </w:rPr>
        <w:t>’</w:t>
      </w:r>
      <w:r w:rsidRPr="00F02BF9">
        <w:rPr>
          <w:i/>
          <w:iCs/>
          <w:lang w:val="fr-FR"/>
        </w:rPr>
        <w:t>autorité compétente, si celle-ci en fait la demande.</w:t>
      </w:r>
      <w:r w:rsidR="009A5616">
        <w:rPr>
          <w:i/>
          <w:iCs/>
          <w:lang w:val="fr-FR"/>
        </w:rPr>
        <w:t> </w:t>
      </w:r>
      <w:r w:rsidRPr="00F02BF9">
        <w:rPr>
          <w:lang w:val="fr-FR"/>
        </w:rPr>
        <w:t>».</w:t>
      </w:r>
    </w:p>
    <w:p w14:paraId="552356D5" w14:textId="77777777" w:rsidR="00560D32" w:rsidRPr="0047302C" w:rsidRDefault="00560D32" w:rsidP="009A5616">
      <w:pPr>
        <w:pStyle w:val="SingleTxtG"/>
      </w:pPr>
      <w:r w:rsidRPr="00F02BF9">
        <w:rPr>
          <w:lang w:val="fr-FR"/>
        </w:rPr>
        <w:t>8.</w:t>
      </w:r>
      <w:r w:rsidRPr="00F02BF9">
        <w:rPr>
          <w:lang w:val="fr-FR"/>
        </w:rPr>
        <w:tab/>
        <w:t>Si ce qui précède est adopté, le Sous-Comité est également invité à examiner les modifications corrélatives suivantes</w:t>
      </w:r>
      <w:r>
        <w:rPr>
          <w:lang w:val="fr-FR"/>
        </w:rPr>
        <w:t> :</w:t>
      </w:r>
    </w:p>
    <w:p w14:paraId="47C7138D" w14:textId="77777777" w:rsidR="00560D32" w:rsidRPr="00C8036D" w:rsidRDefault="00560D32" w:rsidP="009A5616">
      <w:pPr>
        <w:pStyle w:val="SingleTxtG"/>
        <w:ind w:firstLine="567"/>
        <w:rPr>
          <w:spacing w:val="-2"/>
        </w:rPr>
      </w:pPr>
      <w:r w:rsidRPr="00C8036D">
        <w:rPr>
          <w:spacing w:val="-2"/>
          <w:lang w:val="fr-FR"/>
        </w:rPr>
        <w:t>Au chapitre 3.3, modifier les dispositions spéciales pour qu</w:t>
      </w:r>
      <w:r w:rsidR="00DA2AF8" w:rsidRPr="00C8036D">
        <w:rPr>
          <w:spacing w:val="-2"/>
          <w:lang w:val="fr-FR"/>
        </w:rPr>
        <w:t>’</w:t>
      </w:r>
      <w:r w:rsidRPr="00C8036D">
        <w:rPr>
          <w:spacing w:val="-2"/>
          <w:lang w:val="fr-FR"/>
        </w:rPr>
        <w:t>elles se lisent comme suit :</w:t>
      </w:r>
    </w:p>
    <w:p w14:paraId="3B45F0D3" w14:textId="77777777" w:rsidR="00560D32" w:rsidRPr="0047302C" w:rsidRDefault="00560D32" w:rsidP="009A5616">
      <w:pPr>
        <w:pStyle w:val="SingleTxtG"/>
        <w:tabs>
          <w:tab w:val="left" w:pos="2835"/>
        </w:tabs>
        <w:ind w:left="2268" w:hanging="567"/>
      </w:pPr>
      <w:r w:rsidRPr="00F02BF9">
        <w:rPr>
          <w:lang w:val="fr-FR"/>
        </w:rPr>
        <w:t>«</w:t>
      </w:r>
      <w:r w:rsidR="009A5616">
        <w:rPr>
          <w:lang w:val="fr-FR"/>
        </w:rPr>
        <w:t> </w:t>
      </w:r>
      <w:r w:rsidRPr="00F02BF9">
        <w:rPr>
          <w:lang w:val="fr-FR"/>
        </w:rPr>
        <w:t>188</w:t>
      </w:r>
      <w:r w:rsidR="00800373">
        <w:rPr>
          <w:lang w:val="fr-FR"/>
        </w:rPr>
        <w:t>.</w:t>
      </w:r>
      <w:r w:rsidRPr="00F02BF9">
        <w:rPr>
          <w:lang w:val="fr-FR"/>
        </w:rPr>
        <w:tab/>
        <w:t>Les piles et batteries présentées au transport ne sont pas soumises aux autres dispositions du présent Règlement si elles satisfont aux conditions énoncées ci-après</w:t>
      </w:r>
      <w:r>
        <w:rPr>
          <w:lang w:val="fr-FR"/>
        </w:rPr>
        <w:t> :</w:t>
      </w:r>
    </w:p>
    <w:p w14:paraId="05349803" w14:textId="77777777" w:rsidR="00560D32" w:rsidRPr="0047302C" w:rsidRDefault="00560D32" w:rsidP="009A5616">
      <w:pPr>
        <w:pStyle w:val="SingleTxtG"/>
        <w:tabs>
          <w:tab w:val="left" w:pos="2835"/>
        </w:tabs>
        <w:ind w:left="2268"/>
      </w:pPr>
      <w:r w:rsidRPr="00F02BF9">
        <w:rPr>
          <w:lang w:val="fr-FR"/>
        </w:rPr>
        <w:t>…</w:t>
      </w:r>
    </w:p>
    <w:p w14:paraId="4DB857E5" w14:textId="77777777" w:rsidR="00560D32" w:rsidRPr="0047302C" w:rsidRDefault="00560D32" w:rsidP="009A5616">
      <w:pPr>
        <w:pStyle w:val="SingleTxtG"/>
        <w:tabs>
          <w:tab w:val="left" w:pos="2835"/>
        </w:tabs>
        <w:ind w:left="2835" w:hanging="567"/>
      </w:pPr>
      <w:r w:rsidRPr="00F02BF9">
        <w:rPr>
          <w:lang w:val="fr-FR"/>
        </w:rPr>
        <w:t>c)</w:t>
      </w:r>
      <w:r w:rsidRPr="00F02BF9">
        <w:rPr>
          <w:lang w:val="fr-FR"/>
        </w:rPr>
        <w:tab/>
        <w:t xml:space="preserve">Chaque pile ou batterie satisfait aux dispositions </w:t>
      </w:r>
      <w:r w:rsidRPr="002D2EC6">
        <w:rPr>
          <w:u w:val="single"/>
          <w:lang w:val="fr-FR"/>
        </w:rPr>
        <w:t>des alinéas</w:t>
      </w:r>
      <w:r w:rsidRPr="003C727D">
        <w:rPr>
          <w:u w:val="single"/>
          <w:lang w:val="fr-FR"/>
        </w:rPr>
        <w:t xml:space="preserve"> </w:t>
      </w:r>
      <w:r w:rsidRPr="0019486C">
        <w:rPr>
          <w:u w:val="single"/>
          <w:lang w:val="fr-FR"/>
        </w:rPr>
        <w:t>a),</w:t>
      </w:r>
      <w:r w:rsidRPr="003C727D">
        <w:rPr>
          <w:u w:val="single"/>
          <w:lang w:val="fr-FR"/>
        </w:rPr>
        <w:t xml:space="preserve"> </w:t>
      </w:r>
      <w:r w:rsidRPr="002D2EC6">
        <w:rPr>
          <w:u w:val="single"/>
          <w:lang w:val="fr-FR"/>
        </w:rPr>
        <w:t>e)</w:t>
      </w:r>
      <w:r w:rsidRPr="00F02BF9">
        <w:rPr>
          <w:u w:val="single"/>
          <w:lang w:val="fr-FR"/>
        </w:rPr>
        <w:t xml:space="preserve"> le cas échéan</w:t>
      </w:r>
      <w:r w:rsidRPr="002D2EC6">
        <w:rPr>
          <w:u w:val="single"/>
          <w:lang w:val="fr-FR"/>
        </w:rPr>
        <w:t xml:space="preserve">t et f) du </w:t>
      </w:r>
      <w:r w:rsidRPr="00F02BF9">
        <w:rPr>
          <w:u w:val="single"/>
          <w:lang w:val="fr-FR"/>
        </w:rPr>
        <w:t>2.9.4.1</w:t>
      </w:r>
      <w:r>
        <w:rPr>
          <w:lang w:val="fr-FR"/>
        </w:rPr>
        <w:t> ;</w:t>
      </w:r>
    </w:p>
    <w:p w14:paraId="3410DDDC" w14:textId="77777777" w:rsidR="00560D32" w:rsidRPr="0047302C" w:rsidRDefault="00560D32" w:rsidP="00FF70DC">
      <w:pPr>
        <w:pStyle w:val="SingleTxtG"/>
        <w:tabs>
          <w:tab w:val="left" w:pos="2835"/>
        </w:tabs>
        <w:ind w:left="1701"/>
      </w:pPr>
      <w:r w:rsidRPr="00F02BF9">
        <w:rPr>
          <w:lang w:val="fr-FR"/>
        </w:rPr>
        <w:t>…</w:t>
      </w:r>
    </w:p>
    <w:p w14:paraId="061C0975" w14:textId="77777777" w:rsidR="00560D32" w:rsidRPr="0047302C" w:rsidRDefault="00560D32" w:rsidP="009A5616">
      <w:pPr>
        <w:pStyle w:val="SingleTxtG"/>
        <w:tabs>
          <w:tab w:val="left" w:pos="2835"/>
        </w:tabs>
        <w:ind w:left="2268" w:hanging="567"/>
      </w:pPr>
      <w:r w:rsidRPr="00F02BF9">
        <w:rPr>
          <w:lang w:val="fr-FR"/>
        </w:rPr>
        <w:t>230</w:t>
      </w:r>
      <w:r w:rsidR="00800373">
        <w:rPr>
          <w:lang w:val="fr-FR"/>
        </w:rPr>
        <w:t>.</w:t>
      </w:r>
      <w:r w:rsidRPr="00F02BF9">
        <w:rPr>
          <w:lang w:val="fr-FR"/>
        </w:rPr>
        <w:tab/>
        <w:t xml:space="preserve">Les piles et batteries au lithium peuvent être </w:t>
      </w:r>
      <w:r w:rsidRPr="00F02BF9">
        <w:rPr>
          <w:u w:val="single"/>
          <w:lang w:val="fr-FR"/>
        </w:rPr>
        <w:t>présentées au transport</w:t>
      </w:r>
      <w:r w:rsidRPr="00C8036D">
        <w:rPr>
          <w:lang w:val="fr-FR"/>
        </w:rPr>
        <w:t xml:space="preserve"> </w:t>
      </w:r>
      <w:r>
        <w:rPr>
          <w:lang w:val="fr-FR"/>
        </w:rPr>
        <w:t xml:space="preserve">sous </w:t>
      </w:r>
      <w:r w:rsidRPr="00F02BF9">
        <w:rPr>
          <w:lang w:val="fr-FR"/>
        </w:rPr>
        <w:t xml:space="preserve">cette rubrique si elles satisfont aux dispositions du </w:t>
      </w:r>
      <w:r w:rsidRPr="00F02BF9">
        <w:rPr>
          <w:u w:val="single"/>
          <w:lang w:val="fr-FR"/>
        </w:rPr>
        <w:t>2.9.4.1</w:t>
      </w:r>
      <w:r w:rsidRPr="00F02BF9">
        <w:rPr>
          <w:lang w:val="fr-FR"/>
        </w:rPr>
        <w:t>.</w:t>
      </w:r>
    </w:p>
    <w:p w14:paraId="7CA37A62" w14:textId="77777777" w:rsidR="00560D32" w:rsidRPr="0047302C" w:rsidRDefault="00560D32" w:rsidP="00FF70DC">
      <w:pPr>
        <w:pStyle w:val="SingleTxtG"/>
        <w:tabs>
          <w:tab w:val="left" w:pos="2835"/>
        </w:tabs>
        <w:ind w:left="1701"/>
      </w:pPr>
      <w:r w:rsidRPr="00F02BF9">
        <w:rPr>
          <w:lang w:val="fr-FR"/>
        </w:rPr>
        <w:t>…</w:t>
      </w:r>
    </w:p>
    <w:p w14:paraId="269AFA3D" w14:textId="77777777" w:rsidR="00560D32" w:rsidRPr="0047302C" w:rsidRDefault="00560D32" w:rsidP="00FF70DC">
      <w:pPr>
        <w:pStyle w:val="SingleTxtG"/>
        <w:tabs>
          <w:tab w:val="left" w:pos="2835"/>
        </w:tabs>
        <w:ind w:left="2268" w:hanging="567"/>
      </w:pPr>
      <w:r w:rsidRPr="00F02BF9">
        <w:rPr>
          <w:lang w:val="fr-FR"/>
        </w:rPr>
        <w:t>363</w:t>
      </w:r>
      <w:r w:rsidR="00800373">
        <w:rPr>
          <w:lang w:val="fr-FR"/>
        </w:rPr>
        <w:t>.</w:t>
      </w:r>
      <w:r w:rsidRPr="00F02BF9">
        <w:rPr>
          <w:lang w:val="fr-FR"/>
        </w:rPr>
        <w:tab/>
        <w:t>Cette rubrique peut être utilisée uniquement lorsque les conditions de la présente disposition spéciale sont remplies. Aucune autre prescription du présent Règlement ne s</w:t>
      </w:r>
      <w:r w:rsidR="00DA2AF8">
        <w:rPr>
          <w:lang w:val="fr-FR"/>
        </w:rPr>
        <w:t>’</w:t>
      </w:r>
      <w:r w:rsidRPr="00F02BF9">
        <w:rPr>
          <w:lang w:val="fr-FR"/>
        </w:rPr>
        <w:t>applique.</w:t>
      </w:r>
    </w:p>
    <w:p w14:paraId="227EBAB9" w14:textId="77777777" w:rsidR="00560D32" w:rsidRPr="0047302C" w:rsidRDefault="00560D32" w:rsidP="00FF70DC">
      <w:pPr>
        <w:pStyle w:val="SingleTxtG"/>
        <w:tabs>
          <w:tab w:val="left" w:pos="2835"/>
        </w:tabs>
        <w:ind w:left="2268"/>
      </w:pPr>
      <w:r w:rsidRPr="00F02BF9">
        <w:rPr>
          <w:lang w:val="fr-FR"/>
        </w:rPr>
        <w:t>…</w:t>
      </w:r>
    </w:p>
    <w:p w14:paraId="72CE0666" w14:textId="77777777" w:rsidR="00560D32" w:rsidRPr="0047302C" w:rsidRDefault="00560D32" w:rsidP="00CA5C24">
      <w:pPr>
        <w:pStyle w:val="SingleTxtG"/>
        <w:keepNext/>
        <w:keepLines/>
        <w:tabs>
          <w:tab w:val="left" w:pos="2835"/>
        </w:tabs>
        <w:ind w:left="2835" w:hanging="567"/>
      </w:pPr>
      <w:r w:rsidRPr="00F02BF9">
        <w:rPr>
          <w:lang w:val="fr-FR"/>
        </w:rPr>
        <w:lastRenderedPageBreak/>
        <w:t>f)</w:t>
      </w:r>
      <w:r w:rsidRPr="00F02BF9">
        <w:rPr>
          <w:lang w:val="fr-FR"/>
        </w:rPr>
        <w:tab/>
        <w:t>Les moteurs ou machines peuvent contenir des marchandises dangereuses autres que du combustible (par exemple batteries, extincteurs, accumulateurs à gaz comprimés ou dispositifs de sécurité) nécessaires à leur fonctionnement ou à leur utilisation en toute sécurité sans être soumis à d</w:t>
      </w:r>
      <w:r w:rsidR="00DA2AF8">
        <w:rPr>
          <w:lang w:val="fr-FR"/>
        </w:rPr>
        <w:t>’</w:t>
      </w:r>
      <w:r w:rsidRPr="00F02BF9">
        <w:rPr>
          <w:lang w:val="fr-FR"/>
        </w:rPr>
        <w:t>autres prescriptions en relation avec ces autres marchandises dangereuses, à moins qu</w:t>
      </w:r>
      <w:r w:rsidR="00DA2AF8">
        <w:rPr>
          <w:lang w:val="fr-FR"/>
        </w:rPr>
        <w:t>’</w:t>
      </w:r>
      <w:r w:rsidRPr="00F02BF9">
        <w:rPr>
          <w:lang w:val="fr-FR"/>
        </w:rPr>
        <w:t>il n</w:t>
      </w:r>
      <w:r w:rsidR="00DA2AF8">
        <w:rPr>
          <w:lang w:val="fr-FR"/>
        </w:rPr>
        <w:t>’</w:t>
      </w:r>
      <w:r w:rsidRPr="00F02BF9">
        <w:rPr>
          <w:lang w:val="fr-FR"/>
        </w:rPr>
        <w:t xml:space="preserve">en soit spécifié autrement dans </w:t>
      </w:r>
      <w:r w:rsidRPr="0019486C">
        <w:rPr>
          <w:u w:val="single"/>
          <w:lang w:val="fr-FR"/>
        </w:rPr>
        <w:t>le présent Règlement</w:t>
      </w:r>
      <w:r w:rsidRPr="00F02BF9">
        <w:rPr>
          <w:lang w:val="fr-FR"/>
        </w:rPr>
        <w:t xml:space="preserve">. Cependant, les piles ou batteries au lithium doivent satisfaire aux prescriptions du </w:t>
      </w:r>
      <w:r w:rsidRPr="00F02BF9">
        <w:rPr>
          <w:u w:val="single"/>
          <w:lang w:val="fr-FR"/>
        </w:rPr>
        <w:t>2.9.4.1</w:t>
      </w:r>
      <w:r w:rsidRPr="00F02BF9">
        <w:rPr>
          <w:lang w:val="fr-FR"/>
        </w:rPr>
        <w:t xml:space="preserve"> excepté que le </w:t>
      </w:r>
      <w:r w:rsidRPr="00F02BF9">
        <w:rPr>
          <w:u w:val="single"/>
          <w:lang w:val="fr-FR"/>
        </w:rPr>
        <w:t>2.9.4.1</w:t>
      </w:r>
      <w:r w:rsidRPr="00E3768F">
        <w:rPr>
          <w:lang w:val="fr-FR"/>
        </w:rPr>
        <w:t xml:space="preserve"> </w:t>
      </w:r>
      <w:r w:rsidRPr="00F02BF9">
        <w:rPr>
          <w:lang w:val="fr-FR"/>
        </w:rPr>
        <w:t>a) ne s</w:t>
      </w:r>
      <w:r w:rsidR="00DA2AF8">
        <w:rPr>
          <w:lang w:val="fr-FR"/>
        </w:rPr>
        <w:t>’</w:t>
      </w:r>
      <w:r w:rsidRPr="00F02BF9">
        <w:rPr>
          <w:lang w:val="fr-FR"/>
        </w:rPr>
        <w:t>applique pas quand des piles ou batteries prototypes de préproduction ou des piles ou batteries d</w:t>
      </w:r>
      <w:r w:rsidR="00DA2AF8">
        <w:rPr>
          <w:lang w:val="fr-FR"/>
        </w:rPr>
        <w:t>’</w:t>
      </w:r>
      <w:r w:rsidRPr="00F02BF9">
        <w:rPr>
          <w:lang w:val="fr-FR"/>
        </w:rPr>
        <w:t>une petite série de production comprenant au plus 100 piles ou batteries sont installées dans les moteurs ou machines.</w:t>
      </w:r>
    </w:p>
    <w:p w14:paraId="64D863EC" w14:textId="77777777" w:rsidR="00560D32" w:rsidRPr="0047302C" w:rsidRDefault="00560D32" w:rsidP="00FF70DC">
      <w:pPr>
        <w:pStyle w:val="SingleTxtG"/>
        <w:tabs>
          <w:tab w:val="left" w:pos="2835"/>
        </w:tabs>
        <w:ind w:left="2835" w:hanging="567"/>
      </w:pPr>
      <w:r w:rsidRPr="00F02BF9">
        <w:rPr>
          <w:lang w:val="fr-FR"/>
        </w:rPr>
        <w:t>…</w:t>
      </w:r>
    </w:p>
    <w:p w14:paraId="5C7E5217" w14:textId="77777777" w:rsidR="00560D32" w:rsidRPr="0047302C" w:rsidRDefault="00560D32" w:rsidP="00FF70DC">
      <w:pPr>
        <w:pStyle w:val="SingleTxtG"/>
        <w:tabs>
          <w:tab w:val="left" w:pos="2835"/>
        </w:tabs>
        <w:ind w:left="2268" w:hanging="567"/>
      </w:pPr>
      <w:r w:rsidRPr="00F02BF9">
        <w:rPr>
          <w:lang w:val="fr-FR"/>
        </w:rPr>
        <w:t>377</w:t>
      </w:r>
      <w:r w:rsidR="00800373">
        <w:rPr>
          <w:lang w:val="fr-FR"/>
        </w:rPr>
        <w:t>.</w:t>
      </w:r>
      <w:r w:rsidRPr="00F02BF9">
        <w:rPr>
          <w:lang w:val="fr-FR"/>
        </w:rPr>
        <w:tab/>
      </w:r>
      <w:r w:rsidRPr="008655FE">
        <w:rPr>
          <w:lang w:val="fr-FR"/>
        </w:rPr>
        <w:t xml:space="preserve">Les piles et batteries au lithium métal ou au lithium ionique </w:t>
      </w:r>
      <w:r>
        <w:rPr>
          <w:lang w:val="fr-FR"/>
        </w:rPr>
        <w:t xml:space="preserve">… </w:t>
      </w:r>
      <w:r w:rsidRPr="008655FE">
        <w:rPr>
          <w:lang w:val="fr-FR"/>
        </w:rPr>
        <w:t>conformément à l</w:t>
      </w:r>
      <w:r w:rsidR="00DA2AF8">
        <w:rPr>
          <w:lang w:val="fr-FR"/>
        </w:rPr>
        <w:t>’</w:t>
      </w:r>
      <w:r w:rsidRPr="008655FE">
        <w:rPr>
          <w:lang w:val="fr-FR"/>
        </w:rPr>
        <w:t>instruction d</w:t>
      </w:r>
      <w:r w:rsidR="00DA2AF8">
        <w:rPr>
          <w:lang w:val="fr-FR"/>
        </w:rPr>
        <w:t>’</w:t>
      </w:r>
      <w:r w:rsidRPr="008655FE">
        <w:rPr>
          <w:lang w:val="fr-FR"/>
        </w:rPr>
        <w:t>emballage P909 du 4.1.4.1.</w:t>
      </w:r>
    </w:p>
    <w:p w14:paraId="752011C5" w14:textId="77777777" w:rsidR="00560D32" w:rsidRPr="0047302C" w:rsidRDefault="00560D32" w:rsidP="00FF70DC">
      <w:pPr>
        <w:pStyle w:val="SingleTxtG"/>
        <w:ind w:left="2268"/>
      </w:pPr>
      <w:r w:rsidRPr="00F02BF9">
        <w:rPr>
          <w:lang w:val="fr-FR"/>
        </w:rPr>
        <w:t xml:space="preserve">Ces piles et batteries ne sont pas soumises aux prescriptions de la section </w:t>
      </w:r>
      <w:r w:rsidRPr="00F02BF9">
        <w:rPr>
          <w:u w:val="single"/>
          <w:lang w:val="fr-FR"/>
        </w:rPr>
        <w:t>2.9.4.1</w:t>
      </w:r>
      <w:r w:rsidRPr="00F02BF9">
        <w:rPr>
          <w:lang w:val="fr-FR"/>
        </w:rPr>
        <w:t>. Des exemptions supplémentaires peuvent être accordées suivant les conditions définies dans les règlements de transport modaux.</w:t>
      </w:r>
    </w:p>
    <w:p w14:paraId="6A56B577" w14:textId="77777777" w:rsidR="00560D32" w:rsidRPr="0047302C" w:rsidRDefault="00560D32" w:rsidP="00FF70DC">
      <w:pPr>
        <w:pStyle w:val="SingleTxtG"/>
        <w:ind w:left="2268"/>
      </w:pPr>
      <w:r w:rsidRPr="00F02BF9">
        <w:rPr>
          <w:lang w:val="fr-FR"/>
        </w:rPr>
        <w:t>…</w:t>
      </w:r>
    </w:p>
    <w:p w14:paraId="1B7C7CA9" w14:textId="77777777" w:rsidR="00560D32" w:rsidRPr="0047302C" w:rsidRDefault="00560D32" w:rsidP="00FF70DC">
      <w:pPr>
        <w:pStyle w:val="SingleTxtG"/>
        <w:tabs>
          <w:tab w:val="left" w:pos="2835"/>
        </w:tabs>
        <w:ind w:left="2268" w:hanging="567"/>
      </w:pPr>
      <w:r w:rsidRPr="00F02BF9">
        <w:rPr>
          <w:lang w:val="fr-FR"/>
        </w:rPr>
        <w:t>387</w:t>
      </w:r>
      <w:r w:rsidR="00800373">
        <w:rPr>
          <w:lang w:val="fr-FR"/>
        </w:rPr>
        <w:t>.</w:t>
      </w:r>
      <w:r w:rsidRPr="00F02BF9">
        <w:rPr>
          <w:lang w:val="fr-FR"/>
        </w:rPr>
        <w:tab/>
        <w:t xml:space="preserve">Les batteries au lithium conformes au </w:t>
      </w:r>
      <w:r w:rsidRPr="00F02BF9">
        <w:rPr>
          <w:u w:val="single"/>
          <w:lang w:val="fr-FR"/>
        </w:rPr>
        <w:t>2.9.4.1 e</w:t>
      </w:r>
      <w:r w:rsidRPr="00F02BF9">
        <w:rPr>
          <w:lang w:val="fr-FR"/>
        </w:rPr>
        <w:t>), contenant à la fois des piles primaires au lithium métal et des piles au lithium ionique rechargeables, doivent être affectées aux Nos ONU 3090 ou 3091, selon le cas. Lorsque ces piles sont transportées conformément à la disposition spéciale 188, la teneur totale en lithium de toutes les piles au lithium métal contenues dans la batterie ne doit pas dépasser 1,5 g et la capacité totale de toutes les piles au lithium-ion contenues dans la batterie ne doit pas dépasser 10 Wh.</w:t>
      </w:r>
    </w:p>
    <w:p w14:paraId="11C71E7D" w14:textId="77777777" w:rsidR="00560D32" w:rsidRPr="0047302C" w:rsidRDefault="00560D32" w:rsidP="00FF70DC">
      <w:pPr>
        <w:pStyle w:val="SingleTxtG"/>
        <w:tabs>
          <w:tab w:val="left" w:pos="2835"/>
        </w:tabs>
        <w:ind w:left="2268" w:hanging="567"/>
      </w:pPr>
      <w:r w:rsidRPr="00F02BF9">
        <w:rPr>
          <w:lang w:val="fr-FR"/>
        </w:rPr>
        <w:t>388</w:t>
      </w:r>
      <w:r w:rsidR="00800373">
        <w:rPr>
          <w:lang w:val="fr-FR"/>
        </w:rPr>
        <w:t>.</w:t>
      </w:r>
      <w:r w:rsidRPr="00F02BF9">
        <w:rPr>
          <w:lang w:val="fr-FR"/>
        </w:rPr>
        <w:tab/>
        <w:t>Les rubriques ONU 3166 s</w:t>
      </w:r>
      <w:r w:rsidR="00DA2AF8">
        <w:rPr>
          <w:lang w:val="fr-FR"/>
        </w:rPr>
        <w:t>’</w:t>
      </w:r>
      <w:r w:rsidRPr="00F02BF9">
        <w:rPr>
          <w:lang w:val="fr-FR"/>
        </w:rPr>
        <w:t>appliquent aux véhicules mus par un moteur à combustion interne ou une pile à combustible fonctionnant au moyen d</w:t>
      </w:r>
      <w:r w:rsidR="00DA2AF8">
        <w:rPr>
          <w:lang w:val="fr-FR"/>
        </w:rPr>
        <w:t>’</w:t>
      </w:r>
      <w:r w:rsidRPr="00F02BF9">
        <w:rPr>
          <w:lang w:val="fr-FR"/>
        </w:rPr>
        <w:t>un liquide inflammable ou d</w:t>
      </w:r>
      <w:r w:rsidR="00DA2AF8">
        <w:rPr>
          <w:lang w:val="fr-FR"/>
        </w:rPr>
        <w:t>’</w:t>
      </w:r>
      <w:r w:rsidRPr="00F02BF9">
        <w:rPr>
          <w:lang w:val="fr-FR"/>
        </w:rPr>
        <w:t>un gaz inflammable.</w:t>
      </w:r>
    </w:p>
    <w:p w14:paraId="1EE952A4" w14:textId="77777777" w:rsidR="00560D32" w:rsidRPr="0047302C" w:rsidRDefault="00560D32" w:rsidP="00FF70DC">
      <w:pPr>
        <w:pStyle w:val="SingleTxtG"/>
        <w:ind w:left="2268"/>
      </w:pPr>
      <w:r w:rsidRPr="00F02BF9">
        <w:rPr>
          <w:lang w:val="fr-FR"/>
        </w:rPr>
        <w:t>…</w:t>
      </w:r>
    </w:p>
    <w:p w14:paraId="78141E03" w14:textId="77777777" w:rsidR="00560D32" w:rsidRPr="0047302C" w:rsidRDefault="00560D32" w:rsidP="00FF70DC">
      <w:pPr>
        <w:pStyle w:val="SingleTxtG"/>
        <w:ind w:left="2268"/>
      </w:pPr>
      <w:r w:rsidRPr="00F02BF9">
        <w:rPr>
          <w:lang w:val="fr-FR"/>
        </w:rPr>
        <w:t>Les marchandises dangereuses telles que les</w:t>
      </w:r>
      <w:r>
        <w:rPr>
          <w:lang w:val="fr-FR"/>
        </w:rPr>
        <w:t xml:space="preserve"> piles ou</w:t>
      </w:r>
      <w:r w:rsidRPr="00F02BF9">
        <w:rPr>
          <w:lang w:val="fr-FR"/>
        </w:rPr>
        <w:t xml:space="preserve"> batteries, les sacs gonflables, les extincteurs, les accumulateurs à gaz comprimé, les dispositifs de sécurité et les autres éléments faisant partie intégrante du véhicule qui sont nécessaires à son fonctionnement ou à la sécurité de son conducteur ou des passagers, doivent être solidement fixées dans le véhicule et ne sont pas soumises par ailleurs au présent Règlement. Cependant, les piles ou batteries au lithium doivent satisfaire aux prescriptions du</w:t>
      </w:r>
      <w:r w:rsidRPr="006F753C">
        <w:rPr>
          <w:lang w:val="fr-FR"/>
        </w:rPr>
        <w:t xml:space="preserve"> </w:t>
      </w:r>
      <w:r w:rsidRPr="00F24324">
        <w:rPr>
          <w:u w:val="single"/>
          <w:lang w:val="fr-FR"/>
        </w:rPr>
        <w:t>2.9.4.1</w:t>
      </w:r>
      <w:r w:rsidRPr="00F02BF9">
        <w:rPr>
          <w:lang w:val="fr-FR"/>
        </w:rPr>
        <w:t xml:space="preserve"> excepté que le </w:t>
      </w:r>
      <w:r w:rsidRPr="00F24324">
        <w:rPr>
          <w:u w:val="single"/>
          <w:lang w:val="fr-FR"/>
        </w:rPr>
        <w:t>2.9.4.1</w:t>
      </w:r>
      <w:r>
        <w:rPr>
          <w:u w:val="single"/>
          <w:lang w:val="fr-FR"/>
        </w:rPr>
        <w:t> </w:t>
      </w:r>
      <w:r w:rsidRPr="00F24324">
        <w:rPr>
          <w:u w:val="single"/>
          <w:lang w:val="fr-FR"/>
        </w:rPr>
        <w:t>a)</w:t>
      </w:r>
      <w:r w:rsidRPr="00F02BF9">
        <w:rPr>
          <w:lang w:val="fr-FR"/>
        </w:rPr>
        <w:t xml:space="preserve"> ne s</w:t>
      </w:r>
      <w:r w:rsidR="00DA2AF8">
        <w:rPr>
          <w:lang w:val="fr-FR"/>
        </w:rPr>
        <w:t>’</w:t>
      </w:r>
      <w:r w:rsidRPr="00F02BF9">
        <w:rPr>
          <w:lang w:val="fr-FR"/>
        </w:rPr>
        <w:t>applique pas quand des piles ou batteries prototypes de préproduction ou des piles ou batteries d</w:t>
      </w:r>
      <w:r w:rsidR="00DA2AF8">
        <w:rPr>
          <w:lang w:val="fr-FR"/>
        </w:rPr>
        <w:t>’</w:t>
      </w:r>
      <w:r w:rsidRPr="00F02BF9">
        <w:rPr>
          <w:lang w:val="fr-FR"/>
        </w:rPr>
        <w:t xml:space="preserve">une petite série de production comprenant au plus 100 piles ou batteries sont installées dans </w:t>
      </w:r>
      <w:r>
        <w:rPr>
          <w:lang w:val="fr-FR"/>
        </w:rPr>
        <w:t>l</w:t>
      </w:r>
      <w:r w:rsidRPr="00F02BF9">
        <w:rPr>
          <w:lang w:val="fr-FR"/>
        </w:rPr>
        <w:t xml:space="preserve">es </w:t>
      </w:r>
      <w:r w:rsidRPr="00EC747D">
        <w:rPr>
          <w:lang w:val="fr-FR"/>
        </w:rPr>
        <w:t>véhicules ou équipements</w:t>
      </w:r>
      <w:r w:rsidRPr="00F02BF9">
        <w:rPr>
          <w:lang w:val="fr-FR"/>
        </w:rPr>
        <w:t>.</w:t>
      </w:r>
    </w:p>
    <w:p w14:paraId="36D06163" w14:textId="77777777" w:rsidR="00560D32" w:rsidRPr="0047302C" w:rsidRDefault="00560D32" w:rsidP="00FF70DC">
      <w:pPr>
        <w:pStyle w:val="SingleTxtG"/>
        <w:ind w:left="2268"/>
      </w:pPr>
      <w:r w:rsidRPr="00F02BF9">
        <w:rPr>
          <w:lang w:val="fr-FR"/>
        </w:rPr>
        <w:t>…</w:t>
      </w:r>
    </w:p>
    <w:p w14:paraId="7334D606" w14:textId="77777777" w:rsidR="00560D32" w:rsidRPr="0047302C" w:rsidRDefault="00560D32" w:rsidP="00FF70DC">
      <w:pPr>
        <w:pStyle w:val="SingleTxtG"/>
        <w:tabs>
          <w:tab w:val="left" w:pos="2835"/>
        </w:tabs>
        <w:ind w:left="2268" w:hanging="567"/>
      </w:pPr>
      <w:r w:rsidRPr="00F02BF9">
        <w:rPr>
          <w:lang w:val="fr-FR"/>
        </w:rPr>
        <w:t>389</w:t>
      </w:r>
      <w:r w:rsidR="00800373">
        <w:rPr>
          <w:lang w:val="fr-FR"/>
        </w:rPr>
        <w:t>.</w:t>
      </w:r>
      <w:r w:rsidRPr="00F02BF9">
        <w:rPr>
          <w:lang w:val="fr-FR"/>
        </w:rPr>
        <w:tab/>
        <w:t>Cette rubrique s</w:t>
      </w:r>
      <w:r w:rsidR="00DA2AF8">
        <w:rPr>
          <w:lang w:val="fr-FR"/>
        </w:rPr>
        <w:t>’</w:t>
      </w:r>
      <w:r w:rsidRPr="00F02BF9">
        <w:rPr>
          <w:lang w:val="fr-FR"/>
        </w:rPr>
        <w:t>applique uniquement aux batteries au lithium ionique ou batteries au lithium métal installées dans un engin de transport et conçues uniquement pour fournir de l</w:t>
      </w:r>
      <w:r w:rsidR="00DA2AF8">
        <w:rPr>
          <w:lang w:val="fr-FR"/>
        </w:rPr>
        <w:t>’</w:t>
      </w:r>
      <w:r w:rsidRPr="00F02BF9">
        <w:rPr>
          <w:lang w:val="fr-FR"/>
        </w:rPr>
        <w:t>énergie hors de l</w:t>
      </w:r>
      <w:r w:rsidR="00DA2AF8">
        <w:rPr>
          <w:lang w:val="fr-FR"/>
        </w:rPr>
        <w:t>’</w:t>
      </w:r>
      <w:r w:rsidRPr="00F02BF9">
        <w:rPr>
          <w:lang w:val="fr-FR"/>
        </w:rPr>
        <w:t xml:space="preserve">engin de transport. Les batteries au lithium doivent répondre aux prescriptions des </w:t>
      </w:r>
      <w:r w:rsidRPr="00F02BF9">
        <w:rPr>
          <w:u w:val="single"/>
          <w:lang w:val="fr-FR"/>
        </w:rPr>
        <w:t>2.9.4.1</w:t>
      </w:r>
      <w:r w:rsidRPr="00F02BF9">
        <w:rPr>
          <w:lang w:val="fr-FR"/>
        </w:rPr>
        <w:t xml:space="preserve"> a) à </w:t>
      </w:r>
      <w:r w:rsidRPr="00F02BF9">
        <w:rPr>
          <w:u w:val="single"/>
          <w:lang w:val="fr-FR"/>
        </w:rPr>
        <w:t>f)</w:t>
      </w:r>
      <w:r w:rsidRPr="00F02BF9">
        <w:rPr>
          <w:lang w:val="fr-FR"/>
        </w:rPr>
        <w:t xml:space="preserve"> et contenir les systèmes nécessaires pour prévenir la surcharge et la décharge excessive des batteries.</w:t>
      </w:r>
    </w:p>
    <w:p w14:paraId="4D0393D3" w14:textId="77777777" w:rsidR="00560D32" w:rsidRPr="0047302C" w:rsidRDefault="00560D32" w:rsidP="00FF70DC">
      <w:pPr>
        <w:pStyle w:val="SingleTxtG"/>
        <w:ind w:left="2268"/>
      </w:pPr>
      <w:r w:rsidRPr="00F02BF9">
        <w:rPr>
          <w:lang w:val="fr-FR"/>
        </w:rPr>
        <w:t>…</w:t>
      </w:r>
      <w:r w:rsidR="00FF70DC">
        <w:rPr>
          <w:lang w:val="fr-FR"/>
        </w:rPr>
        <w:t> </w:t>
      </w:r>
      <w:r w:rsidRPr="00F02BF9">
        <w:rPr>
          <w:lang w:val="fr-FR"/>
        </w:rPr>
        <w:t>».</w:t>
      </w:r>
    </w:p>
    <w:p w14:paraId="1D4AD202" w14:textId="77777777" w:rsidR="00560D32" w:rsidRDefault="00560D32" w:rsidP="00783CE9">
      <w:pPr>
        <w:pStyle w:val="SingleTxtG"/>
        <w:keepNext/>
        <w:ind w:left="1701"/>
        <w:rPr>
          <w:lang w:val="fr-FR"/>
        </w:rPr>
      </w:pPr>
      <w:r w:rsidRPr="00F02BF9">
        <w:rPr>
          <w:lang w:val="fr-FR"/>
        </w:rPr>
        <w:lastRenderedPageBreak/>
        <w:t>Au 4.1.4.1, instruction d</w:t>
      </w:r>
      <w:r w:rsidR="00DA2AF8">
        <w:rPr>
          <w:lang w:val="fr-FR"/>
        </w:rPr>
        <w:t>’</w:t>
      </w:r>
      <w:r w:rsidRPr="00F02BF9">
        <w:rPr>
          <w:lang w:val="fr-FR"/>
        </w:rPr>
        <w:t>emballage P911, modifier l</w:t>
      </w:r>
      <w:r w:rsidR="00DA2AF8">
        <w:rPr>
          <w:lang w:val="fr-FR"/>
        </w:rPr>
        <w:t>’</w:t>
      </w:r>
      <w:r w:rsidRPr="00F02BF9">
        <w:rPr>
          <w:lang w:val="fr-FR"/>
        </w:rPr>
        <w:t xml:space="preserve">alinéa </w:t>
      </w:r>
      <w:r w:rsidRPr="00F02BF9">
        <w:rPr>
          <w:i/>
          <w:iCs/>
          <w:lang w:val="fr-FR"/>
        </w:rPr>
        <w:t>a)</w:t>
      </w:r>
      <w:r w:rsidRPr="00F02BF9">
        <w:rPr>
          <w:lang w:val="fr-FR"/>
        </w:rPr>
        <w:t xml:space="preserve"> de la note de bas de page </w:t>
      </w:r>
      <w:r w:rsidRPr="00F02BF9">
        <w:rPr>
          <w:vertAlign w:val="superscript"/>
          <w:lang w:val="fr-FR"/>
        </w:rPr>
        <w:t>a</w:t>
      </w:r>
      <w:r w:rsidRPr="00F02BF9">
        <w:rPr>
          <w:lang w:val="fr-FR"/>
        </w:rPr>
        <w:t xml:space="preserve"> pour qu</w:t>
      </w:r>
      <w:r w:rsidR="00DA2AF8">
        <w:rPr>
          <w:lang w:val="fr-FR"/>
        </w:rPr>
        <w:t>’</w:t>
      </w:r>
      <w:r w:rsidRPr="00F02BF9">
        <w:rPr>
          <w:lang w:val="fr-FR"/>
        </w:rPr>
        <w:t>il se lise comme suit</w:t>
      </w:r>
      <w:r>
        <w:rPr>
          <w:lang w:val="fr-FR"/>
        </w:rPr>
        <w:t> :</w:t>
      </w:r>
    </w:p>
    <w:p w14:paraId="5A674DB9" w14:textId="77777777" w:rsidR="00560D32" w:rsidRDefault="00560D32" w:rsidP="00783CE9">
      <w:pPr>
        <w:pStyle w:val="SingleTxtG"/>
        <w:keepNext/>
        <w:rPr>
          <w:lang w:val="fr-FR"/>
        </w:rPr>
      </w:pPr>
      <w:r>
        <w:rPr>
          <w:lang w:val="fr-FR"/>
        </w:rPr>
        <w:t>«</w:t>
      </w:r>
      <w:r w:rsidR="00783CE9">
        <w:rPr>
          <w:lang w:val="fr-FR"/>
        </w:rPr>
        <w:t> </w:t>
      </w:r>
    </w:p>
    <w:tbl>
      <w:tblPr>
        <w:tblStyle w:val="TableGrid"/>
        <w:tblW w:w="0" w:type="auto"/>
        <w:tblInd w:w="988" w:type="dxa"/>
        <w:tblLayout w:type="fixed"/>
        <w:tblLook w:val="04A0" w:firstRow="1" w:lastRow="0" w:firstColumn="1" w:lastColumn="0" w:noHBand="0" w:noVBand="1"/>
      </w:tblPr>
      <w:tblGrid>
        <w:gridCol w:w="8362"/>
      </w:tblGrid>
      <w:tr w:rsidR="00783CE9" w:rsidRPr="00066C56" w14:paraId="326FA490" w14:textId="77777777" w:rsidTr="00B56C55">
        <w:tc>
          <w:tcPr>
            <w:tcW w:w="8362" w:type="dxa"/>
          </w:tcPr>
          <w:p w14:paraId="481D987C" w14:textId="77777777" w:rsidR="00783CE9" w:rsidRPr="00F24324" w:rsidRDefault="00783CE9" w:rsidP="00783CE9">
            <w:pPr>
              <w:keepNext/>
              <w:keepLines/>
              <w:tabs>
                <w:tab w:val="left" w:pos="2814"/>
                <w:tab w:val="right" w:pos="8220"/>
              </w:tabs>
              <w:rPr>
                <w:b/>
                <w:sz w:val="18"/>
                <w:szCs w:val="18"/>
              </w:rPr>
            </w:pPr>
            <w:r w:rsidRPr="00F24324">
              <w:rPr>
                <w:b/>
                <w:bCs/>
                <w:sz w:val="18"/>
                <w:szCs w:val="18"/>
                <w:lang w:val="fr-FR"/>
              </w:rPr>
              <w:t>P911</w:t>
            </w:r>
            <w:r w:rsidRPr="00F24324">
              <w:rPr>
                <w:sz w:val="18"/>
                <w:szCs w:val="18"/>
                <w:lang w:val="fr-FR"/>
              </w:rPr>
              <w:tab/>
            </w:r>
            <w:r w:rsidRPr="00F24324">
              <w:rPr>
                <w:b/>
                <w:bCs/>
                <w:sz w:val="18"/>
                <w:szCs w:val="18"/>
                <w:lang w:val="fr-FR"/>
              </w:rPr>
              <w:t>INSTRUCTION D</w:t>
            </w:r>
            <w:r w:rsidR="00DA2AF8">
              <w:rPr>
                <w:b/>
                <w:bCs/>
                <w:sz w:val="18"/>
                <w:szCs w:val="18"/>
                <w:lang w:val="fr-FR"/>
              </w:rPr>
              <w:t>’</w:t>
            </w:r>
            <w:r w:rsidRPr="00F24324">
              <w:rPr>
                <w:b/>
                <w:bCs/>
                <w:sz w:val="18"/>
                <w:szCs w:val="18"/>
                <w:lang w:val="fr-FR"/>
              </w:rPr>
              <w:t>EMBALLAGE</w:t>
            </w:r>
            <w:r w:rsidRPr="00F24324">
              <w:rPr>
                <w:b/>
                <w:bCs/>
                <w:sz w:val="18"/>
                <w:szCs w:val="18"/>
                <w:lang w:val="fr-FR"/>
              </w:rPr>
              <w:tab/>
              <w:t>P911</w:t>
            </w:r>
          </w:p>
        </w:tc>
      </w:tr>
      <w:tr w:rsidR="00783CE9" w:rsidRPr="00066C56" w14:paraId="758A597E" w14:textId="77777777" w:rsidTr="00B56C55">
        <w:tc>
          <w:tcPr>
            <w:tcW w:w="8362" w:type="dxa"/>
          </w:tcPr>
          <w:p w14:paraId="00090826" w14:textId="77777777" w:rsidR="00783CE9" w:rsidRPr="00783CE9" w:rsidRDefault="00783CE9" w:rsidP="00783CE9">
            <w:pPr>
              <w:pStyle w:val="Default"/>
              <w:keepNext/>
              <w:rPr>
                <w:sz w:val="18"/>
                <w:szCs w:val="18"/>
                <w:lang w:val="fr-CH"/>
              </w:rPr>
            </w:pPr>
            <w:r w:rsidRPr="00F24324">
              <w:rPr>
                <w:sz w:val="18"/>
                <w:szCs w:val="18"/>
                <w:lang w:val="fr-FR"/>
              </w:rPr>
              <w:t>Cette instruction s</w:t>
            </w:r>
            <w:r w:rsidR="00DA2AF8">
              <w:rPr>
                <w:sz w:val="18"/>
                <w:szCs w:val="18"/>
                <w:lang w:val="fr-FR"/>
              </w:rPr>
              <w:t>’</w:t>
            </w:r>
            <w:r w:rsidRPr="00F24324">
              <w:rPr>
                <w:sz w:val="18"/>
                <w:szCs w:val="18"/>
                <w:lang w:val="fr-FR"/>
              </w:rPr>
              <w:t>applique aux piles et batteries endommagées ou défectueuses, des Nos ONU 3090, 3091, 3480 et 3481, susceptibles de se démonter rapidement, de réagir dangereusement, de produire une flamme ou un dangereux dégagement de chaleur ou une émission de gaz ou de vapeur toxiques, corrosifs ou inflammables, dans les conditions normales de transport.</w:t>
            </w:r>
          </w:p>
        </w:tc>
      </w:tr>
      <w:tr w:rsidR="00783CE9" w:rsidRPr="00066C56" w14:paraId="02C06686" w14:textId="77777777" w:rsidTr="00B56C55">
        <w:tc>
          <w:tcPr>
            <w:tcW w:w="8362" w:type="dxa"/>
          </w:tcPr>
          <w:p w14:paraId="57981FC0" w14:textId="77777777" w:rsidR="00783CE9" w:rsidRPr="00F24324" w:rsidRDefault="00783CE9" w:rsidP="00783CE9">
            <w:pPr>
              <w:keepNext/>
              <w:keepLines/>
              <w:spacing w:after="120"/>
              <w:rPr>
                <w:sz w:val="18"/>
                <w:szCs w:val="18"/>
              </w:rPr>
            </w:pPr>
            <w:r w:rsidRPr="00F24324">
              <w:rPr>
                <w:sz w:val="18"/>
                <w:szCs w:val="18"/>
                <w:lang w:val="fr-FR"/>
              </w:rPr>
              <w:t>…</w:t>
            </w:r>
          </w:p>
          <w:p w14:paraId="0206DC4D" w14:textId="77777777" w:rsidR="00783CE9" w:rsidRPr="00783CE9" w:rsidRDefault="00783CE9" w:rsidP="00783CE9">
            <w:pPr>
              <w:pStyle w:val="Default"/>
              <w:keepNext/>
              <w:ind w:left="357" w:hanging="357"/>
              <w:rPr>
                <w:sz w:val="18"/>
                <w:szCs w:val="18"/>
                <w:lang w:val="fr-CH"/>
              </w:rPr>
            </w:pPr>
            <w:r w:rsidRPr="00F24324">
              <w:rPr>
                <w:sz w:val="18"/>
                <w:szCs w:val="18"/>
                <w:lang w:val="fr-FR"/>
              </w:rPr>
              <w:t>2)</w:t>
            </w:r>
            <w:r w:rsidRPr="00F24324">
              <w:rPr>
                <w:sz w:val="18"/>
                <w:szCs w:val="18"/>
                <w:lang w:val="fr-FR"/>
              </w:rPr>
              <w:tab/>
            </w:r>
            <w:r w:rsidRPr="00EC747D">
              <w:rPr>
                <w:sz w:val="18"/>
                <w:szCs w:val="18"/>
                <w:lang w:val="fr-FR"/>
              </w:rPr>
              <w:t>Les prescriptions supplémentaires en matière de performance doivent être vérifiées par des épreuves comme spécifié par l</w:t>
            </w:r>
            <w:r w:rsidR="00DA2AF8">
              <w:rPr>
                <w:sz w:val="18"/>
                <w:szCs w:val="18"/>
                <w:lang w:val="fr-FR"/>
              </w:rPr>
              <w:t>’</w:t>
            </w:r>
            <w:r w:rsidRPr="00EC747D">
              <w:rPr>
                <w:sz w:val="18"/>
                <w:szCs w:val="18"/>
                <w:lang w:val="fr-FR"/>
              </w:rPr>
              <w:t>autorité compétente</w:t>
            </w:r>
            <w:r w:rsidRPr="00F24324">
              <w:rPr>
                <w:sz w:val="18"/>
                <w:szCs w:val="18"/>
                <w:vertAlign w:val="superscript"/>
                <w:lang w:val="fr-FR"/>
              </w:rPr>
              <w:t>a</w:t>
            </w:r>
            <w:r w:rsidRPr="00F24324">
              <w:rPr>
                <w:sz w:val="18"/>
                <w:szCs w:val="18"/>
                <w:lang w:val="fr-FR"/>
              </w:rPr>
              <w:t xml:space="preserve">. </w:t>
            </w:r>
          </w:p>
          <w:p w14:paraId="5C3E1764" w14:textId="77777777" w:rsidR="00783CE9" w:rsidRPr="00F24324" w:rsidRDefault="00783CE9" w:rsidP="00783CE9">
            <w:pPr>
              <w:keepNext/>
              <w:keepLines/>
              <w:spacing w:after="120"/>
              <w:rPr>
                <w:sz w:val="18"/>
                <w:szCs w:val="18"/>
              </w:rPr>
            </w:pPr>
            <w:r w:rsidRPr="00F24324">
              <w:rPr>
                <w:sz w:val="18"/>
                <w:szCs w:val="18"/>
                <w:lang w:val="fr-FR"/>
              </w:rPr>
              <w:t>…</w:t>
            </w:r>
          </w:p>
          <w:p w14:paraId="5514319E" w14:textId="77777777" w:rsidR="00783CE9" w:rsidRPr="00066C56" w:rsidRDefault="00783CE9" w:rsidP="00783CE9">
            <w:pPr>
              <w:pStyle w:val="ListParagraph"/>
              <w:keepNext/>
              <w:keepLines/>
              <w:suppressAutoHyphens w:val="0"/>
              <w:spacing w:line="240" w:lineRule="auto"/>
              <w:ind w:left="1057" w:hanging="352"/>
              <w:rPr>
                <w:sz w:val="18"/>
                <w:szCs w:val="18"/>
              </w:rPr>
            </w:pPr>
          </w:p>
        </w:tc>
      </w:tr>
    </w:tbl>
    <w:p w14:paraId="2A29DA47" w14:textId="77777777" w:rsidR="00783CE9" w:rsidRDefault="00FB5A24" w:rsidP="00FB5A24">
      <w:pPr>
        <w:pStyle w:val="SingleTxtG"/>
        <w:tabs>
          <w:tab w:val="left" w:leader="underscore" w:pos="2268"/>
        </w:tabs>
        <w:ind w:left="709"/>
        <w:rPr>
          <w:lang w:val="fr-FR"/>
        </w:rPr>
      </w:pPr>
      <w:r>
        <w:rPr>
          <w:lang w:val="fr-FR"/>
        </w:rPr>
        <w:tab/>
      </w:r>
    </w:p>
    <w:p w14:paraId="22A7A718" w14:textId="77777777" w:rsidR="00560D32" w:rsidRPr="00FB5A24" w:rsidRDefault="00FB5A24" w:rsidP="00FB5A24">
      <w:pPr>
        <w:pStyle w:val="FootnoteText"/>
        <w:rPr>
          <w:i/>
          <w:sz w:val="16"/>
          <w:szCs w:val="16"/>
        </w:rPr>
      </w:pPr>
      <w:r>
        <w:rPr>
          <w:vertAlign w:val="superscript"/>
          <w:lang w:val="fr-FR"/>
        </w:rPr>
        <w:tab/>
      </w:r>
      <w:proofErr w:type="gramStart"/>
      <w:r w:rsidR="00560D32" w:rsidRPr="00FB5A24">
        <w:rPr>
          <w:vertAlign w:val="superscript"/>
          <w:lang w:val="fr-FR"/>
        </w:rPr>
        <w:t>a</w:t>
      </w:r>
      <w:proofErr w:type="gramEnd"/>
      <w:r w:rsidR="00560D32" w:rsidRPr="00F24324">
        <w:rPr>
          <w:lang w:val="fr-FR"/>
        </w:rPr>
        <w:tab/>
      </w:r>
      <w:r w:rsidR="00560D32" w:rsidRPr="00FB5A24">
        <w:rPr>
          <w:i/>
          <w:lang w:val="fr-FR"/>
        </w:rPr>
        <w:t>Les critères suivants, selon le cas, peuvent être pris en compte pour évaluer la performance de l</w:t>
      </w:r>
      <w:r w:rsidR="00DA2AF8">
        <w:rPr>
          <w:i/>
          <w:lang w:val="fr-FR"/>
        </w:rPr>
        <w:t>’</w:t>
      </w:r>
      <w:r w:rsidR="00560D32" w:rsidRPr="00FB5A24">
        <w:rPr>
          <w:i/>
          <w:lang w:val="fr-FR"/>
        </w:rPr>
        <w:t>emballage :</w:t>
      </w:r>
    </w:p>
    <w:p w14:paraId="14C21146" w14:textId="77777777" w:rsidR="00560D32" w:rsidRPr="00FB5A24" w:rsidRDefault="00560D32" w:rsidP="00FB5A24">
      <w:pPr>
        <w:pStyle w:val="FootnoteText"/>
        <w:ind w:left="1559" w:hanging="425"/>
        <w:rPr>
          <w:lang w:val="fr-FR"/>
        </w:rPr>
      </w:pPr>
      <w:r w:rsidRPr="00FB5A24">
        <w:rPr>
          <w:i/>
          <w:lang w:val="fr-FR"/>
        </w:rPr>
        <w:t>a)</w:t>
      </w:r>
      <w:r w:rsidRPr="00FB5A24">
        <w:rPr>
          <w:i/>
          <w:lang w:val="fr-FR"/>
        </w:rPr>
        <w:tab/>
        <w:t>L</w:t>
      </w:r>
      <w:r w:rsidR="00DA2AF8">
        <w:rPr>
          <w:i/>
          <w:lang w:val="fr-FR"/>
        </w:rPr>
        <w:t>’</w:t>
      </w:r>
      <w:r w:rsidRPr="00FB5A24">
        <w:rPr>
          <w:i/>
          <w:lang w:val="fr-FR"/>
        </w:rPr>
        <w:t>évaluation doit être effectuée dans le cadre d</w:t>
      </w:r>
      <w:r w:rsidR="00DA2AF8">
        <w:rPr>
          <w:i/>
          <w:lang w:val="fr-FR"/>
        </w:rPr>
        <w:t>’</w:t>
      </w:r>
      <w:r w:rsidRPr="00FB5A24">
        <w:rPr>
          <w:i/>
          <w:lang w:val="fr-FR"/>
        </w:rPr>
        <w:t xml:space="preserve">un système de gestion de la qualité (tel que le programme décrit au </w:t>
      </w:r>
      <w:r w:rsidRPr="0019486C">
        <w:rPr>
          <w:i/>
          <w:u w:val="single"/>
          <w:lang w:val="fr-FR"/>
        </w:rPr>
        <w:t>2.9.4.2</w:t>
      </w:r>
      <w:r w:rsidRPr="00FB5A24">
        <w:rPr>
          <w:i/>
          <w:lang w:val="fr-FR"/>
        </w:rPr>
        <w:t>) permettant d</w:t>
      </w:r>
      <w:r w:rsidR="00DA2AF8">
        <w:rPr>
          <w:i/>
          <w:lang w:val="fr-FR"/>
        </w:rPr>
        <w:t>’</w:t>
      </w:r>
      <w:r w:rsidRPr="00FB5A24">
        <w:rPr>
          <w:i/>
          <w:lang w:val="fr-FR"/>
        </w:rPr>
        <w:t>assurer la traçabilité des résultats des épreuves, des données de référence ainsi que des modèles de caractérisation utilisés ;</w:t>
      </w:r>
    </w:p>
    <w:p w14:paraId="741D5DD4" w14:textId="77777777" w:rsidR="00560D32" w:rsidRPr="0047302C" w:rsidRDefault="00560D32" w:rsidP="00FE6AF4">
      <w:pPr>
        <w:pStyle w:val="SingleTxtG"/>
        <w:spacing w:before="120"/>
      </w:pPr>
      <w:r w:rsidRPr="00F24324">
        <w:rPr>
          <w:sz w:val="18"/>
          <w:szCs w:val="18"/>
          <w:lang w:val="fr-FR"/>
        </w:rPr>
        <w:t>…</w:t>
      </w:r>
      <w:r w:rsidR="00FB5A24">
        <w:rPr>
          <w:sz w:val="18"/>
          <w:szCs w:val="18"/>
          <w:lang w:val="fr-FR"/>
        </w:rPr>
        <w:t> </w:t>
      </w:r>
      <w:r>
        <w:rPr>
          <w:lang w:val="fr-FR"/>
        </w:rPr>
        <w:t>».</w:t>
      </w:r>
    </w:p>
    <w:p w14:paraId="25A57F16" w14:textId="77777777" w:rsidR="00560D32" w:rsidRPr="0047302C" w:rsidRDefault="00560D32" w:rsidP="00FE6AF4">
      <w:pPr>
        <w:pStyle w:val="SingleTxtG"/>
        <w:keepNext/>
        <w:ind w:left="1701"/>
      </w:pPr>
      <w:r>
        <w:rPr>
          <w:lang w:val="fr-FR"/>
        </w:rPr>
        <w:t>Au 4.1.4.3, instruction d</w:t>
      </w:r>
      <w:r w:rsidR="00DA2AF8">
        <w:rPr>
          <w:lang w:val="fr-FR"/>
        </w:rPr>
        <w:t>’</w:t>
      </w:r>
      <w:r>
        <w:rPr>
          <w:lang w:val="fr-FR"/>
        </w:rPr>
        <w:t>emballage LP906, modifier l</w:t>
      </w:r>
      <w:r w:rsidR="00DA2AF8">
        <w:rPr>
          <w:lang w:val="fr-FR"/>
        </w:rPr>
        <w:t>’</w:t>
      </w:r>
      <w:r>
        <w:rPr>
          <w:lang w:val="fr-FR"/>
        </w:rPr>
        <w:t xml:space="preserve">alinéa a) de la note de bas de page </w:t>
      </w:r>
      <w:r>
        <w:rPr>
          <w:vertAlign w:val="superscript"/>
          <w:lang w:val="fr-FR"/>
        </w:rPr>
        <w:t>a</w:t>
      </w:r>
      <w:r>
        <w:rPr>
          <w:lang w:val="fr-FR"/>
        </w:rPr>
        <w:t xml:space="preserve"> pour qu</w:t>
      </w:r>
      <w:r w:rsidR="00DA2AF8">
        <w:rPr>
          <w:lang w:val="fr-FR"/>
        </w:rPr>
        <w:t>’</w:t>
      </w:r>
      <w:r>
        <w:rPr>
          <w:lang w:val="fr-FR"/>
        </w:rPr>
        <w:t>il se lise comme suit :</w:t>
      </w:r>
    </w:p>
    <w:p w14:paraId="59092637" w14:textId="77777777" w:rsidR="00560D32" w:rsidRDefault="00560D32" w:rsidP="00FE6AF4">
      <w:pPr>
        <w:pStyle w:val="SingleTxtG"/>
        <w:rPr>
          <w:lang w:val="fr-FR"/>
        </w:rPr>
      </w:pPr>
      <w:r>
        <w:rPr>
          <w:lang w:val="fr-FR"/>
        </w:rPr>
        <w:t>«</w:t>
      </w:r>
    </w:p>
    <w:tbl>
      <w:tblPr>
        <w:tblStyle w:val="TableGrid"/>
        <w:tblW w:w="0" w:type="auto"/>
        <w:tblInd w:w="988" w:type="dxa"/>
        <w:tblLayout w:type="fixed"/>
        <w:tblLook w:val="04A0" w:firstRow="1" w:lastRow="0" w:firstColumn="1" w:lastColumn="0" w:noHBand="0" w:noVBand="1"/>
      </w:tblPr>
      <w:tblGrid>
        <w:gridCol w:w="8362"/>
      </w:tblGrid>
      <w:tr w:rsidR="00FE6AF4" w:rsidRPr="00F24324" w14:paraId="15BBE3A1" w14:textId="77777777" w:rsidTr="00B56C55">
        <w:tc>
          <w:tcPr>
            <w:tcW w:w="8362" w:type="dxa"/>
          </w:tcPr>
          <w:p w14:paraId="4F0BE0CC" w14:textId="77777777" w:rsidR="00FE6AF4" w:rsidRPr="00F24324" w:rsidRDefault="00FE6AF4" w:rsidP="00B56C55">
            <w:pPr>
              <w:keepNext/>
              <w:keepLines/>
              <w:tabs>
                <w:tab w:val="left" w:pos="2814"/>
                <w:tab w:val="right" w:pos="8204"/>
              </w:tabs>
              <w:rPr>
                <w:b/>
                <w:sz w:val="18"/>
                <w:szCs w:val="18"/>
              </w:rPr>
            </w:pPr>
            <w:r w:rsidRPr="00F24324">
              <w:rPr>
                <w:b/>
                <w:bCs/>
                <w:sz w:val="18"/>
                <w:szCs w:val="18"/>
                <w:lang w:val="fr-FR"/>
              </w:rPr>
              <w:t>LP906</w:t>
            </w:r>
            <w:r w:rsidRPr="00F24324">
              <w:rPr>
                <w:sz w:val="18"/>
                <w:szCs w:val="18"/>
                <w:lang w:val="fr-FR"/>
              </w:rPr>
              <w:tab/>
            </w:r>
            <w:r w:rsidRPr="00F24324">
              <w:rPr>
                <w:b/>
                <w:bCs/>
                <w:sz w:val="18"/>
                <w:szCs w:val="18"/>
                <w:lang w:val="fr-FR"/>
              </w:rPr>
              <w:t>INSTRUCTION D</w:t>
            </w:r>
            <w:r w:rsidR="00DA2AF8">
              <w:rPr>
                <w:b/>
                <w:bCs/>
                <w:sz w:val="18"/>
                <w:szCs w:val="18"/>
                <w:lang w:val="fr-FR"/>
              </w:rPr>
              <w:t>’</w:t>
            </w:r>
            <w:r w:rsidRPr="00F24324">
              <w:rPr>
                <w:b/>
                <w:bCs/>
                <w:sz w:val="18"/>
                <w:szCs w:val="18"/>
                <w:lang w:val="fr-FR"/>
              </w:rPr>
              <w:t xml:space="preserve">EMBALLAGE </w:t>
            </w:r>
            <w:r w:rsidRPr="00F24324">
              <w:rPr>
                <w:b/>
                <w:bCs/>
                <w:sz w:val="18"/>
                <w:szCs w:val="18"/>
                <w:lang w:val="fr-FR"/>
              </w:rPr>
              <w:tab/>
              <w:t>LP906</w:t>
            </w:r>
          </w:p>
        </w:tc>
      </w:tr>
      <w:tr w:rsidR="00FE6AF4" w:rsidRPr="00F24324" w14:paraId="1411CB1F" w14:textId="77777777" w:rsidTr="00B56C55">
        <w:tc>
          <w:tcPr>
            <w:tcW w:w="8362" w:type="dxa"/>
          </w:tcPr>
          <w:p w14:paraId="64185215" w14:textId="77777777" w:rsidR="00FE6AF4" w:rsidRPr="00FE6AF4" w:rsidRDefault="00FE6AF4" w:rsidP="00B56C55">
            <w:pPr>
              <w:pStyle w:val="Default"/>
              <w:rPr>
                <w:sz w:val="18"/>
                <w:szCs w:val="18"/>
                <w:lang w:val="fr-CH"/>
              </w:rPr>
            </w:pPr>
            <w:r w:rsidRPr="00F24324">
              <w:rPr>
                <w:sz w:val="18"/>
                <w:szCs w:val="18"/>
                <w:lang w:val="fr-FR"/>
              </w:rPr>
              <w:t>Cette instruction s</w:t>
            </w:r>
            <w:r w:rsidR="00DA2AF8">
              <w:rPr>
                <w:sz w:val="18"/>
                <w:szCs w:val="18"/>
                <w:lang w:val="fr-FR"/>
              </w:rPr>
              <w:t>’</w:t>
            </w:r>
            <w:r w:rsidRPr="00F24324">
              <w:rPr>
                <w:sz w:val="18"/>
                <w:szCs w:val="18"/>
                <w:lang w:val="fr-FR"/>
              </w:rPr>
              <w:t>applique aux piles et batteries endommagées ou défectueuses, des Nos ONU 3090, 3091, 3480 et 3481, susceptibles de se démonter rapidement, de réagir dangereusement, de produire une flamme ou un dangereux dégagement de chaleur ou une émission de gaz ou de vapeur toxiques, corrosifs ou inflammables, dans les conditions normales de transport.</w:t>
            </w:r>
          </w:p>
        </w:tc>
      </w:tr>
      <w:tr w:rsidR="00FE6AF4" w:rsidRPr="00F24324" w14:paraId="2221590B" w14:textId="77777777" w:rsidTr="00B56C55">
        <w:tc>
          <w:tcPr>
            <w:tcW w:w="8362" w:type="dxa"/>
          </w:tcPr>
          <w:p w14:paraId="09AA0F6D" w14:textId="77777777" w:rsidR="00FE6AF4" w:rsidRPr="00F24324" w:rsidRDefault="00FE6AF4" w:rsidP="00B56C55">
            <w:pPr>
              <w:keepNext/>
              <w:keepLines/>
              <w:spacing w:after="120"/>
              <w:rPr>
                <w:sz w:val="18"/>
                <w:szCs w:val="18"/>
              </w:rPr>
            </w:pPr>
            <w:r w:rsidRPr="00F24324">
              <w:rPr>
                <w:sz w:val="18"/>
                <w:szCs w:val="18"/>
                <w:lang w:val="fr-FR"/>
              </w:rPr>
              <w:t>…</w:t>
            </w:r>
          </w:p>
          <w:p w14:paraId="5C1E6DB0" w14:textId="77777777" w:rsidR="00FE6AF4" w:rsidRPr="00FE6AF4" w:rsidRDefault="00FE6AF4" w:rsidP="00B56C55">
            <w:pPr>
              <w:pStyle w:val="Default"/>
              <w:ind w:left="357" w:hanging="357"/>
              <w:rPr>
                <w:sz w:val="18"/>
                <w:szCs w:val="18"/>
                <w:lang w:val="fr-CH"/>
              </w:rPr>
            </w:pPr>
            <w:r w:rsidRPr="00F24324">
              <w:rPr>
                <w:sz w:val="18"/>
                <w:szCs w:val="18"/>
                <w:lang w:val="fr-FR"/>
              </w:rPr>
              <w:t>2)</w:t>
            </w:r>
            <w:r w:rsidR="006F753C">
              <w:rPr>
                <w:sz w:val="18"/>
                <w:szCs w:val="18"/>
                <w:lang w:val="fr-FR"/>
              </w:rPr>
              <w:tab/>
            </w:r>
            <w:r w:rsidRPr="00A2370F">
              <w:rPr>
                <w:sz w:val="18"/>
                <w:szCs w:val="18"/>
                <w:lang w:val="fr-FR"/>
              </w:rPr>
              <w:t>Les prescriptions supplémentaires en matière de performance doivent être vérifiées par des épreuves comme spécifié par l</w:t>
            </w:r>
            <w:r w:rsidR="00DA2AF8">
              <w:rPr>
                <w:sz w:val="18"/>
                <w:szCs w:val="18"/>
                <w:lang w:val="fr-FR"/>
              </w:rPr>
              <w:t>’</w:t>
            </w:r>
            <w:r w:rsidRPr="00A2370F">
              <w:rPr>
                <w:sz w:val="18"/>
                <w:szCs w:val="18"/>
                <w:lang w:val="fr-FR"/>
              </w:rPr>
              <w:t>autorité compétente</w:t>
            </w:r>
            <w:r w:rsidRPr="00F24324">
              <w:rPr>
                <w:sz w:val="18"/>
                <w:szCs w:val="18"/>
                <w:vertAlign w:val="superscript"/>
                <w:lang w:val="fr-FR"/>
              </w:rPr>
              <w:t>a</w:t>
            </w:r>
            <w:r w:rsidRPr="00F24324">
              <w:rPr>
                <w:sz w:val="18"/>
                <w:szCs w:val="18"/>
                <w:lang w:val="fr-FR"/>
              </w:rPr>
              <w:t xml:space="preserve">. </w:t>
            </w:r>
          </w:p>
          <w:p w14:paraId="1662CF68" w14:textId="77777777" w:rsidR="00FE6AF4" w:rsidRPr="00F24324" w:rsidRDefault="00FE6AF4" w:rsidP="00B56C55">
            <w:pPr>
              <w:keepNext/>
              <w:keepLines/>
              <w:spacing w:after="120"/>
              <w:rPr>
                <w:sz w:val="18"/>
                <w:szCs w:val="18"/>
              </w:rPr>
            </w:pPr>
            <w:r w:rsidRPr="00F24324">
              <w:rPr>
                <w:sz w:val="18"/>
                <w:szCs w:val="18"/>
                <w:lang w:val="fr-FR"/>
              </w:rPr>
              <w:t>…</w:t>
            </w:r>
          </w:p>
          <w:p w14:paraId="67BB93C8" w14:textId="77777777" w:rsidR="00FE6AF4" w:rsidRPr="00F24324" w:rsidRDefault="00FE6AF4" w:rsidP="00B56C55">
            <w:pPr>
              <w:pStyle w:val="ListParagraph"/>
              <w:keepNext/>
              <w:keepLines/>
              <w:suppressAutoHyphens w:val="0"/>
              <w:spacing w:line="240" w:lineRule="auto"/>
              <w:ind w:left="1057" w:hanging="352"/>
              <w:rPr>
                <w:sz w:val="18"/>
                <w:szCs w:val="18"/>
              </w:rPr>
            </w:pPr>
          </w:p>
        </w:tc>
      </w:tr>
    </w:tbl>
    <w:p w14:paraId="7461B85C" w14:textId="77777777" w:rsidR="00FE6AF4" w:rsidRPr="00FE6AF4" w:rsidRDefault="00FE6AF4" w:rsidP="00FE6AF4">
      <w:pPr>
        <w:pStyle w:val="SingleTxtG"/>
        <w:tabs>
          <w:tab w:val="left" w:leader="underscore" w:pos="2268"/>
        </w:tabs>
        <w:ind w:left="709"/>
        <w:rPr>
          <w:lang w:val="fr-FR"/>
        </w:rPr>
      </w:pPr>
      <w:r>
        <w:rPr>
          <w:lang w:val="fr-FR"/>
        </w:rPr>
        <w:tab/>
      </w:r>
    </w:p>
    <w:p w14:paraId="63EA988E" w14:textId="77777777" w:rsidR="00560D32" w:rsidRPr="0047302C" w:rsidRDefault="00FE6AF4" w:rsidP="00FE6AF4">
      <w:pPr>
        <w:pStyle w:val="FootnoteText"/>
        <w:rPr>
          <w:i/>
          <w:iCs/>
          <w:szCs w:val="18"/>
        </w:rPr>
      </w:pPr>
      <w:r>
        <w:rPr>
          <w:szCs w:val="18"/>
          <w:vertAlign w:val="superscript"/>
          <w:lang w:val="fr-FR"/>
        </w:rPr>
        <w:tab/>
      </w:r>
      <w:proofErr w:type="gramStart"/>
      <w:r w:rsidR="00560D32" w:rsidRPr="00F24324">
        <w:rPr>
          <w:szCs w:val="18"/>
          <w:vertAlign w:val="superscript"/>
          <w:lang w:val="fr-FR"/>
        </w:rPr>
        <w:t>a</w:t>
      </w:r>
      <w:proofErr w:type="gramEnd"/>
      <w:r w:rsidR="00560D32" w:rsidRPr="00F24324">
        <w:rPr>
          <w:szCs w:val="18"/>
          <w:lang w:val="fr-FR"/>
        </w:rPr>
        <w:t xml:space="preserve"> </w:t>
      </w:r>
      <w:r w:rsidR="00560D32" w:rsidRPr="00F24324">
        <w:rPr>
          <w:szCs w:val="18"/>
          <w:lang w:val="fr-FR"/>
        </w:rPr>
        <w:tab/>
      </w:r>
      <w:r w:rsidR="00560D32" w:rsidRPr="00F24324">
        <w:rPr>
          <w:i/>
          <w:iCs/>
          <w:szCs w:val="18"/>
          <w:lang w:val="fr-FR"/>
        </w:rPr>
        <w:t>Les critères suivants, selon le cas, peuvent être pris en compte pour évaluer la performance du grand emballage :</w:t>
      </w:r>
    </w:p>
    <w:p w14:paraId="39EB7899" w14:textId="77777777" w:rsidR="00560D32" w:rsidRPr="0047302C" w:rsidRDefault="00FE6AF4" w:rsidP="00FE6AF4">
      <w:pPr>
        <w:pStyle w:val="FootnoteText"/>
        <w:ind w:left="1559" w:hanging="425"/>
        <w:rPr>
          <w:i/>
          <w:iCs/>
          <w:szCs w:val="18"/>
        </w:rPr>
      </w:pPr>
      <w:r>
        <w:rPr>
          <w:i/>
          <w:iCs/>
          <w:szCs w:val="18"/>
          <w:lang w:val="fr-FR"/>
        </w:rPr>
        <w:t>a)</w:t>
      </w:r>
      <w:r>
        <w:rPr>
          <w:i/>
          <w:iCs/>
          <w:szCs w:val="18"/>
          <w:lang w:val="fr-FR"/>
        </w:rPr>
        <w:tab/>
      </w:r>
      <w:r w:rsidR="00560D32" w:rsidRPr="00F24324">
        <w:rPr>
          <w:i/>
          <w:iCs/>
          <w:szCs w:val="18"/>
          <w:lang w:val="fr-FR"/>
        </w:rPr>
        <w:t>L</w:t>
      </w:r>
      <w:r w:rsidR="00DA2AF8">
        <w:rPr>
          <w:i/>
          <w:iCs/>
          <w:szCs w:val="18"/>
          <w:lang w:val="fr-FR"/>
        </w:rPr>
        <w:t>’</w:t>
      </w:r>
      <w:r w:rsidR="00560D32" w:rsidRPr="00F24324">
        <w:rPr>
          <w:i/>
          <w:iCs/>
          <w:szCs w:val="18"/>
          <w:lang w:val="fr-FR"/>
        </w:rPr>
        <w:t>évaluation doit être effectuée dans le cadre d</w:t>
      </w:r>
      <w:r w:rsidR="00DA2AF8">
        <w:rPr>
          <w:i/>
          <w:iCs/>
          <w:szCs w:val="18"/>
          <w:lang w:val="fr-FR"/>
        </w:rPr>
        <w:t>’</w:t>
      </w:r>
      <w:r w:rsidR="00560D32" w:rsidRPr="00F24324">
        <w:rPr>
          <w:i/>
          <w:iCs/>
          <w:szCs w:val="18"/>
          <w:lang w:val="fr-FR"/>
        </w:rPr>
        <w:t xml:space="preserve">un système de gestion de la qualité (tel que le programme décrit au </w:t>
      </w:r>
      <w:r w:rsidR="00560D32" w:rsidRPr="00F24324">
        <w:rPr>
          <w:i/>
          <w:iCs/>
          <w:szCs w:val="18"/>
          <w:u w:val="single"/>
          <w:lang w:val="fr-FR"/>
        </w:rPr>
        <w:t>2.9.4.2</w:t>
      </w:r>
      <w:r w:rsidR="00560D32" w:rsidRPr="00F24324">
        <w:rPr>
          <w:i/>
          <w:iCs/>
          <w:szCs w:val="18"/>
          <w:lang w:val="fr-FR"/>
        </w:rPr>
        <w:t>) permettant d</w:t>
      </w:r>
      <w:r w:rsidR="00DA2AF8">
        <w:rPr>
          <w:i/>
          <w:iCs/>
          <w:szCs w:val="18"/>
          <w:lang w:val="fr-FR"/>
        </w:rPr>
        <w:t>’</w:t>
      </w:r>
      <w:r w:rsidR="00560D32" w:rsidRPr="00F24324">
        <w:rPr>
          <w:i/>
          <w:iCs/>
          <w:szCs w:val="18"/>
          <w:lang w:val="fr-FR"/>
        </w:rPr>
        <w:t>assurer la traçabilité des résultats des épreuves, des données de référence ainsi que des modèles de caractérisation utilisés ;</w:t>
      </w:r>
    </w:p>
    <w:p w14:paraId="197E4679" w14:textId="77777777" w:rsidR="00560D32" w:rsidRDefault="00560D32" w:rsidP="00FE6AF4">
      <w:pPr>
        <w:pStyle w:val="SingleTxtG"/>
        <w:spacing w:before="120"/>
      </w:pPr>
      <w:r w:rsidRPr="00F24324">
        <w:rPr>
          <w:lang w:val="fr-FR"/>
        </w:rPr>
        <w:t>… »</w:t>
      </w:r>
      <w:r>
        <w:rPr>
          <w:lang w:val="fr-FR"/>
        </w:rPr>
        <w:t>.</w:t>
      </w:r>
    </w:p>
    <w:p w14:paraId="1C624EF9" w14:textId="77777777" w:rsidR="00446FE5" w:rsidRPr="00FE6AF4" w:rsidRDefault="00FE6AF4" w:rsidP="00FE6AF4">
      <w:pPr>
        <w:pStyle w:val="SingleTxtG"/>
        <w:spacing w:before="240" w:after="0"/>
        <w:jc w:val="center"/>
        <w:rPr>
          <w:u w:val="single"/>
        </w:rPr>
      </w:pPr>
      <w:r>
        <w:rPr>
          <w:u w:val="single"/>
        </w:rPr>
        <w:tab/>
      </w:r>
      <w:r>
        <w:rPr>
          <w:u w:val="single"/>
        </w:rPr>
        <w:tab/>
      </w:r>
      <w:r>
        <w:rPr>
          <w:u w:val="single"/>
        </w:rPr>
        <w:tab/>
      </w:r>
    </w:p>
    <w:sectPr w:rsidR="00446FE5" w:rsidRPr="00FE6AF4" w:rsidSect="00560D3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2B7AF" w14:textId="77777777" w:rsidR="0076153A" w:rsidRDefault="0076153A" w:rsidP="00F95C08">
      <w:pPr>
        <w:spacing w:line="240" w:lineRule="auto"/>
      </w:pPr>
    </w:p>
  </w:endnote>
  <w:endnote w:type="continuationSeparator" w:id="0">
    <w:p w14:paraId="50D26E55" w14:textId="77777777" w:rsidR="0076153A" w:rsidRPr="00AC3823" w:rsidRDefault="0076153A" w:rsidP="00AC3823">
      <w:pPr>
        <w:pStyle w:val="Footer"/>
      </w:pPr>
    </w:p>
  </w:endnote>
  <w:endnote w:type="continuationNotice" w:id="1">
    <w:p w14:paraId="2598B8D1" w14:textId="77777777" w:rsidR="0076153A" w:rsidRDefault="0076153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C3018" w14:textId="77777777" w:rsidR="00560D32" w:rsidRPr="00560D32" w:rsidRDefault="00560D32" w:rsidP="00560D32">
    <w:pPr>
      <w:pStyle w:val="Footer"/>
      <w:tabs>
        <w:tab w:val="right" w:pos="9638"/>
      </w:tabs>
    </w:pPr>
    <w:r w:rsidRPr="00560D32">
      <w:rPr>
        <w:b/>
        <w:sz w:val="18"/>
      </w:rPr>
      <w:fldChar w:fldCharType="begin"/>
    </w:r>
    <w:r w:rsidRPr="00560D32">
      <w:rPr>
        <w:b/>
        <w:sz w:val="18"/>
      </w:rPr>
      <w:instrText xml:space="preserve"> PAGE  \* MERGEFORMAT </w:instrText>
    </w:r>
    <w:r w:rsidRPr="00560D32">
      <w:rPr>
        <w:b/>
        <w:sz w:val="18"/>
      </w:rPr>
      <w:fldChar w:fldCharType="separate"/>
    </w:r>
    <w:r w:rsidRPr="00560D32">
      <w:rPr>
        <w:b/>
        <w:noProof/>
        <w:sz w:val="18"/>
      </w:rPr>
      <w:t>2</w:t>
    </w:r>
    <w:r w:rsidRPr="00560D32">
      <w:rPr>
        <w:b/>
        <w:sz w:val="18"/>
      </w:rPr>
      <w:fldChar w:fldCharType="end"/>
    </w:r>
    <w:r>
      <w:rPr>
        <w:b/>
        <w:sz w:val="18"/>
      </w:rPr>
      <w:tab/>
    </w:r>
    <w:r>
      <w:t>GE.20-05437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7C374" w14:textId="77777777" w:rsidR="00560D32" w:rsidRPr="00560D32" w:rsidRDefault="00560D32" w:rsidP="00560D32">
    <w:pPr>
      <w:pStyle w:val="Footer"/>
      <w:tabs>
        <w:tab w:val="right" w:pos="9638"/>
      </w:tabs>
      <w:rPr>
        <w:b/>
        <w:sz w:val="18"/>
      </w:rPr>
    </w:pPr>
    <w:r>
      <w:t>GE.20-05437</w:t>
    </w:r>
    <w:r>
      <w:tab/>
    </w:r>
    <w:r w:rsidRPr="00560D32">
      <w:rPr>
        <w:b/>
        <w:sz w:val="18"/>
      </w:rPr>
      <w:fldChar w:fldCharType="begin"/>
    </w:r>
    <w:r w:rsidRPr="00560D32">
      <w:rPr>
        <w:b/>
        <w:sz w:val="18"/>
      </w:rPr>
      <w:instrText xml:space="preserve"> PAGE  \* MERGEFORMAT </w:instrText>
    </w:r>
    <w:r w:rsidRPr="00560D32">
      <w:rPr>
        <w:b/>
        <w:sz w:val="18"/>
      </w:rPr>
      <w:fldChar w:fldCharType="separate"/>
    </w:r>
    <w:r w:rsidRPr="00560D32">
      <w:rPr>
        <w:b/>
        <w:noProof/>
        <w:sz w:val="18"/>
      </w:rPr>
      <w:t>3</w:t>
    </w:r>
    <w:r w:rsidRPr="00560D3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BAD28" w14:textId="77777777" w:rsidR="0068456F" w:rsidRPr="00560D32" w:rsidRDefault="00560D32" w:rsidP="00560D32">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0DB4B5B0" wp14:editId="68AAD31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w:t>
    </w:r>
    <w:proofErr w:type="gramStart"/>
    <w:r>
      <w:rPr>
        <w:sz w:val="20"/>
      </w:rPr>
      <w:t>05437  (</w:t>
    </w:r>
    <w:proofErr w:type="gramEnd"/>
    <w:r>
      <w:rPr>
        <w:sz w:val="20"/>
      </w:rPr>
      <w:t>F)</w:t>
    </w:r>
    <w:r w:rsidR="00DA2AF8">
      <w:rPr>
        <w:sz w:val="20"/>
      </w:rPr>
      <w:t xml:space="preserve">    290420    300420</w:t>
    </w:r>
    <w:r>
      <w:rPr>
        <w:sz w:val="20"/>
      </w:rPr>
      <w:br/>
    </w:r>
    <w:r w:rsidRPr="00560D32">
      <w:rPr>
        <w:rFonts w:ascii="C39T30Lfz" w:hAnsi="C39T30Lfz"/>
        <w:sz w:val="56"/>
      </w:rPr>
      <w:t></w:t>
    </w:r>
    <w:r w:rsidRPr="00560D32">
      <w:rPr>
        <w:rFonts w:ascii="C39T30Lfz" w:hAnsi="C39T30Lfz"/>
        <w:sz w:val="56"/>
      </w:rPr>
      <w:t></w:t>
    </w:r>
    <w:r w:rsidRPr="00560D32">
      <w:rPr>
        <w:rFonts w:ascii="C39T30Lfz" w:hAnsi="C39T30Lfz"/>
        <w:sz w:val="56"/>
      </w:rPr>
      <w:t></w:t>
    </w:r>
    <w:r w:rsidRPr="00560D32">
      <w:rPr>
        <w:rFonts w:ascii="C39T30Lfz" w:hAnsi="C39T30Lfz"/>
        <w:sz w:val="56"/>
      </w:rPr>
      <w:t></w:t>
    </w:r>
    <w:r w:rsidRPr="00560D32">
      <w:rPr>
        <w:rFonts w:ascii="C39T30Lfz" w:hAnsi="C39T30Lfz"/>
        <w:sz w:val="56"/>
      </w:rPr>
      <w:t></w:t>
    </w:r>
    <w:r w:rsidRPr="00560D32">
      <w:rPr>
        <w:rFonts w:ascii="C39T30Lfz" w:hAnsi="C39T30Lfz"/>
        <w:sz w:val="56"/>
      </w:rPr>
      <w:t></w:t>
    </w:r>
    <w:r w:rsidRPr="00560D32">
      <w:rPr>
        <w:rFonts w:ascii="C39T30Lfz" w:hAnsi="C39T30Lfz"/>
        <w:sz w:val="56"/>
      </w:rPr>
      <w:t></w:t>
    </w:r>
    <w:r w:rsidRPr="00560D32">
      <w:rPr>
        <w:rFonts w:ascii="C39T30Lfz" w:hAnsi="C39T30Lfz"/>
        <w:sz w:val="56"/>
      </w:rPr>
      <w:t></w:t>
    </w:r>
    <w:r w:rsidRPr="00560D32">
      <w:rPr>
        <w:rFonts w:ascii="C39T30Lfz" w:hAnsi="C39T30Lfz"/>
        <w:sz w:val="56"/>
      </w:rPr>
      <w:t></w:t>
    </w:r>
    <w:r>
      <w:rPr>
        <w:noProof/>
        <w:sz w:val="20"/>
      </w:rPr>
      <w:drawing>
        <wp:anchor distT="0" distB="0" distL="114300" distR="114300" simplePos="0" relativeHeight="251658240" behindDoc="0" locked="0" layoutInCell="1" allowOverlap="1" wp14:anchorId="7C6FFA81" wp14:editId="6EEA241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20/4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20/4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0AB38" w14:textId="77777777" w:rsidR="0076153A" w:rsidRPr="00AC3823" w:rsidRDefault="0076153A" w:rsidP="00AC3823">
      <w:pPr>
        <w:pStyle w:val="Footer"/>
        <w:tabs>
          <w:tab w:val="right" w:pos="2155"/>
        </w:tabs>
        <w:spacing w:after="80" w:line="240" w:lineRule="atLeast"/>
        <w:ind w:left="680"/>
        <w:rPr>
          <w:u w:val="single"/>
        </w:rPr>
      </w:pPr>
      <w:r>
        <w:rPr>
          <w:u w:val="single"/>
        </w:rPr>
        <w:tab/>
      </w:r>
    </w:p>
  </w:footnote>
  <w:footnote w:type="continuationSeparator" w:id="0">
    <w:p w14:paraId="7C16AC10" w14:textId="77777777" w:rsidR="0076153A" w:rsidRPr="00AC3823" w:rsidRDefault="0076153A" w:rsidP="00AC3823">
      <w:pPr>
        <w:pStyle w:val="Footer"/>
        <w:tabs>
          <w:tab w:val="right" w:pos="2155"/>
        </w:tabs>
        <w:spacing w:after="80" w:line="240" w:lineRule="atLeast"/>
        <w:ind w:left="680"/>
        <w:rPr>
          <w:u w:val="single"/>
        </w:rPr>
      </w:pPr>
      <w:r>
        <w:rPr>
          <w:u w:val="single"/>
        </w:rPr>
        <w:tab/>
      </w:r>
    </w:p>
  </w:footnote>
  <w:footnote w:type="continuationNotice" w:id="1">
    <w:p w14:paraId="38058007" w14:textId="77777777" w:rsidR="0076153A" w:rsidRPr="00AC3823" w:rsidRDefault="0076153A">
      <w:pPr>
        <w:spacing w:line="240" w:lineRule="auto"/>
        <w:rPr>
          <w:sz w:val="2"/>
          <w:szCs w:val="2"/>
        </w:rPr>
      </w:pPr>
    </w:p>
  </w:footnote>
  <w:footnote w:id="2">
    <w:p w14:paraId="27768E19" w14:textId="77777777" w:rsidR="00560D32" w:rsidRPr="00560D32" w:rsidRDefault="00560D32">
      <w:pPr>
        <w:pStyle w:val="FootnoteText"/>
      </w:pPr>
      <w:r>
        <w:rPr>
          <w:rStyle w:val="FootnoteReference"/>
        </w:rPr>
        <w:tab/>
      </w:r>
      <w:r w:rsidRPr="00560D32">
        <w:rPr>
          <w:rStyle w:val="FootnoteReference"/>
          <w:sz w:val="20"/>
          <w:vertAlign w:val="baseline"/>
        </w:rPr>
        <w:t>*</w:t>
      </w:r>
      <w:r>
        <w:rPr>
          <w:rStyle w:val="FootnoteReference"/>
          <w:sz w:val="20"/>
          <w:vertAlign w:val="baseline"/>
        </w:rPr>
        <w:tab/>
      </w:r>
      <w:r w:rsidR="00476736" w:rsidRPr="00476736">
        <w:rPr>
          <w:lang w:val="fr-FR"/>
        </w:rPr>
        <w:t>Sous-programme 2 du budget-programme pour 2020 (A/74/6 (Sect.20) et informations complémentaires.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6E972" w14:textId="30065F3D" w:rsidR="00560D32" w:rsidRPr="00560D32" w:rsidRDefault="00E36985">
    <w:pPr>
      <w:pStyle w:val="Header"/>
    </w:pPr>
    <w:fldSimple w:instr=" TITLE  \* MERGEFORMAT ">
      <w:r w:rsidR="00F0307B">
        <w:t>ST/SG/AC.10/C.3/2020/40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D777F" w14:textId="0026AB92" w:rsidR="00560D32" w:rsidRPr="00560D32" w:rsidRDefault="00E36985" w:rsidP="00560D32">
    <w:pPr>
      <w:pStyle w:val="Header"/>
      <w:jc w:val="right"/>
    </w:pPr>
    <w:fldSimple w:instr=" TITLE  \* MERGEFORMAT ">
      <w:r w:rsidR="00F0307B">
        <w:t>ST/SG/AC.10/C.3/2020/40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53A"/>
    <w:rsid w:val="00017F94"/>
    <w:rsid w:val="00023842"/>
    <w:rsid w:val="000305D3"/>
    <w:rsid w:val="000334F9"/>
    <w:rsid w:val="0007796D"/>
    <w:rsid w:val="000B7790"/>
    <w:rsid w:val="00111F2F"/>
    <w:rsid w:val="00132EA9"/>
    <w:rsid w:val="0014365E"/>
    <w:rsid w:val="00176178"/>
    <w:rsid w:val="0019486C"/>
    <w:rsid w:val="001F525A"/>
    <w:rsid w:val="00223272"/>
    <w:rsid w:val="0024779E"/>
    <w:rsid w:val="00283190"/>
    <w:rsid w:val="002832AC"/>
    <w:rsid w:val="002D7C93"/>
    <w:rsid w:val="00320E99"/>
    <w:rsid w:val="003A57D1"/>
    <w:rsid w:val="003C727D"/>
    <w:rsid w:val="00441C3B"/>
    <w:rsid w:val="00446FE5"/>
    <w:rsid w:val="00452396"/>
    <w:rsid w:val="00476736"/>
    <w:rsid w:val="004E468C"/>
    <w:rsid w:val="00532C0C"/>
    <w:rsid w:val="005505B7"/>
    <w:rsid w:val="00560D32"/>
    <w:rsid w:val="00573BE5"/>
    <w:rsid w:val="00584DC4"/>
    <w:rsid w:val="00586ED3"/>
    <w:rsid w:val="00596AA9"/>
    <w:rsid w:val="005F6918"/>
    <w:rsid w:val="0068456F"/>
    <w:rsid w:val="00684F45"/>
    <w:rsid w:val="006F753C"/>
    <w:rsid w:val="0071601D"/>
    <w:rsid w:val="0076153A"/>
    <w:rsid w:val="00783CE9"/>
    <w:rsid w:val="007A62E6"/>
    <w:rsid w:val="00800373"/>
    <w:rsid w:val="0080684C"/>
    <w:rsid w:val="00871C75"/>
    <w:rsid w:val="008776DC"/>
    <w:rsid w:val="008B40CD"/>
    <w:rsid w:val="00904C5A"/>
    <w:rsid w:val="009705C8"/>
    <w:rsid w:val="009A5616"/>
    <w:rsid w:val="009C1CF4"/>
    <w:rsid w:val="00A30353"/>
    <w:rsid w:val="00AC3823"/>
    <w:rsid w:val="00AE323C"/>
    <w:rsid w:val="00B00181"/>
    <w:rsid w:val="00B00B0D"/>
    <w:rsid w:val="00B765F7"/>
    <w:rsid w:val="00BA0CA9"/>
    <w:rsid w:val="00C02897"/>
    <w:rsid w:val="00C8036D"/>
    <w:rsid w:val="00CA5C24"/>
    <w:rsid w:val="00D3439C"/>
    <w:rsid w:val="00DA2AF8"/>
    <w:rsid w:val="00DB1831"/>
    <w:rsid w:val="00DD3BFD"/>
    <w:rsid w:val="00DF6678"/>
    <w:rsid w:val="00E36985"/>
    <w:rsid w:val="00E3768F"/>
    <w:rsid w:val="00EF2E22"/>
    <w:rsid w:val="00F01738"/>
    <w:rsid w:val="00F0307B"/>
    <w:rsid w:val="00F660DF"/>
    <w:rsid w:val="00F730C8"/>
    <w:rsid w:val="00F95C08"/>
    <w:rsid w:val="00FB5A24"/>
    <w:rsid w:val="00FE6AF4"/>
    <w:rsid w:val="00FF70D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471DE9"/>
  <w15:docId w15:val="{0883B887-D605-4D8B-BB1F-239A5E07D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uiPriority w:val="39"/>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paragraph" w:customStyle="1" w:styleId="Default">
    <w:name w:val="Default"/>
    <w:rsid w:val="00783CE9"/>
    <w:pPr>
      <w:autoSpaceDE w:val="0"/>
      <w:autoSpaceDN w:val="0"/>
      <w:adjustRightInd w:val="0"/>
      <w:spacing w:after="0" w:line="240" w:lineRule="auto"/>
    </w:pPr>
    <w:rPr>
      <w:rFonts w:ascii="Times New Roman" w:eastAsia="SimSun" w:hAnsi="Times New Roman" w:cs="Times New Roman"/>
      <w:color w:val="000000"/>
      <w:sz w:val="24"/>
      <w:szCs w:val="24"/>
      <w:lang w:val="en-GB"/>
    </w:rPr>
  </w:style>
  <w:style w:type="paragraph" w:styleId="ListParagraph">
    <w:name w:val="List Paragraph"/>
    <w:basedOn w:val="Normal"/>
    <w:uiPriority w:val="34"/>
    <w:qFormat/>
    <w:rsid w:val="00783CE9"/>
    <w:pPr>
      <w:kinsoku/>
      <w:overflowPunct/>
      <w:autoSpaceDE/>
      <w:autoSpaceDN/>
      <w:adjustRightInd/>
      <w:snapToGrid/>
      <w:ind w:left="720"/>
      <w:contextualSpacing/>
    </w:pPr>
    <w:rPr>
      <w:rFonts w:eastAsia="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1884</Words>
  <Characters>10740</Characters>
  <Application>Microsoft Office Word</Application>
  <DocSecurity>0</DocSecurity>
  <Lines>89</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ST/SG/AC.10/C.3/2020/40</vt:lpstr>
      <vt:lpstr>ST/SG/AC.10/C.3/2020/40</vt:lpstr>
    </vt:vector>
  </TitlesOfParts>
  <Company>DCM</Company>
  <LinksUpToDate>false</LinksUpToDate>
  <CharactersWithSpaces>12599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ST/SG/AC.10/C.3/2020/40</dc:title>
  <dc:subject/>
  <dc:creator>Julien OKRZESIK</dc:creator>
  <cp:keywords/>
  <cp:lastModifiedBy>Laurence Berthet</cp:lastModifiedBy>
  <cp:revision>3</cp:revision>
  <cp:lastPrinted>2020-04-30T12:18:00Z</cp:lastPrinted>
  <dcterms:created xsi:type="dcterms:W3CDTF">2020-04-30T11:46:00Z</dcterms:created>
  <dcterms:modified xsi:type="dcterms:W3CDTF">2020-04-30T12:19:00Z</dcterms:modified>
</cp:coreProperties>
</file>