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D855516" w14:textId="77777777" w:rsidTr="006476E1">
        <w:trPr>
          <w:trHeight w:val="851"/>
        </w:trPr>
        <w:tc>
          <w:tcPr>
            <w:tcW w:w="1259" w:type="dxa"/>
            <w:tcBorders>
              <w:top w:val="nil"/>
              <w:left w:val="nil"/>
              <w:bottom w:val="single" w:sz="4" w:space="0" w:color="auto"/>
              <w:right w:val="nil"/>
            </w:tcBorders>
          </w:tcPr>
          <w:p w14:paraId="1C300DCC" w14:textId="77777777" w:rsidR="00E52109" w:rsidRPr="002A32CB" w:rsidRDefault="00E52109" w:rsidP="004858F5"/>
        </w:tc>
        <w:tc>
          <w:tcPr>
            <w:tcW w:w="2236" w:type="dxa"/>
            <w:tcBorders>
              <w:top w:val="nil"/>
              <w:left w:val="nil"/>
              <w:bottom w:val="single" w:sz="4" w:space="0" w:color="auto"/>
              <w:right w:val="nil"/>
            </w:tcBorders>
            <w:vAlign w:val="bottom"/>
          </w:tcPr>
          <w:p w14:paraId="7A8E094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6079FAC" w14:textId="77777777" w:rsidR="00E52109" w:rsidRDefault="000F48FE" w:rsidP="000F48FE">
            <w:pPr>
              <w:suppressAutoHyphens w:val="0"/>
              <w:jc w:val="right"/>
            </w:pPr>
            <w:r w:rsidRPr="000F48FE">
              <w:rPr>
                <w:sz w:val="40"/>
              </w:rPr>
              <w:t>ST</w:t>
            </w:r>
            <w:r>
              <w:t>/SG/AC.10/C.3/2020/40</w:t>
            </w:r>
          </w:p>
        </w:tc>
      </w:tr>
      <w:tr w:rsidR="00E52109" w14:paraId="6E6598D3" w14:textId="77777777" w:rsidTr="006476E1">
        <w:trPr>
          <w:trHeight w:val="2835"/>
        </w:trPr>
        <w:tc>
          <w:tcPr>
            <w:tcW w:w="1259" w:type="dxa"/>
            <w:tcBorders>
              <w:top w:val="single" w:sz="4" w:space="0" w:color="auto"/>
              <w:left w:val="nil"/>
              <w:bottom w:val="single" w:sz="12" w:space="0" w:color="auto"/>
              <w:right w:val="nil"/>
            </w:tcBorders>
          </w:tcPr>
          <w:p w14:paraId="5F1E1165" w14:textId="77777777" w:rsidR="00E52109" w:rsidRDefault="00E52109" w:rsidP="006476E1">
            <w:pPr>
              <w:spacing w:before="120"/>
              <w:jc w:val="center"/>
            </w:pPr>
            <w:r>
              <w:rPr>
                <w:noProof/>
                <w:lang w:val="fr-CH" w:eastAsia="fr-CH"/>
              </w:rPr>
              <w:drawing>
                <wp:inline distT="0" distB="0" distL="0" distR="0" wp14:anchorId="2BD2E1DF" wp14:editId="543001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F8E38D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E267DB2" w14:textId="77777777" w:rsidR="00D94B05" w:rsidRDefault="000F48FE" w:rsidP="000F48FE">
            <w:pPr>
              <w:suppressAutoHyphens w:val="0"/>
              <w:spacing w:before="240" w:line="240" w:lineRule="exact"/>
            </w:pPr>
            <w:r>
              <w:t>Distr.: General</w:t>
            </w:r>
          </w:p>
          <w:p w14:paraId="15B0F25A" w14:textId="77777777" w:rsidR="000F48FE" w:rsidRDefault="00EE3492" w:rsidP="000F48FE">
            <w:pPr>
              <w:suppressAutoHyphens w:val="0"/>
              <w:spacing w:line="240" w:lineRule="exact"/>
            </w:pPr>
            <w:r>
              <w:t>9</w:t>
            </w:r>
            <w:r w:rsidR="000F48FE">
              <w:t xml:space="preserve"> April 2020</w:t>
            </w:r>
          </w:p>
          <w:p w14:paraId="404E349F" w14:textId="77777777" w:rsidR="000F48FE" w:rsidRDefault="000F48FE" w:rsidP="000F48FE">
            <w:pPr>
              <w:suppressAutoHyphens w:val="0"/>
              <w:spacing w:line="240" w:lineRule="exact"/>
            </w:pPr>
          </w:p>
          <w:p w14:paraId="13458E02" w14:textId="77777777" w:rsidR="000F48FE" w:rsidRDefault="000F48FE" w:rsidP="000F48FE">
            <w:pPr>
              <w:suppressAutoHyphens w:val="0"/>
              <w:spacing w:line="240" w:lineRule="exact"/>
            </w:pPr>
            <w:r>
              <w:t>Original: English</w:t>
            </w:r>
          </w:p>
        </w:tc>
      </w:tr>
    </w:tbl>
    <w:p w14:paraId="4AA4B609" w14:textId="77777777" w:rsidR="008109AD" w:rsidRPr="006500BA" w:rsidRDefault="008109A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BE859F4" w14:textId="77777777" w:rsidR="008109AD" w:rsidRPr="006500BA" w:rsidRDefault="008109AD" w:rsidP="004858F5">
      <w:pPr>
        <w:spacing w:before="120"/>
        <w:rPr>
          <w:rFonts w:ascii="Helv" w:hAnsi="Helv" w:cs="Helv"/>
          <w:b/>
          <w:color w:val="000000"/>
        </w:rPr>
      </w:pPr>
      <w:r w:rsidRPr="006500BA">
        <w:rPr>
          <w:b/>
        </w:rPr>
        <w:t xml:space="preserve">Sub-Committee of Experts on the </w:t>
      </w:r>
      <w:r>
        <w:rPr>
          <w:b/>
        </w:rPr>
        <w:t>Transport of Dangerous Goods</w:t>
      </w:r>
    </w:p>
    <w:p w14:paraId="0BCFA196" w14:textId="77777777" w:rsidR="008109AD" w:rsidRDefault="008109AD" w:rsidP="008109AD">
      <w:pPr>
        <w:spacing w:before="120"/>
        <w:rPr>
          <w:b/>
        </w:rPr>
      </w:pPr>
      <w:r>
        <w:rPr>
          <w:b/>
        </w:rPr>
        <w:t>Fifty-</w:t>
      </w:r>
      <w:r>
        <w:rPr>
          <w:rFonts w:eastAsia="Malgun Gothic"/>
          <w:b/>
          <w:lang w:eastAsia="ko-KR"/>
        </w:rPr>
        <w:t>seventh</w:t>
      </w:r>
      <w:r>
        <w:rPr>
          <w:b/>
        </w:rPr>
        <w:t xml:space="preserve"> session</w:t>
      </w:r>
    </w:p>
    <w:p w14:paraId="3776B6F5" w14:textId="77777777" w:rsidR="008109AD" w:rsidRDefault="008109AD" w:rsidP="008109AD">
      <w:pPr>
        <w:tabs>
          <w:tab w:val="left" w:pos="6361"/>
          <w:tab w:val="left" w:pos="6939"/>
        </w:tabs>
        <w:spacing w:before="40"/>
        <w:outlineLvl w:val="0"/>
        <w:rPr>
          <w:bCs/>
        </w:rPr>
      </w:pPr>
      <w:r>
        <w:t>Geneva, 29 June-8 July 2020</w:t>
      </w:r>
    </w:p>
    <w:p w14:paraId="6055A912" w14:textId="77777777" w:rsidR="008109AD" w:rsidRDefault="008109AD" w:rsidP="008109AD">
      <w:r>
        <w:t>Item 4 (c) of the provisional agenda</w:t>
      </w:r>
    </w:p>
    <w:p w14:paraId="51441019" w14:textId="77777777" w:rsidR="008109AD" w:rsidRPr="008109AD" w:rsidRDefault="008109AD" w:rsidP="008109AD">
      <w:pPr>
        <w:rPr>
          <w:rFonts w:eastAsia="Malgun Gothic"/>
          <w:b/>
          <w:bCs/>
          <w:lang w:eastAsia="ko-KR"/>
        </w:rPr>
      </w:pPr>
      <w:r w:rsidRPr="008109AD">
        <w:rPr>
          <w:b/>
          <w:bCs/>
        </w:rPr>
        <w:t>Electric storage systems: transport provisions</w:t>
      </w:r>
    </w:p>
    <w:p w14:paraId="3B2A72E3" w14:textId="77777777" w:rsidR="008109AD" w:rsidRPr="005114A6" w:rsidRDefault="008109AD" w:rsidP="008109AD">
      <w:pPr>
        <w:pStyle w:val="HChG"/>
      </w:pPr>
      <w:r>
        <w:rPr>
          <w:lang w:val="en-US"/>
        </w:rPr>
        <w:tab/>
      </w:r>
      <w:r>
        <w:rPr>
          <w:lang w:val="en-US"/>
        </w:rPr>
        <w:tab/>
      </w:r>
      <w:r w:rsidRPr="005114A6">
        <w:t xml:space="preserve">Revision to </w:t>
      </w:r>
      <w:r>
        <w:t>Chapter 2.9.4 to Separate the Quality Management System from Classification Requirements</w:t>
      </w:r>
    </w:p>
    <w:p w14:paraId="66864634" w14:textId="77777777" w:rsidR="008109AD" w:rsidRDefault="008109AD" w:rsidP="008109AD">
      <w:pPr>
        <w:pStyle w:val="H1G"/>
        <w:rPr>
          <w:lang w:val="en-US"/>
        </w:rPr>
      </w:pPr>
      <w:r>
        <w:rPr>
          <w:lang w:val="en-US"/>
        </w:rPr>
        <w:tab/>
      </w:r>
      <w:r>
        <w:rPr>
          <w:lang w:val="en-US"/>
        </w:rPr>
        <w:tab/>
      </w:r>
      <w:r w:rsidRPr="00CD33CA">
        <w:rPr>
          <w:lang w:val="en-US"/>
        </w:rPr>
        <w:t xml:space="preserve">Transmitted by the </w:t>
      </w:r>
      <w:r>
        <w:rPr>
          <w:lang w:val="en-US"/>
        </w:rPr>
        <w:t>Inte</w:t>
      </w:r>
      <w:bookmarkStart w:id="0" w:name="_GoBack"/>
      <w:bookmarkEnd w:id="0"/>
      <w:r>
        <w:rPr>
          <w:lang w:val="en-US"/>
        </w:rPr>
        <w:t>rnational Air Transport Association (IATA)</w:t>
      </w:r>
      <w:r>
        <w:rPr>
          <w:rStyle w:val="FootnoteReference"/>
          <w:lang w:val="en-US"/>
        </w:rPr>
        <w:footnoteReference w:customMarkFollows="1" w:id="2"/>
        <w:t>*</w:t>
      </w:r>
    </w:p>
    <w:p w14:paraId="48402DA1" w14:textId="77777777" w:rsidR="008109AD" w:rsidRPr="005114A6" w:rsidRDefault="008109AD" w:rsidP="008109AD">
      <w:pPr>
        <w:pStyle w:val="HChG"/>
      </w:pPr>
      <w:r>
        <w:tab/>
      </w:r>
      <w:r>
        <w:tab/>
      </w:r>
      <w:r w:rsidRPr="005114A6">
        <w:t>Introduction</w:t>
      </w:r>
    </w:p>
    <w:p w14:paraId="6123532D" w14:textId="77777777" w:rsidR="008109AD" w:rsidRDefault="008109AD" w:rsidP="008109AD">
      <w:pPr>
        <w:pStyle w:val="SingleTxtG"/>
      </w:pPr>
      <w:r w:rsidRPr="005114A6">
        <w:t>1.</w:t>
      </w:r>
      <w:r w:rsidRPr="005114A6">
        <w:tab/>
      </w:r>
      <w:r>
        <w:t>At the fifty-sixth session of the Sub</w:t>
      </w:r>
      <w:r w:rsidR="00EE3492">
        <w:t>-C</w:t>
      </w:r>
      <w:r>
        <w:t>ommittee</w:t>
      </w:r>
      <w:r w:rsidRPr="005114A6">
        <w:t xml:space="preserve"> IATA </w:t>
      </w:r>
      <w:r>
        <w:t xml:space="preserve">submitted an informal </w:t>
      </w:r>
      <w:r w:rsidR="00EE3492">
        <w:t xml:space="preserve">document </w:t>
      </w:r>
      <w:r>
        <w:t>(INF.20) that sought discussion on the need for consignors of lithium cells or batteries (UN Nos. 3090, 3091, 3480 or 3481) that are not the manufacturer of the cells or batteries to have evidence of the manufacturer’s quality management programme.</w:t>
      </w:r>
    </w:p>
    <w:p w14:paraId="233ACF73" w14:textId="77777777" w:rsidR="008109AD" w:rsidRPr="005114A6" w:rsidRDefault="008109AD" w:rsidP="008109AD">
      <w:pPr>
        <w:pStyle w:val="SingleTxtG"/>
      </w:pPr>
      <w:r>
        <w:t>2.</w:t>
      </w:r>
      <w:r>
        <w:tab/>
        <w:t>In an informal discussion during a coffee-break at the fifty-sixth session there was consensus among the experts that there is no requirement for the manufacturer to provide evidence of a quality management programme to any other party than the competent authority.</w:t>
      </w:r>
    </w:p>
    <w:p w14:paraId="22352A0C" w14:textId="77777777" w:rsidR="008109AD" w:rsidRDefault="008109AD" w:rsidP="008109AD">
      <w:pPr>
        <w:pStyle w:val="SingleTxtG"/>
      </w:pPr>
      <w:r>
        <w:t>3</w:t>
      </w:r>
      <w:r w:rsidRPr="005114A6">
        <w:t>.</w:t>
      </w:r>
      <w:r w:rsidRPr="005114A6">
        <w:tab/>
      </w:r>
      <w:r>
        <w:t xml:space="preserve">Based on that informal discussion, this </w:t>
      </w:r>
      <w:r w:rsidR="00EE3492">
        <w:t xml:space="preserve">document </w:t>
      </w:r>
      <w:r>
        <w:t>proposes a slight restructure of 2.9.4 to separate the requirement that lithium cells and batteries shall be manufacture</w:t>
      </w:r>
      <w:r w:rsidRPr="005114A6">
        <w:t xml:space="preserve">d </w:t>
      </w:r>
      <w:r>
        <w:t>under a quality management programme from the provisions applicable to classification of lithium cells and batteries to which the consignors are subject when offering the cells or batteries for transport.</w:t>
      </w:r>
    </w:p>
    <w:p w14:paraId="6C9ADBD5" w14:textId="77777777" w:rsidR="008109AD" w:rsidRDefault="008109AD" w:rsidP="008109AD">
      <w:pPr>
        <w:pStyle w:val="SingleTxtG"/>
      </w:pPr>
      <w:r>
        <w:t>4.</w:t>
      </w:r>
      <w:r>
        <w:tab/>
        <w:t>In reviewing the current wording of the opening paragraph of 2.9.4, the second sentence states that “They (lithium cells and batteries) may be transported under these entries if they meet the following conditions:”. This implies that the carriers are also responsible, however as these are requirements that apply to be able to ship lithium cells or batteries, it is the consignor that is responsible</w:t>
      </w:r>
      <w:r w:rsidR="00EE3492">
        <w:t>. T</w:t>
      </w:r>
      <w:r>
        <w:t>herefore</w:t>
      </w:r>
      <w:r w:rsidR="00EE3492">
        <w:t>,</w:t>
      </w:r>
      <w:r>
        <w:t xml:space="preserve"> the sentence should read “They may be offered for transport…”.</w:t>
      </w:r>
    </w:p>
    <w:p w14:paraId="0BF0738B" w14:textId="77777777" w:rsidR="008109AD" w:rsidRPr="005114A6" w:rsidRDefault="008109AD" w:rsidP="008109AD">
      <w:pPr>
        <w:pStyle w:val="SingleTxtG"/>
      </w:pPr>
      <w:r>
        <w:t>5.</w:t>
      </w:r>
      <w:r>
        <w:tab/>
        <w:t xml:space="preserve">It was also identified that the list of UN numbers to which the provisions of 2.9.4 apply does not include UN 3536, </w:t>
      </w:r>
      <w:r w:rsidRPr="00F160C7">
        <w:t>LITHIUM BATTERIES INSTALLED IN CARGO TRANSPORT UNIT</w:t>
      </w:r>
      <w:r>
        <w:t>. It is believed that this UN number should be included.</w:t>
      </w:r>
    </w:p>
    <w:p w14:paraId="228D4409" w14:textId="77777777" w:rsidR="008109AD" w:rsidRPr="005114A6" w:rsidRDefault="008109AD" w:rsidP="008109AD">
      <w:pPr>
        <w:pStyle w:val="SingleTxtG"/>
      </w:pPr>
      <w:r>
        <w:lastRenderedPageBreak/>
        <w:t>6</w:t>
      </w:r>
      <w:r w:rsidRPr="005114A6">
        <w:t>.</w:t>
      </w:r>
      <w:r w:rsidRPr="005114A6">
        <w:tab/>
      </w:r>
      <w:r>
        <w:t>If the proposal to revise 2</w:t>
      </w:r>
      <w:r w:rsidR="00EE3492">
        <w:t>.</w:t>
      </w:r>
      <w:r>
        <w:t>9.4 is agreed there are then some consequential amendments in other parts of the Model Regulations to address the correct paragraph reference.</w:t>
      </w:r>
    </w:p>
    <w:p w14:paraId="2077CB03" w14:textId="77777777" w:rsidR="008109AD" w:rsidRPr="005114A6" w:rsidRDefault="008109AD" w:rsidP="008109AD">
      <w:pPr>
        <w:pStyle w:val="HChG"/>
      </w:pPr>
      <w:r w:rsidRPr="005114A6">
        <w:tab/>
      </w:r>
      <w:r w:rsidRPr="005114A6">
        <w:tab/>
        <w:t>Proposal</w:t>
      </w:r>
    </w:p>
    <w:p w14:paraId="2EB3FF58" w14:textId="77777777" w:rsidR="008109AD" w:rsidRDefault="008109AD" w:rsidP="008109AD">
      <w:pPr>
        <w:pStyle w:val="SingleTxtG"/>
      </w:pPr>
      <w:r>
        <w:t>7</w:t>
      </w:r>
      <w:r w:rsidRPr="005114A6">
        <w:t>.</w:t>
      </w:r>
      <w:r w:rsidRPr="005114A6">
        <w:tab/>
        <w:t>The Sub</w:t>
      </w:r>
      <w:r w:rsidR="00EE3492">
        <w:t>-C</w:t>
      </w:r>
      <w:r w:rsidRPr="005114A6">
        <w:t xml:space="preserve">ommittee is invited </w:t>
      </w:r>
      <w:r>
        <w:t>to consider revising 2.9.4 to place the classification provisions into a new paragraph 2.9.4.1, with then the existing sub</w:t>
      </w:r>
      <w:r w:rsidR="00052AEB">
        <w:t>-</w:t>
      </w:r>
      <w:r>
        <w:t>paragraph (e) for the quality management programme to be moved to become 2.9.4.2, as follows:</w:t>
      </w:r>
    </w:p>
    <w:p w14:paraId="4A5790DC" w14:textId="77777777" w:rsidR="008109AD" w:rsidRPr="00E413C5" w:rsidRDefault="00052AEB" w:rsidP="00481248">
      <w:pPr>
        <w:pStyle w:val="Default"/>
        <w:spacing w:after="120"/>
        <w:ind w:left="1701" w:right="1134"/>
        <w:rPr>
          <w:sz w:val="20"/>
          <w:szCs w:val="20"/>
        </w:rPr>
      </w:pPr>
      <w:r>
        <w:rPr>
          <w:b/>
          <w:bCs/>
          <w:sz w:val="20"/>
          <w:szCs w:val="20"/>
        </w:rPr>
        <w:t>“</w:t>
      </w:r>
      <w:r w:rsidR="008109AD" w:rsidRPr="00E413C5">
        <w:rPr>
          <w:b/>
          <w:bCs/>
          <w:sz w:val="20"/>
          <w:szCs w:val="20"/>
        </w:rPr>
        <w:t>2.9.4</w:t>
      </w:r>
      <w:r>
        <w:rPr>
          <w:b/>
          <w:bCs/>
          <w:sz w:val="20"/>
          <w:szCs w:val="20"/>
        </w:rPr>
        <w:tab/>
      </w:r>
      <w:r w:rsidR="008109AD" w:rsidRPr="00E413C5">
        <w:rPr>
          <w:b/>
          <w:bCs/>
          <w:sz w:val="20"/>
          <w:szCs w:val="20"/>
        </w:rPr>
        <w:t>Lithium batteries</w:t>
      </w:r>
    </w:p>
    <w:p w14:paraId="1C5D231D" w14:textId="77777777" w:rsidR="008109AD" w:rsidRPr="00481248" w:rsidRDefault="008109AD" w:rsidP="00481248">
      <w:pPr>
        <w:pStyle w:val="Default"/>
        <w:spacing w:after="120"/>
        <w:ind w:left="1701" w:right="1134"/>
        <w:jc w:val="both"/>
        <w:rPr>
          <w:color w:val="auto"/>
          <w:sz w:val="20"/>
          <w:szCs w:val="20"/>
          <w:u w:val="single"/>
        </w:rPr>
      </w:pPr>
      <w:r w:rsidRPr="00481248">
        <w:rPr>
          <w:b/>
          <w:bCs/>
          <w:color w:val="auto"/>
          <w:sz w:val="20"/>
          <w:szCs w:val="20"/>
          <w:u w:val="single"/>
        </w:rPr>
        <w:t>2.9.4.1</w:t>
      </w:r>
      <w:r w:rsidR="00052AEB" w:rsidRPr="00481248">
        <w:rPr>
          <w:color w:val="auto"/>
          <w:sz w:val="20"/>
          <w:szCs w:val="20"/>
          <w:u w:val="single"/>
        </w:rPr>
        <w:tab/>
      </w:r>
      <w:r w:rsidRPr="00481248">
        <w:rPr>
          <w:b/>
          <w:bCs/>
          <w:i/>
          <w:iCs/>
          <w:color w:val="auto"/>
          <w:sz w:val="20"/>
          <w:szCs w:val="20"/>
          <w:u w:val="single"/>
        </w:rPr>
        <w:t>Design, testing and test summary</w:t>
      </w:r>
    </w:p>
    <w:p w14:paraId="3C18C52F" w14:textId="77777777" w:rsidR="008109AD" w:rsidRPr="00E413C5" w:rsidRDefault="008109AD" w:rsidP="00481248">
      <w:pPr>
        <w:pStyle w:val="Default"/>
        <w:ind w:left="1701" w:right="1134" w:firstLine="567"/>
        <w:jc w:val="both"/>
        <w:rPr>
          <w:sz w:val="20"/>
          <w:szCs w:val="20"/>
        </w:rPr>
      </w:pPr>
      <w:r w:rsidRPr="00E413C5">
        <w:rPr>
          <w:sz w:val="20"/>
          <w:szCs w:val="20"/>
        </w:rPr>
        <w:t>Cells and batteries, cells and batteries contained in equipment, or cells and batteries packed with equipment, containing lithium in any form shall be assigned to UN Nos. 3090, 3091, 3480</w:t>
      </w:r>
      <w:r>
        <w:rPr>
          <w:sz w:val="20"/>
          <w:szCs w:val="20"/>
        </w:rPr>
        <w:t>,</w:t>
      </w:r>
      <w:r w:rsidRPr="00E413C5">
        <w:rPr>
          <w:sz w:val="20"/>
          <w:szCs w:val="20"/>
        </w:rPr>
        <w:t xml:space="preserve"> 3481 </w:t>
      </w:r>
      <w:r w:rsidRPr="00481248">
        <w:rPr>
          <w:sz w:val="20"/>
          <w:szCs w:val="20"/>
          <w:u w:val="single"/>
        </w:rPr>
        <w:t>or 3536</w:t>
      </w:r>
      <w:r>
        <w:rPr>
          <w:sz w:val="20"/>
          <w:szCs w:val="20"/>
        </w:rPr>
        <w:t xml:space="preserve"> </w:t>
      </w:r>
      <w:r w:rsidRPr="00E413C5">
        <w:rPr>
          <w:sz w:val="20"/>
          <w:szCs w:val="20"/>
        </w:rPr>
        <w:t xml:space="preserve">as appropriate. They may be </w:t>
      </w:r>
      <w:r w:rsidRPr="00481248">
        <w:rPr>
          <w:color w:val="auto"/>
          <w:sz w:val="20"/>
          <w:szCs w:val="20"/>
          <w:u w:val="single"/>
        </w:rPr>
        <w:t>offered for transport</w:t>
      </w:r>
      <w:r w:rsidRPr="00481248">
        <w:rPr>
          <w:color w:val="auto"/>
          <w:sz w:val="20"/>
          <w:szCs w:val="20"/>
        </w:rPr>
        <w:t xml:space="preserve"> </w:t>
      </w:r>
      <w:r w:rsidRPr="00E413C5">
        <w:rPr>
          <w:sz w:val="20"/>
          <w:szCs w:val="20"/>
        </w:rPr>
        <w:t>under these entries if they meet the following provisions:</w:t>
      </w:r>
    </w:p>
    <w:p w14:paraId="1D517804" w14:textId="77777777" w:rsidR="008109AD" w:rsidRDefault="008109AD" w:rsidP="00293559">
      <w:pPr>
        <w:pStyle w:val="SingleTxtG"/>
        <w:ind w:left="1418"/>
      </w:pPr>
      <w:r>
        <w:tab/>
      </w:r>
      <w:r>
        <w:tab/>
        <w:t>…</w:t>
      </w:r>
    </w:p>
    <w:p w14:paraId="5975E00F" w14:textId="77777777" w:rsidR="00293559" w:rsidRDefault="00293559" w:rsidP="00827351">
      <w:pPr>
        <w:pStyle w:val="SingleTxtG"/>
        <w:ind w:left="1418"/>
      </w:pPr>
      <w:r>
        <w:tab/>
      </w:r>
      <w:r>
        <w:tab/>
        <w:t>(d)</w:t>
      </w:r>
      <w:r>
        <w:tab/>
        <w:t>Each battery … current flow (e.g., diodes, fuses, etc.);</w:t>
      </w:r>
    </w:p>
    <w:p w14:paraId="1A21788B" w14:textId="77777777" w:rsidR="008109AD" w:rsidRPr="004E31CE" w:rsidRDefault="008109AD" w:rsidP="00481248">
      <w:pPr>
        <w:pStyle w:val="Default"/>
        <w:spacing w:after="120"/>
        <w:ind w:left="2835" w:right="1134" w:hanging="567"/>
        <w:jc w:val="both"/>
        <w:rPr>
          <w:sz w:val="20"/>
          <w:szCs w:val="20"/>
        </w:rPr>
      </w:pPr>
      <w:r w:rsidRPr="004E31CE">
        <w:rPr>
          <w:sz w:val="20"/>
          <w:szCs w:val="20"/>
        </w:rPr>
        <w:t>(</w:t>
      </w:r>
      <w:r w:rsidRPr="00481248">
        <w:rPr>
          <w:sz w:val="20"/>
          <w:szCs w:val="20"/>
          <w:u w:val="single"/>
        </w:rPr>
        <w:t>e</w:t>
      </w:r>
      <w:r w:rsidRPr="004E31CE">
        <w:rPr>
          <w:sz w:val="20"/>
          <w:szCs w:val="20"/>
        </w:rPr>
        <w:t>)</w:t>
      </w:r>
      <w:r>
        <w:rPr>
          <w:sz w:val="20"/>
          <w:szCs w:val="20"/>
        </w:rPr>
        <w:tab/>
      </w:r>
      <w:r w:rsidRPr="004E31CE">
        <w:rPr>
          <w:sz w:val="20"/>
          <w:szCs w:val="20"/>
        </w:rPr>
        <w:t xml:space="preserve">Lithium batteries, containing both primary lithium metal cells and rechargeable lithium ion cells, that are not designed to be externally charged (see special provision 387 of Chapter 3.3) shall meet the following conditions: </w:t>
      </w:r>
    </w:p>
    <w:p w14:paraId="111A1EDA" w14:textId="77777777" w:rsidR="008109AD" w:rsidRPr="004E31CE" w:rsidRDefault="008109AD" w:rsidP="00481248">
      <w:pPr>
        <w:pStyle w:val="Default"/>
        <w:spacing w:after="120"/>
        <w:ind w:left="3402" w:right="1134" w:hanging="567"/>
        <w:jc w:val="both"/>
        <w:rPr>
          <w:sz w:val="20"/>
          <w:szCs w:val="20"/>
        </w:rPr>
      </w:pPr>
      <w:r w:rsidRPr="004E31CE">
        <w:rPr>
          <w:sz w:val="20"/>
          <w:szCs w:val="20"/>
        </w:rPr>
        <w:t>(</w:t>
      </w:r>
      <w:proofErr w:type="spellStart"/>
      <w:r w:rsidRPr="004E31CE">
        <w:rPr>
          <w:sz w:val="20"/>
          <w:szCs w:val="20"/>
        </w:rPr>
        <w:t>i</w:t>
      </w:r>
      <w:proofErr w:type="spellEnd"/>
      <w:r w:rsidRPr="004E31CE">
        <w:rPr>
          <w:sz w:val="20"/>
          <w:szCs w:val="20"/>
        </w:rPr>
        <w:t>)</w:t>
      </w:r>
      <w:r>
        <w:rPr>
          <w:sz w:val="20"/>
          <w:szCs w:val="20"/>
        </w:rPr>
        <w:tab/>
      </w:r>
      <w:r w:rsidRPr="004E31CE">
        <w:rPr>
          <w:sz w:val="20"/>
          <w:szCs w:val="20"/>
        </w:rPr>
        <w:t>The rechargeable lithium ion cells can only be charged from the primary lithium metal cells;</w:t>
      </w:r>
    </w:p>
    <w:p w14:paraId="321E4712" w14:textId="77777777" w:rsidR="008109AD" w:rsidRPr="004E31CE" w:rsidRDefault="008109AD" w:rsidP="00481248">
      <w:pPr>
        <w:pStyle w:val="Default"/>
        <w:spacing w:after="120"/>
        <w:ind w:left="3402" w:right="1134" w:hanging="567"/>
        <w:jc w:val="both"/>
        <w:rPr>
          <w:sz w:val="20"/>
          <w:szCs w:val="20"/>
        </w:rPr>
      </w:pPr>
      <w:r w:rsidRPr="004E31CE">
        <w:rPr>
          <w:sz w:val="20"/>
          <w:szCs w:val="20"/>
        </w:rPr>
        <w:t>(ii)</w:t>
      </w:r>
      <w:r>
        <w:rPr>
          <w:sz w:val="20"/>
          <w:szCs w:val="20"/>
        </w:rPr>
        <w:tab/>
      </w:r>
      <w:r w:rsidRPr="004E31CE">
        <w:rPr>
          <w:sz w:val="20"/>
          <w:szCs w:val="20"/>
        </w:rPr>
        <w:t>Overcharge of the rechargeable lithium ion cells is precluded by design;</w:t>
      </w:r>
    </w:p>
    <w:p w14:paraId="4E994804" w14:textId="77777777" w:rsidR="008109AD" w:rsidRPr="004E31CE" w:rsidRDefault="008109AD" w:rsidP="00481248">
      <w:pPr>
        <w:pStyle w:val="Default"/>
        <w:spacing w:after="120"/>
        <w:ind w:left="3402" w:right="1134" w:hanging="567"/>
        <w:jc w:val="both"/>
        <w:rPr>
          <w:sz w:val="20"/>
          <w:szCs w:val="20"/>
        </w:rPr>
      </w:pPr>
      <w:r w:rsidRPr="004E31CE">
        <w:rPr>
          <w:sz w:val="20"/>
          <w:szCs w:val="20"/>
        </w:rPr>
        <w:t>(iii)</w:t>
      </w:r>
      <w:r>
        <w:rPr>
          <w:sz w:val="20"/>
          <w:szCs w:val="20"/>
        </w:rPr>
        <w:tab/>
      </w:r>
      <w:r w:rsidRPr="004E31CE">
        <w:rPr>
          <w:sz w:val="20"/>
          <w:szCs w:val="20"/>
        </w:rPr>
        <w:t xml:space="preserve">The battery has been tested as a lithium primary battery; </w:t>
      </w:r>
    </w:p>
    <w:p w14:paraId="696CB06B" w14:textId="77777777" w:rsidR="008109AD" w:rsidRPr="004E31CE" w:rsidRDefault="008109AD" w:rsidP="00481248">
      <w:pPr>
        <w:pStyle w:val="Default"/>
        <w:spacing w:after="120"/>
        <w:ind w:left="3402" w:right="1134" w:hanging="567"/>
        <w:jc w:val="both"/>
        <w:rPr>
          <w:sz w:val="20"/>
          <w:szCs w:val="20"/>
        </w:rPr>
      </w:pPr>
      <w:r w:rsidRPr="004E31CE">
        <w:rPr>
          <w:sz w:val="20"/>
          <w:szCs w:val="20"/>
        </w:rPr>
        <w:t>(iv)</w:t>
      </w:r>
      <w:r>
        <w:rPr>
          <w:sz w:val="20"/>
          <w:szCs w:val="20"/>
        </w:rPr>
        <w:tab/>
      </w:r>
      <w:r w:rsidRPr="004E31CE">
        <w:rPr>
          <w:sz w:val="20"/>
          <w:szCs w:val="20"/>
        </w:rPr>
        <w:t>Component cells of the battery shall be of a type proved to meet the respective testing requirements of the Manual of Tests and Criteria, part III, sub-section 38.3.</w:t>
      </w:r>
    </w:p>
    <w:p w14:paraId="09B8F974" w14:textId="77777777" w:rsidR="008109AD" w:rsidRDefault="008109AD" w:rsidP="00481248">
      <w:pPr>
        <w:pStyle w:val="SingleTxtG"/>
        <w:spacing w:line="240" w:lineRule="auto"/>
        <w:ind w:left="2835" w:hanging="567"/>
      </w:pPr>
      <w:r w:rsidRPr="004E31CE">
        <w:t>(</w:t>
      </w:r>
      <w:r w:rsidRPr="00481248">
        <w:rPr>
          <w:u w:val="single"/>
        </w:rPr>
        <w:t>f</w:t>
      </w:r>
      <w:r w:rsidRPr="004E31CE">
        <w:t>)</w:t>
      </w:r>
      <w:r>
        <w:tab/>
      </w:r>
      <w:r w:rsidRPr="004E31CE">
        <w:t>Manufacturers and subsequent distributors of cells or batteries manufactured after 30 June 2003 shall make available the test summary as specified in the Manual of Tests and Criteria, Part III, sub-section 38.3, paragraph 38.3.5.</w:t>
      </w:r>
    </w:p>
    <w:p w14:paraId="18467EEE" w14:textId="77777777" w:rsidR="008109AD" w:rsidRPr="00481248" w:rsidRDefault="008109AD" w:rsidP="00293559">
      <w:pPr>
        <w:pStyle w:val="SingleTxtG"/>
        <w:ind w:left="2268" w:hanging="708"/>
        <w:rPr>
          <w:b/>
          <w:bCs/>
          <w:u w:val="single"/>
        </w:rPr>
      </w:pPr>
      <w:r w:rsidRPr="00481248">
        <w:rPr>
          <w:b/>
          <w:bCs/>
          <w:u w:val="single"/>
        </w:rPr>
        <w:t>2.9.4.2</w:t>
      </w:r>
      <w:r w:rsidRPr="00481248">
        <w:rPr>
          <w:b/>
          <w:bCs/>
          <w:u w:val="single"/>
        </w:rPr>
        <w:tab/>
      </w:r>
      <w:r w:rsidRPr="00481248">
        <w:rPr>
          <w:b/>
          <w:bCs/>
          <w:i/>
          <w:iCs/>
          <w:u w:val="single"/>
        </w:rPr>
        <w:t>Quality management programme</w:t>
      </w:r>
    </w:p>
    <w:p w14:paraId="6380353E" w14:textId="77777777" w:rsidR="008109AD" w:rsidRDefault="008109AD" w:rsidP="00827351">
      <w:pPr>
        <w:pStyle w:val="SingleTxtG"/>
        <w:ind w:left="1559" w:firstLine="709"/>
      </w:pPr>
      <w:r w:rsidRPr="00481248">
        <w:rPr>
          <w:u w:val="single"/>
        </w:rPr>
        <w:t>Lithium</w:t>
      </w:r>
      <w:r>
        <w:t xml:space="preserve"> c</w:t>
      </w:r>
      <w:r w:rsidRPr="000E3419">
        <w:t>ells and batteries shall be manufactured under a quality management programme that includes:</w:t>
      </w:r>
    </w:p>
    <w:p w14:paraId="488781FC" w14:textId="77777777" w:rsidR="008109AD" w:rsidRPr="00662F34" w:rsidRDefault="008109AD" w:rsidP="00481248">
      <w:pPr>
        <w:pStyle w:val="Default"/>
        <w:spacing w:after="120"/>
        <w:ind w:left="2835" w:right="1134" w:hanging="567"/>
        <w:jc w:val="both"/>
        <w:rPr>
          <w:sz w:val="20"/>
          <w:szCs w:val="20"/>
        </w:rPr>
      </w:pPr>
      <w:r w:rsidRPr="00662F34">
        <w:rPr>
          <w:sz w:val="20"/>
          <w:szCs w:val="20"/>
        </w:rPr>
        <w:t>(</w:t>
      </w:r>
      <w:r w:rsidRPr="00481248">
        <w:rPr>
          <w:sz w:val="20"/>
          <w:szCs w:val="20"/>
          <w:u w:val="single"/>
        </w:rPr>
        <w:t>a</w:t>
      </w:r>
      <w:r w:rsidRPr="00662F34">
        <w:rPr>
          <w:sz w:val="20"/>
          <w:szCs w:val="20"/>
        </w:rPr>
        <w:t>)</w:t>
      </w:r>
      <w:r>
        <w:rPr>
          <w:sz w:val="20"/>
          <w:szCs w:val="20"/>
        </w:rPr>
        <w:tab/>
      </w:r>
      <w:r w:rsidRPr="00662F34">
        <w:rPr>
          <w:sz w:val="20"/>
          <w:szCs w:val="20"/>
        </w:rPr>
        <w:t xml:space="preserve">A description of the organizational structure and responsibilities of personnel </w:t>
      </w:r>
      <w:proofErr w:type="gramStart"/>
      <w:r w:rsidRPr="00662F34">
        <w:rPr>
          <w:sz w:val="20"/>
          <w:szCs w:val="20"/>
        </w:rPr>
        <w:t>with regard to</w:t>
      </w:r>
      <w:proofErr w:type="gramEnd"/>
      <w:r w:rsidRPr="00662F34">
        <w:rPr>
          <w:sz w:val="20"/>
          <w:szCs w:val="20"/>
        </w:rPr>
        <w:t xml:space="preserve"> design and product quality;</w:t>
      </w:r>
    </w:p>
    <w:p w14:paraId="1192810F" w14:textId="77777777" w:rsidR="008109AD" w:rsidRPr="00662F34" w:rsidRDefault="008109AD" w:rsidP="00481248">
      <w:pPr>
        <w:pStyle w:val="Default"/>
        <w:spacing w:after="120"/>
        <w:ind w:left="2835" w:right="1134" w:hanging="567"/>
        <w:jc w:val="both"/>
        <w:rPr>
          <w:sz w:val="20"/>
          <w:szCs w:val="20"/>
        </w:rPr>
      </w:pPr>
      <w:r w:rsidRPr="00662F34">
        <w:rPr>
          <w:sz w:val="20"/>
          <w:szCs w:val="20"/>
        </w:rPr>
        <w:t>(</w:t>
      </w:r>
      <w:r w:rsidRPr="00481248">
        <w:rPr>
          <w:sz w:val="20"/>
          <w:szCs w:val="20"/>
          <w:u w:val="single"/>
        </w:rPr>
        <w:t>b</w:t>
      </w:r>
      <w:r w:rsidRPr="00662F34">
        <w:rPr>
          <w:sz w:val="20"/>
          <w:szCs w:val="20"/>
        </w:rPr>
        <w:t>)</w:t>
      </w:r>
      <w:r>
        <w:rPr>
          <w:sz w:val="20"/>
          <w:szCs w:val="20"/>
        </w:rPr>
        <w:tab/>
      </w:r>
      <w:r w:rsidRPr="00662F34">
        <w:rPr>
          <w:sz w:val="20"/>
          <w:szCs w:val="20"/>
        </w:rPr>
        <w:t>The relevant inspection and test, quality control, quality assurance, and process operation instructions that will be used;</w:t>
      </w:r>
    </w:p>
    <w:p w14:paraId="3C6DCE21" w14:textId="77777777" w:rsidR="008109AD" w:rsidRPr="00662F34" w:rsidRDefault="008109AD" w:rsidP="00481248">
      <w:pPr>
        <w:pStyle w:val="Default"/>
        <w:spacing w:after="120"/>
        <w:ind w:left="2835" w:right="1134" w:hanging="567"/>
        <w:jc w:val="both"/>
        <w:rPr>
          <w:sz w:val="20"/>
          <w:szCs w:val="20"/>
        </w:rPr>
      </w:pPr>
      <w:r w:rsidRPr="00662F34">
        <w:rPr>
          <w:sz w:val="20"/>
          <w:szCs w:val="20"/>
        </w:rPr>
        <w:t>(</w:t>
      </w:r>
      <w:r w:rsidRPr="00481248">
        <w:rPr>
          <w:sz w:val="20"/>
          <w:szCs w:val="20"/>
          <w:u w:val="single"/>
        </w:rPr>
        <w:t>c</w:t>
      </w:r>
      <w:r w:rsidRPr="00662F34">
        <w:rPr>
          <w:sz w:val="20"/>
          <w:szCs w:val="20"/>
        </w:rPr>
        <w:t>)</w:t>
      </w:r>
      <w:r>
        <w:rPr>
          <w:sz w:val="20"/>
          <w:szCs w:val="20"/>
        </w:rPr>
        <w:tab/>
      </w:r>
      <w:r w:rsidRPr="00662F34">
        <w:rPr>
          <w:sz w:val="20"/>
          <w:szCs w:val="20"/>
        </w:rPr>
        <w:t>Process controls that should include relevant activities to prevent and detect internal short circuit failure during manufacture of cells;</w:t>
      </w:r>
    </w:p>
    <w:p w14:paraId="5B898BDF" w14:textId="77777777" w:rsidR="008109AD" w:rsidRPr="00662F34" w:rsidRDefault="008109AD" w:rsidP="00481248">
      <w:pPr>
        <w:pStyle w:val="Default"/>
        <w:spacing w:after="120"/>
        <w:ind w:left="2835" w:right="1134" w:hanging="567"/>
        <w:jc w:val="both"/>
        <w:rPr>
          <w:sz w:val="20"/>
          <w:szCs w:val="20"/>
        </w:rPr>
      </w:pPr>
      <w:r w:rsidRPr="00662F34">
        <w:rPr>
          <w:sz w:val="20"/>
          <w:szCs w:val="20"/>
        </w:rPr>
        <w:t>(</w:t>
      </w:r>
      <w:r w:rsidRPr="00481248">
        <w:rPr>
          <w:sz w:val="20"/>
          <w:szCs w:val="20"/>
          <w:u w:val="single"/>
        </w:rPr>
        <w:t>d</w:t>
      </w:r>
      <w:r w:rsidRPr="00662F34">
        <w:rPr>
          <w:sz w:val="20"/>
          <w:szCs w:val="20"/>
        </w:rPr>
        <w:t>)</w:t>
      </w:r>
      <w:r>
        <w:rPr>
          <w:sz w:val="20"/>
          <w:szCs w:val="20"/>
        </w:rPr>
        <w:tab/>
      </w:r>
      <w:r w:rsidRPr="00662F34">
        <w:rPr>
          <w:sz w:val="20"/>
          <w:szCs w:val="20"/>
        </w:rPr>
        <w:t>Quality records, such as inspection reports, test data, calibration data and certificates. Test data shall be kept and made available to the competent authority upon request;</w:t>
      </w:r>
    </w:p>
    <w:p w14:paraId="46C7D994" w14:textId="77777777" w:rsidR="008109AD" w:rsidRPr="00662F34" w:rsidRDefault="008109AD" w:rsidP="00481248">
      <w:pPr>
        <w:pStyle w:val="Default"/>
        <w:spacing w:after="120"/>
        <w:ind w:left="2835" w:right="1134" w:hanging="567"/>
        <w:jc w:val="both"/>
        <w:rPr>
          <w:sz w:val="20"/>
          <w:szCs w:val="20"/>
        </w:rPr>
      </w:pPr>
      <w:r w:rsidRPr="00662F34">
        <w:rPr>
          <w:sz w:val="20"/>
          <w:szCs w:val="20"/>
        </w:rPr>
        <w:t>(</w:t>
      </w:r>
      <w:r w:rsidRPr="00481248">
        <w:rPr>
          <w:sz w:val="20"/>
          <w:szCs w:val="20"/>
          <w:u w:val="single"/>
        </w:rPr>
        <w:t>e</w:t>
      </w:r>
      <w:r w:rsidRPr="00662F34">
        <w:rPr>
          <w:sz w:val="20"/>
          <w:szCs w:val="20"/>
        </w:rPr>
        <w:t>)</w:t>
      </w:r>
      <w:r>
        <w:rPr>
          <w:sz w:val="20"/>
          <w:szCs w:val="20"/>
        </w:rPr>
        <w:tab/>
      </w:r>
      <w:r w:rsidRPr="00662F34">
        <w:rPr>
          <w:sz w:val="20"/>
          <w:szCs w:val="20"/>
        </w:rPr>
        <w:t>Management reviews to ensure the effective operation of the quality management programme;</w:t>
      </w:r>
    </w:p>
    <w:p w14:paraId="7BF2EE5C" w14:textId="77777777" w:rsidR="008109AD" w:rsidRPr="00662F34" w:rsidRDefault="008109AD" w:rsidP="00481248">
      <w:pPr>
        <w:pStyle w:val="Default"/>
        <w:spacing w:after="120"/>
        <w:ind w:left="2835" w:right="1134" w:hanging="567"/>
        <w:jc w:val="both"/>
        <w:rPr>
          <w:sz w:val="20"/>
          <w:szCs w:val="20"/>
        </w:rPr>
      </w:pPr>
      <w:r w:rsidRPr="00662F34">
        <w:rPr>
          <w:sz w:val="20"/>
          <w:szCs w:val="20"/>
        </w:rPr>
        <w:t>(</w:t>
      </w:r>
      <w:r w:rsidRPr="00481248">
        <w:rPr>
          <w:sz w:val="20"/>
          <w:szCs w:val="20"/>
          <w:u w:val="single"/>
        </w:rPr>
        <w:t>f</w:t>
      </w:r>
      <w:r w:rsidRPr="00662F34">
        <w:rPr>
          <w:sz w:val="20"/>
          <w:szCs w:val="20"/>
        </w:rPr>
        <w:t>)</w:t>
      </w:r>
      <w:r>
        <w:rPr>
          <w:sz w:val="20"/>
          <w:szCs w:val="20"/>
        </w:rPr>
        <w:tab/>
      </w:r>
      <w:r w:rsidRPr="00662F34">
        <w:rPr>
          <w:sz w:val="20"/>
          <w:szCs w:val="20"/>
        </w:rPr>
        <w:t>A process for control of documents and their revision;</w:t>
      </w:r>
    </w:p>
    <w:p w14:paraId="31AF3955" w14:textId="77777777" w:rsidR="008109AD" w:rsidRPr="00662F34" w:rsidRDefault="008109AD" w:rsidP="00481248">
      <w:pPr>
        <w:pStyle w:val="Default"/>
        <w:spacing w:after="120"/>
        <w:ind w:left="2835" w:right="1134" w:hanging="567"/>
        <w:jc w:val="both"/>
        <w:rPr>
          <w:sz w:val="20"/>
          <w:szCs w:val="20"/>
        </w:rPr>
      </w:pPr>
      <w:r w:rsidRPr="00662F34">
        <w:rPr>
          <w:sz w:val="20"/>
          <w:szCs w:val="20"/>
        </w:rPr>
        <w:t>(</w:t>
      </w:r>
      <w:r w:rsidRPr="00481248">
        <w:rPr>
          <w:sz w:val="20"/>
          <w:szCs w:val="20"/>
          <w:u w:val="single"/>
        </w:rPr>
        <w:t>g</w:t>
      </w:r>
      <w:r w:rsidRPr="00662F34">
        <w:rPr>
          <w:sz w:val="20"/>
          <w:szCs w:val="20"/>
        </w:rPr>
        <w:t>)</w:t>
      </w:r>
      <w:r>
        <w:rPr>
          <w:sz w:val="20"/>
          <w:szCs w:val="20"/>
        </w:rPr>
        <w:tab/>
      </w:r>
      <w:r w:rsidRPr="00662F34">
        <w:rPr>
          <w:sz w:val="20"/>
          <w:szCs w:val="20"/>
        </w:rPr>
        <w:t>A means for control of cells or batteries that are not conforming to the type tested as mentioned in (a) above;</w:t>
      </w:r>
    </w:p>
    <w:p w14:paraId="2A3739BD" w14:textId="77777777" w:rsidR="008109AD" w:rsidRPr="00662F34" w:rsidRDefault="008109AD" w:rsidP="00481248">
      <w:pPr>
        <w:pStyle w:val="Default"/>
        <w:spacing w:after="120"/>
        <w:ind w:left="2835" w:right="1134" w:hanging="567"/>
        <w:jc w:val="both"/>
        <w:rPr>
          <w:sz w:val="20"/>
          <w:szCs w:val="20"/>
        </w:rPr>
      </w:pPr>
      <w:r w:rsidRPr="00662F34">
        <w:rPr>
          <w:sz w:val="20"/>
          <w:szCs w:val="20"/>
        </w:rPr>
        <w:lastRenderedPageBreak/>
        <w:t>(</w:t>
      </w:r>
      <w:r w:rsidRPr="00481248">
        <w:rPr>
          <w:sz w:val="20"/>
          <w:szCs w:val="20"/>
          <w:u w:val="single"/>
        </w:rPr>
        <w:t>h</w:t>
      </w:r>
      <w:r w:rsidRPr="00662F34">
        <w:rPr>
          <w:sz w:val="20"/>
          <w:szCs w:val="20"/>
        </w:rPr>
        <w:t>)</w:t>
      </w:r>
      <w:r>
        <w:rPr>
          <w:sz w:val="20"/>
          <w:szCs w:val="20"/>
        </w:rPr>
        <w:tab/>
      </w:r>
      <w:r w:rsidRPr="00662F34">
        <w:rPr>
          <w:sz w:val="20"/>
          <w:szCs w:val="20"/>
        </w:rPr>
        <w:t>Training programmes and qualification procedures for relevant personnel; and</w:t>
      </w:r>
    </w:p>
    <w:p w14:paraId="23AEC28E" w14:textId="77777777" w:rsidR="008109AD" w:rsidRPr="00662F34" w:rsidRDefault="008109AD" w:rsidP="00481248">
      <w:pPr>
        <w:pStyle w:val="Default"/>
        <w:spacing w:after="120"/>
        <w:ind w:left="2835" w:right="1134" w:hanging="567"/>
        <w:jc w:val="both"/>
        <w:rPr>
          <w:sz w:val="20"/>
          <w:szCs w:val="20"/>
        </w:rPr>
      </w:pPr>
      <w:r w:rsidRPr="00662F34">
        <w:rPr>
          <w:sz w:val="20"/>
          <w:szCs w:val="20"/>
        </w:rPr>
        <w:t>(</w:t>
      </w:r>
      <w:proofErr w:type="spellStart"/>
      <w:r w:rsidRPr="00481248">
        <w:rPr>
          <w:sz w:val="20"/>
          <w:szCs w:val="20"/>
          <w:u w:val="single"/>
        </w:rPr>
        <w:t>i</w:t>
      </w:r>
      <w:proofErr w:type="spellEnd"/>
      <w:r w:rsidRPr="00662F34">
        <w:rPr>
          <w:sz w:val="20"/>
          <w:szCs w:val="20"/>
        </w:rPr>
        <w:t>)</w:t>
      </w:r>
      <w:r>
        <w:rPr>
          <w:sz w:val="20"/>
          <w:szCs w:val="20"/>
        </w:rPr>
        <w:tab/>
      </w:r>
      <w:r w:rsidRPr="00662F34">
        <w:rPr>
          <w:sz w:val="20"/>
          <w:szCs w:val="20"/>
        </w:rPr>
        <w:t>Procedures to ensure that there is no damage to the final product.</w:t>
      </w:r>
    </w:p>
    <w:p w14:paraId="026A9296" w14:textId="77777777" w:rsidR="008109AD" w:rsidRPr="00662F34" w:rsidRDefault="008109AD" w:rsidP="00481248">
      <w:pPr>
        <w:pStyle w:val="Default"/>
        <w:spacing w:after="120"/>
        <w:ind w:left="2268" w:right="1134"/>
        <w:jc w:val="both"/>
        <w:rPr>
          <w:sz w:val="20"/>
          <w:szCs w:val="20"/>
        </w:rPr>
      </w:pPr>
      <w:r w:rsidRPr="00662F34">
        <w:rPr>
          <w:b/>
          <w:bCs/>
          <w:i/>
          <w:iCs/>
          <w:sz w:val="20"/>
          <w:szCs w:val="20"/>
        </w:rPr>
        <w:t>NOTE:</w:t>
      </w:r>
      <w:r>
        <w:rPr>
          <w:b/>
          <w:bCs/>
          <w:i/>
          <w:iCs/>
          <w:sz w:val="20"/>
          <w:szCs w:val="20"/>
        </w:rPr>
        <w:tab/>
      </w:r>
      <w:r w:rsidRPr="00662F34">
        <w:rPr>
          <w:i/>
          <w:iCs/>
          <w:sz w:val="20"/>
          <w:szCs w:val="20"/>
        </w:rPr>
        <w:t>In house quality management programmes may be accepted. Third party certification is not required, but the procedures listed in (</w:t>
      </w:r>
      <w:r w:rsidRPr="00481248">
        <w:rPr>
          <w:i/>
          <w:iCs/>
          <w:sz w:val="20"/>
          <w:szCs w:val="20"/>
          <w:u w:val="single"/>
        </w:rPr>
        <w:t>a</w:t>
      </w:r>
      <w:r w:rsidRPr="00662F34">
        <w:rPr>
          <w:i/>
          <w:iCs/>
          <w:sz w:val="20"/>
          <w:szCs w:val="20"/>
        </w:rPr>
        <w:t>) to (</w:t>
      </w:r>
      <w:proofErr w:type="spellStart"/>
      <w:r w:rsidRPr="00481248">
        <w:rPr>
          <w:i/>
          <w:iCs/>
          <w:sz w:val="20"/>
          <w:szCs w:val="20"/>
          <w:u w:val="single"/>
        </w:rPr>
        <w:t>i</w:t>
      </w:r>
      <w:proofErr w:type="spellEnd"/>
      <w:r w:rsidRPr="00662F34">
        <w:rPr>
          <w:i/>
          <w:iCs/>
          <w:sz w:val="20"/>
          <w:szCs w:val="20"/>
        </w:rPr>
        <w:t xml:space="preserve">) above shall be properly recorded and traceable. A copy of the quality management programme shall be made available to the competent authority upon </w:t>
      </w:r>
      <w:proofErr w:type="gramStart"/>
      <w:r w:rsidRPr="00662F34">
        <w:rPr>
          <w:i/>
          <w:iCs/>
          <w:sz w:val="20"/>
          <w:szCs w:val="20"/>
        </w:rPr>
        <w:t>request.</w:t>
      </w:r>
      <w:r w:rsidR="00293559">
        <w:rPr>
          <w:i/>
          <w:iCs/>
          <w:sz w:val="20"/>
          <w:szCs w:val="20"/>
        </w:rPr>
        <w:t>“</w:t>
      </w:r>
      <w:proofErr w:type="gramEnd"/>
    </w:p>
    <w:p w14:paraId="4D864588" w14:textId="77777777" w:rsidR="008109AD" w:rsidRDefault="008109AD" w:rsidP="00293559">
      <w:pPr>
        <w:pStyle w:val="SingleTxtG"/>
      </w:pPr>
      <w:r>
        <w:t>8</w:t>
      </w:r>
      <w:r w:rsidRPr="005114A6">
        <w:t>.</w:t>
      </w:r>
      <w:r w:rsidRPr="005114A6">
        <w:tab/>
      </w:r>
      <w:r>
        <w:t>If the above is adopted, t</w:t>
      </w:r>
      <w:r w:rsidRPr="005114A6">
        <w:t>he Sub</w:t>
      </w:r>
      <w:r w:rsidR="00827351">
        <w:t>-C</w:t>
      </w:r>
      <w:r w:rsidRPr="005114A6">
        <w:t xml:space="preserve">ommittee is also invited to consider </w:t>
      </w:r>
      <w:r>
        <w:t>the following consequential amendments</w:t>
      </w:r>
      <w:r w:rsidRPr="005114A6">
        <w:t>:</w:t>
      </w:r>
    </w:p>
    <w:p w14:paraId="33263F5C" w14:textId="77777777" w:rsidR="008109AD" w:rsidRDefault="008109AD" w:rsidP="00827351">
      <w:pPr>
        <w:pStyle w:val="SingleTxtG"/>
      </w:pPr>
      <w:r>
        <w:tab/>
      </w:r>
      <w:r>
        <w:tab/>
      </w:r>
      <w:r w:rsidR="00827351">
        <w:t xml:space="preserve">In </w:t>
      </w:r>
      <w:r>
        <w:t xml:space="preserve">Chapter 3.3, </w:t>
      </w:r>
      <w:r w:rsidR="00827351">
        <w:t xml:space="preserve">amend </w:t>
      </w:r>
      <w:r>
        <w:t>the following special provisions</w:t>
      </w:r>
      <w:r w:rsidR="00827351">
        <w:t xml:space="preserve"> to read:</w:t>
      </w:r>
    </w:p>
    <w:p w14:paraId="5D598BCE" w14:textId="77777777" w:rsidR="008109AD" w:rsidRPr="006D020B" w:rsidRDefault="00827351" w:rsidP="00481248">
      <w:pPr>
        <w:pStyle w:val="Default"/>
        <w:spacing w:after="120"/>
        <w:ind w:left="2268" w:hanging="567"/>
        <w:jc w:val="both"/>
        <w:rPr>
          <w:sz w:val="20"/>
          <w:szCs w:val="20"/>
        </w:rPr>
      </w:pPr>
      <w:r>
        <w:rPr>
          <w:sz w:val="20"/>
          <w:szCs w:val="20"/>
        </w:rPr>
        <w:t>“</w:t>
      </w:r>
      <w:r w:rsidR="008109AD" w:rsidRPr="006D020B">
        <w:rPr>
          <w:sz w:val="20"/>
          <w:szCs w:val="20"/>
        </w:rPr>
        <w:t xml:space="preserve">188 </w:t>
      </w:r>
      <w:r w:rsidR="008109AD">
        <w:rPr>
          <w:sz w:val="20"/>
          <w:szCs w:val="20"/>
        </w:rPr>
        <w:tab/>
      </w:r>
      <w:r w:rsidR="008109AD" w:rsidRPr="006D020B">
        <w:rPr>
          <w:sz w:val="20"/>
          <w:szCs w:val="20"/>
        </w:rPr>
        <w:t xml:space="preserve">Cells and batteries offered for transport are not subject to other provisions of these Regulations if they meet the following: </w:t>
      </w:r>
    </w:p>
    <w:p w14:paraId="4F554071" w14:textId="77777777" w:rsidR="008109AD" w:rsidRDefault="008109AD" w:rsidP="00293559">
      <w:pPr>
        <w:pStyle w:val="SingleTxtG"/>
        <w:ind w:left="1701"/>
      </w:pPr>
      <w:r>
        <w:tab/>
      </w:r>
      <w:r>
        <w:tab/>
        <w:t>…</w:t>
      </w:r>
    </w:p>
    <w:p w14:paraId="14960A64" w14:textId="77777777" w:rsidR="008109AD" w:rsidRDefault="008109AD" w:rsidP="00827351">
      <w:pPr>
        <w:pStyle w:val="SingleTxtG"/>
        <w:ind w:left="2835" w:hanging="567"/>
      </w:pPr>
      <w:r w:rsidRPr="006D020B">
        <w:t>(c)</w:t>
      </w:r>
      <w:r>
        <w:tab/>
      </w:r>
      <w:r w:rsidRPr="006D020B">
        <w:t>Each cell or battery meets the provisions of</w:t>
      </w:r>
      <w:r w:rsidR="00827351">
        <w:t xml:space="preserve"> </w:t>
      </w:r>
      <w:r w:rsidRPr="00481248">
        <w:rPr>
          <w:u w:val="single"/>
        </w:rPr>
        <w:t>2.9.4.1</w:t>
      </w:r>
      <w:r w:rsidRPr="006D020B">
        <w:t xml:space="preserve"> (a), </w:t>
      </w:r>
      <w:r w:rsidRPr="00481248">
        <w:rPr>
          <w:u w:val="single"/>
        </w:rPr>
        <w:t>(e) if applicable</w:t>
      </w:r>
      <w:r w:rsidRPr="006D020B">
        <w:t xml:space="preserve"> and (</w:t>
      </w:r>
      <w:r w:rsidRPr="00481248">
        <w:rPr>
          <w:u w:val="single"/>
        </w:rPr>
        <w:t>f</w:t>
      </w:r>
      <w:r w:rsidRPr="006D020B">
        <w:t>);</w:t>
      </w:r>
    </w:p>
    <w:p w14:paraId="5B1961EA" w14:textId="77777777" w:rsidR="008109AD" w:rsidRDefault="008109AD" w:rsidP="00015CEC">
      <w:pPr>
        <w:pStyle w:val="SingleTxtG"/>
        <w:ind w:left="1701"/>
      </w:pPr>
      <w:r>
        <w:t>…</w:t>
      </w:r>
    </w:p>
    <w:p w14:paraId="77CE21B3" w14:textId="77777777" w:rsidR="008109AD" w:rsidRDefault="008109AD" w:rsidP="008109AD">
      <w:pPr>
        <w:pStyle w:val="SingleTxtG"/>
        <w:ind w:left="2268" w:hanging="567"/>
      </w:pPr>
      <w:r w:rsidRPr="0066106A">
        <w:t xml:space="preserve">230 </w:t>
      </w:r>
      <w:r>
        <w:tab/>
      </w:r>
      <w:r w:rsidRPr="0066106A">
        <w:t xml:space="preserve">Lithium cells and batteries may be </w:t>
      </w:r>
      <w:r w:rsidRPr="00015CEC">
        <w:rPr>
          <w:u w:val="single"/>
        </w:rPr>
        <w:t>offered for transport</w:t>
      </w:r>
      <w:r>
        <w:t xml:space="preserve"> </w:t>
      </w:r>
      <w:r w:rsidRPr="0066106A">
        <w:t>under this entry if they meet the provisions of</w:t>
      </w:r>
      <w:r w:rsidR="00015CEC">
        <w:t xml:space="preserve"> </w:t>
      </w:r>
      <w:r w:rsidRPr="00481248">
        <w:rPr>
          <w:u w:val="single"/>
        </w:rPr>
        <w:t>2.9.4.1</w:t>
      </w:r>
      <w:r w:rsidRPr="0066106A">
        <w:t>.</w:t>
      </w:r>
    </w:p>
    <w:p w14:paraId="39EFCC1C" w14:textId="77777777" w:rsidR="008109AD" w:rsidRDefault="008109AD" w:rsidP="008109AD">
      <w:pPr>
        <w:pStyle w:val="SingleTxtG"/>
        <w:ind w:left="1701"/>
      </w:pPr>
      <w:r>
        <w:t>…</w:t>
      </w:r>
    </w:p>
    <w:p w14:paraId="3F762038" w14:textId="77777777" w:rsidR="008109AD" w:rsidRDefault="008109AD" w:rsidP="008109AD">
      <w:pPr>
        <w:pStyle w:val="SingleTxtG"/>
        <w:ind w:left="2268" w:hanging="567"/>
      </w:pPr>
      <w:r>
        <w:t>363</w:t>
      </w:r>
      <w:r w:rsidRPr="0066106A">
        <w:t xml:space="preserve"> </w:t>
      </w:r>
      <w:r>
        <w:tab/>
      </w:r>
      <w:r w:rsidRPr="00307D7E">
        <w:t>This entry may only be used when the conditions of this special provision are met. No other requirements of these Regulations apply</w:t>
      </w:r>
      <w:r>
        <w:t>.</w:t>
      </w:r>
    </w:p>
    <w:p w14:paraId="31BEDA36" w14:textId="77777777" w:rsidR="008109AD" w:rsidRDefault="008109AD" w:rsidP="008109AD">
      <w:pPr>
        <w:pStyle w:val="SingleTxtG"/>
        <w:ind w:left="2268" w:hanging="567"/>
      </w:pPr>
      <w:r>
        <w:tab/>
        <w:t>…</w:t>
      </w:r>
    </w:p>
    <w:p w14:paraId="01C6299B" w14:textId="77777777" w:rsidR="008109AD" w:rsidRDefault="008109AD" w:rsidP="008109AD">
      <w:pPr>
        <w:pStyle w:val="SingleTxtG"/>
        <w:ind w:left="2835" w:hanging="567"/>
      </w:pPr>
      <w:r w:rsidRPr="00A6381D">
        <w:t xml:space="preserve">(f) </w:t>
      </w:r>
      <w:r>
        <w:tab/>
      </w:r>
      <w:r w:rsidRPr="00A6381D">
        <w:t xml:space="preserve">Engines or machinery may contain other dangerous goods than fuels (e.g. batteries, fire extinguishers, compressed gas accumulators or safety devices) required for their functioning or safe operation without being subject to any additional requirements for these other dangerous goods, unless otherwise specified in these Regulations. However, lithium batteries shall meet the provisions of </w:t>
      </w:r>
      <w:r w:rsidRPr="00481248">
        <w:rPr>
          <w:u w:val="single"/>
        </w:rPr>
        <w:t>2.9.4.1</w:t>
      </w:r>
      <w:r w:rsidRPr="00A6381D">
        <w:t xml:space="preserve">, except that </w:t>
      </w:r>
      <w:r w:rsidRPr="00481248">
        <w:rPr>
          <w:u w:val="single"/>
        </w:rPr>
        <w:t>2.9.4.1</w:t>
      </w:r>
      <w:r w:rsidRPr="00A6381D">
        <w:t xml:space="preserve"> (a) does not apply when pre-production prototype batteries or batteries of a small production run, consisting of not more than 100 batteries, are installed in machinery or engines.</w:t>
      </w:r>
    </w:p>
    <w:p w14:paraId="2A36C693" w14:textId="77777777" w:rsidR="008109AD" w:rsidRDefault="008109AD" w:rsidP="008109AD">
      <w:pPr>
        <w:pStyle w:val="SingleTxtG"/>
        <w:ind w:left="1701"/>
      </w:pPr>
      <w:r>
        <w:t>…</w:t>
      </w:r>
    </w:p>
    <w:p w14:paraId="126CAFC7" w14:textId="77777777" w:rsidR="008109AD" w:rsidRDefault="008109AD" w:rsidP="008109AD">
      <w:pPr>
        <w:pStyle w:val="SingleTxtG"/>
        <w:ind w:left="2268" w:hanging="567"/>
      </w:pPr>
      <w:r>
        <w:t>377</w:t>
      </w:r>
      <w:r w:rsidRPr="0066106A">
        <w:t xml:space="preserve"> </w:t>
      </w:r>
      <w:r>
        <w:tab/>
      </w:r>
      <w:r w:rsidRPr="00307D7E">
        <w:t>This entry may only be used when the conditions of this special provision are met. No other requirements of these Regulations apply</w:t>
      </w:r>
      <w:r>
        <w:t>.</w:t>
      </w:r>
    </w:p>
    <w:p w14:paraId="6EA01C83" w14:textId="77777777" w:rsidR="008109AD" w:rsidRDefault="008109AD" w:rsidP="008109AD">
      <w:pPr>
        <w:pStyle w:val="SingleTxtG"/>
        <w:ind w:left="2268"/>
      </w:pPr>
      <w:r w:rsidRPr="00A76AB0">
        <w:t>These cells and batteries are not subject to the requirements of section</w:t>
      </w:r>
      <w:r w:rsidR="00015CEC">
        <w:t xml:space="preserve"> </w:t>
      </w:r>
      <w:r w:rsidRPr="00481248">
        <w:rPr>
          <w:u w:val="single"/>
        </w:rPr>
        <w:t>2.9.4.1</w:t>
      </w:r>
      <w:r w:rsidRPr="00A76AB0">
        <w:t>. Additional exemptions may be provided under the conditions defined by modal transport regulations</w:t>
      </w:r>
      <w:r>
        <w:t>.</w:t>
      </w:r>
    </w:p>
    <w:p w14:paraId="0F72C8C6" w14:textId="77777777" w:rsidR="008109AD" w:rsidRDefault="008109AD" w:rsidP="008109AD">
      <w:pPr>
        <w:pStyle w:val="SingleTxtG"/>
        <w:ind w:left="2268"/>
      </w:pPr>
      <w:r>
        <w:t>…</w:t>
      </w:r>
    </w:p>
    <w:p w14:paraId="418D1F15" w14:textId="77777777" w:rsidR="008109AD" w:rsidRDefault="008109AD" w:rsidP="008109AD">
      <w:pPr>
        <w:pStyle w:val="SingleTxtG"/>
        <w:ind w:left="2268" w:hanging="567"/>
      </w:pPr>
      <w:r>
        <w:t>387</w:t>
      </w:r>
      <w:r w:rsidRPr="0066106A">
        <w:t xml:space="preserve"> </w:t>
      </w:r>
      <w:r>
        <w:tab/>
      </w:r>
      <w:r w:rsidRPr="002C210B">
        <w:t xml:space="preserve">Lithium batteries in conformity with </w:t>
      </w:r>
      <w:r w:rsidRPr="00481248">
        <w:rPr>
          <w:u w:val="single"/>
        </w:rPr>
        <w:t>2.9.4.1 (e)</w:t>
      </w:r>
      <w:r>
        <w:t xml:space="preserve"> </w:t>
      </w:r>
      <w:r w:rsidRPr="002C210B">
        <w:t>containing both primary lithium metal cells and rechargeable lithium ion cells shall be assigned to UN Nos. 3090 or 3091 as appropriate. When such batteries are transported in accordance with special provision 188, the total lithium content of all lithium metal cells contained in the battery shall not exceed 1.5 g and the total capacity of all lithium ion cells contained in the battery shall not exceed 10 Wh</w:t>
      </w:r>
      <w:r>
        <w:t>.</w:t>
      </w:r>
    </w:p>
    <w:p w14:paraId="5DEE4996" w14:textId="77777777" w:rsidR="008109AD" w:rsidRDefault="008109AD" w:rsidP="008109AD">
      <w:pPr>
        <w:pStyle w:val="SingleTxtG"/>
        <w:ind w:left="2268" w:hanging="567"/>
      </w:pPr>
      <w:r w:rsidRPr="00AB280D">
        <w:t xml:space="preserve">388 </w:t>
      </w:r>
      <w:r w:rsidRPr="00AB280D">
        <w:tab/>
        <w:t>UN No. 3166 entries apply to vehicles powered by flammable liquid or gas internal combustion engines or fuel cells.</w:t>
      </w:r>
    </w:p>
    <w:p w14:paraId="1989DAFB" w14:textId="77777777" w:rsidR="008109AD" w:rsidRDefault="008109AD" w:rsidP="008109AD">
      <w:pPr>
        <w:pStyle w:val="SingleTxtG"/>
        <w:ind w:left="2268" w:hanging="567"/>
      </w:pPr>
      <w:r>
        <w:tab/>
        <w:t>…</w:t>
      </w:r>
    </w:p>
    <w:p w14:paraId="58A2A0B4" w14:textId="77777777" w:rsidR="008109AD" w:rsidRPr="008E6F52" w:rsidRDefault="008109AD" w:rsidP="008109AD">
      <w:pPr>
        <w:pStyle w:val="SingleTxtG"/>
        <w:ind w:left="2268"/>
      </w:pPr>
      <w:r w:rsidRPr="008E6F52">
        <w:lastRenderedPageBreak/>
        <w:t xml:space="preserve">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provisions of </w:t>
      </w:r>
      <w:r w:rsidRPr="00481248">
        <w:rPr>
          <w:u w:val="single"/>
        </w:rPr>
        <w:t>2.9.4.1</w:t>
      </w:r>
      <w:r w:rsidRPr="008E6F52">
        <w:t xml:space="preserve">, except that </w:t>
      </w:r>
      <w:r w:rsidRPr="00481248">
        <w:rPr>
          <w:u w:val="single"/>
        </w:rPr>
        <w:t>2.9.4.1</w:t>
      </w:r>
      <w:r w:rsidRPr="008E6F52">
        <w:t xml:space="preserve"> (a) does not apply when pre-production prototype batteries or batteries of a small production run, consisting of not more than 100 batteries, are installed in vehicles or equipment.</w:t>
      </w:r>
    </w:p>
    <w:p w14:paraId="71FC0B34" w14:textId="77777777" w:rsidR="008109AD" w:rsidRDefault="008109AD" w:rsidP="008109AD">
      <w:pPr>
        <w:pStyle w:val="SingleTxtG"/>
        <w:ind w:left="2268"/>
        <w:rPr>
          <w:sz w:val="22"/>
          <w:szCs w:val="22"/>
        </w:rPr>
      </w:pPr>
      <w:r>
        <w:rPr>
          <w:sz w:val="22"/>
          <w:szCs w:val="22"/>
        </w:rPr>
        <w:t>…</w:t>
      </w:r>
    </w:p>
    <w:p w14:paraId="6D46C6B8" w14:textId="77777777" w:rsidR="008109AD" w:rsidRDefault="008109AD" w:rsidP="008109AD">
      <w:pPr>
        <w:pStyle w:val="SingleTxtG"/>
        <w:ind w:left="2268" w:hanging="567"/>
      </w:pPr>
      <w:r w:rsidRPr="00AB280D">
        <w:t>38</w:t>
      </w:r>
      <w:r>
        <w:t>9</w:t>
      </w:r>
      <w:r w:rsidRPr="00AB280D">
        <w:t xml:space="preserve"> </w:t>
      </w:r>
      <w:r w:rsidRPr="00AB280D">
        <w:tab/>
      </w:r>
      <w:r w:rsidRPr="00451CDF">
        <w:t xml:space="preserve">This entry only applies to lithium ion batteries or lithium metal batteries installed in a cargo transport unit and designed only to provide power external to the cargo transport unit. The lithium batteries shall meet the requirements of </w:t>
      </w:r>
      <w:r w:rsidRPr="00481248">
        <w:rPr>
          <w:u w:val="single"/>
        </w:rPr>
        <w:t>2.9.4.1</w:t>
      </w:r>
      <w:r w:rsidRPr="00451CDF">
        <w:t xml:space="preserve"> (a) to (</w:t>
      </w:r>
      <w:r w:rsidRPr="00015CEC">
        <w:rPr>
          <w:u w:val="single"/>
        </w:rPr>
        <w:t>f</w:t>
      </w:r>
      <w:r w:rsidRPr="00451CDF">
        <w:t>) and contain the necessary systems to prevent overcharge and over discharge between the batteries</w:t>
      </w:r>
      <w:r w:rsidRPr="00AB280D">
        <w:t>.</w:t>
      </w:r>
    </w:p>
    <w:p w14:paraId="4F42725C" w14:textId="77777777" w:rsidR="008109AD" w:rsidRDefault="008109AD" w:rsidP="008109AD">
      <w:pPr>
        <w:pStyle w:val="SingleTxtG"/>
        <w:ind w:left="2268" w:hanging="567"/>
      </w:pPr>
      <w:r>
        <w:tab/>
        <w:t>…</w:t>
      </w:r>
      <w:r w:rsidR="00F90A7C">
        <w:t>”</w:t>
      </w:r>
    </w:p>
    <w:p w14:paraId="432A1474" w14:textId="77777777" w:rsidR="008109AD" w:rsidRDefault="00015CEC" w:rsidP="008109AD">
      <w:pPr>
        <w:pStyle w:val="SingleTxtG"/>
        <w:ind w:left="1701"/>
      </w:pPr>
      <w:r>
        <w:t xml:space="preserve">In 4.1.4.1, </w:t>
      </w:r>
      <w:r w:rsidR="008109AD">
        <w:t>Packing Instruction P911</w:t>
      </w:r>
      <w:r>
        <w:t xml:space="preserve"> amend </w:t>
      </w:r>
      <w:r w:rsidR="00F90A7C">
        <w:t xml:space="preserve">footnote </w:t>
      </w:r>
      <w:r w:rsidR="00F90A7C" w:rsidRPr="00FA0B2D">
        <w:rPr>
          <w:vertAlign w:val="superscript"/>
        </w:rPr>
        <w:t>a</w:t>
      </w:r>
      <w:r w:rsidR="00F90A7C">
        <w:t xml:space="preserve"> </w:t>
      </w:r>
      <w:r w:rsidR="00F90A7C" w:rsidRPr="00481248">
        <w:rPr>
          <w:i/>
          <w:iCs/>
        </w:rPr>
        <w:t>(a)</w:t>
      </w:r>
      <w:r w:rsidR="00F90A7C">
        <w:t xml:space="preserve"> </w:t>
      </w:r>
      <w:r>
        <w:t>to read</w:t>
      </w:r>
      <w:r w:rsidR="008109AD">
        <w:t>:</w:t>
      </w:r>
    </w:p>
    <w:p w14:paraId="405F8899" w14:textId="77777777" w:rsidR="00F90A7C" w:rsidRDefault="00F90A7C" w:rsidP="008109AD">
      <w:pPr>
        <w:pStyle w:val="SingleTxtG"/>
        <w:ind w:left="1701"/>
      </w:pPr>
      <w:r>
        <w:t>“</w:t>
      </w:r>
    </w:p>
    <w:tbl>
      <w:tblPr>
        <w:tblStyle w:val="TableGrid"/>
        <w:tblW w:w="0" w:type="auto"/>
        <w:tblInd w:w="988" w:type="dxa"/>
        <w:tblLook w:val="04A0" w:firstRow="1" w:lastRow="0" w:firstColumn="1" w:lastColumn="0" w:noHBand="0" w:noVBand="1"/>
      </w:tblPr>
      <w:tblGrid>
        <w:gridCol w:w="8362"/>
      </w:tblGrid>
      <w:tr w:rsidR="008109AD" w:rsidRPr="00066C56" w14:paraId="4F32E960" w14:textId="77777777" w:rsidTr="00E80CA4">
        <w:tc>
          <w:tcPr>
            <w:tcW w:w="8362" w:type="dxa"/>
          </w:tcPr>
          <w:p w14:paraId="2C0822FC" w14:textId="77777777" w:rsidR="008109AD" w:rsidRPr="00066C56" w:rsidRDefault="008109AD" w:rsidP="00E80CA4">
            <w:pPr>
              <w:keepNext/>
              <w:keepLines/>
              <w:tabs>
                <w:tab w:val="left" w:pos="2814"/>
                <w:tab w:val="left" w:pos="7482"/>
              </w:tabs>
              <w:rPr>
                <w:b/>
                <w:sz w:val="18"/>
                <w:szCs w:val="18"/>
              </w:rPr>
            </w:pPr>
            <w:r w:rsidRPr="00066C56">
              <w:rPr>
                <w:b/>
                <w:sz w:val="18"/>
                <w:szCs w:val="18"/>
              </w:rPr>
              <w:t>P</w:t>
            </w:r>
            <w:r>
              <w:rPr>
                <w:b/>
                <w:sz w:val="18"/>
                <w:szCs w:val="18"/>
              </w:rPr>
              <w:t>911</w:t>
            </w:r>
            <w:r>
              <w:rPr>
                <w:b/>
                <w:sz w:val="18"/>
                <w:szCs w:val="18"/>
              </w:rPr>
              <w:tab/>
            </w:r>
            <w:r w:rsidRPr="00066C56">
              <w:rPr>
                <w:b/>
                <w:sz w:val="18"/>
                <w:szCs w:val="18"/>
              </w:rPr>
              <w:t xml:space="preserve">PACKING INSTRUCTION                                                    </w:t>
            </w:r>
            <w:r>
              <w:rPr>
                <w:b/>
                <w:sz w:val="18"/>
                <w:szCs w:val="18"/>
              </w:rPr>
              <w:t xml:space="preserve">          </w:t>
            </w:r>
            <w:r w:rsidRPr="00066C56">
              <w:rPr>
                <w:b/>
                <w:sz w:val="18"/>
                <w:szCs w:val="18"/>
              </w:rPr>
              <w:t>P</w:t>
            </w:r>
            <w:r>
              <w:rPr>
                <w:b/>
                <w:sz w:val="18"/>
                <w:szCs w:val="18"/>
              </w:rPr>
              <w:t>911</w:t>
            </w:r>
          </w:p>
        </w:tc>
      </w:tr>
      <w:tr w:rsidR="008109AD" w:rsidRPr="00066C56" w14:paraId="19EA870E" w14:textId="77777777" w:rsidTr="00E80CA4">
        <w:tc>
          <w:tcPr>
            <w:tcW w:w="8362" w:type="dxa"/>
          </w:tcPr>
          <w:p w14:paraId="6F2FDAD1" w14:textId="77777777" w:rsidR="008109AD" w:rsidRPr="00ED01A9" w:rsidRDefault="008109AD" w:rsidP="00E80CA4">
            <w:pPr>
              <w:pStyle w:val="Default"/>
              <w:rPr>
                <w:sz w:val="18"/>
                <w:szCs w:val="18"/>
              </w:rPr>
            </w:pPr>
            <w:r w:rsidRPr="00ED01A9">
              <w:rPr>
                <w:sz w:val="18"/>
                <w:szCs w:val="18"/>
              </w:rPr>
              <w:t xml:space="preserve">This instruction applies to damaged or defective cells and batteries of UN Nos. 3090, 3091, 3480 and 3481 liable to rapidly disassemble, dangerously react, produce a flame or a dangerous evolution of heat or a dangerous emission of toxic, corrosive or flammable gases or </w:t>
            </w:r>
            <w:proofErr w:type="spellStart"/>
            <w:r w:rsidRPr="00ED01A9">
              <w:rPr>
                <w:sz w:val="18"/>
                <w:szCs w:val="18"/>
              </w:rPr>
              <w:t>vapours</w:t>
            </w:r>
            <w:proofErr w:type="spellEnd"/>
            <w:r w:rsidRPr="00ED01A9">
              <w:rPr>
                <w:sz w:val="18"/>
                <w:szCs w:val="18"/>
              </w:rPr>
              <w:t xml:space="preserve"> under normal conditions of transport.</w:t>
            </w:r>
          </w:p>
        </w:tc>
      </w:tr>
      <w:tr w:rsidR="008109AD" w:rsidRPr="00066C56" w14:paraId="58C463A5" w14:textId="77777777" w:rsidTr="00E80CA4">
        <w:tc>
          <w:tcPr>
            <w:tcW w:w="8362" w:type="dxa"/>
          </w:tcPr>
          <w:p w14:paraId="554BD2C4" w14:textId="77777777" w:rsidR="008109AD" w:rsidRDefault="008109AD" w:rsidP="00E80CA4">
            <w:pPr>
              <w:keepNext/>
              <w:keepLines/>
              <w:spacing w:after="120"/>
              <w:rPr>
                <w:sz w:val="18"/>
                <w:szCs w:val="18"/>
              </w:rPr>
            </w:pPr>
            <w:r w:rsidRPr="00325812">
              <w:rPr>
                <w:sz w:val="18"/>
                <w:szCs w:val="18"/>
              </w:rPr>
              <w:t>…</w:t>
            </w:r>
          </w:p>
          <w:p w14:paraId="58E18943" w14:textId="77777777" w:rsidR="008109AD" w:rsidRPr="00325812" w:rsidRDefault="008109AD" w:rsidP="00E80CA4">
            <w:pPr>
              <w:pStyle w:val="Default"/>
              <w:ind w:left="357" w:hanging="357"/>
              <w:rPr>
                <w:sz w:val="18"/>
                <w:szCs w:val="18"/>
              </w:rPr>
            </w:pPr>
            <w:r w:rsidRPr="00325812">
              <w:rPr>
                <w:sz w:val="18"/>
                <w:szCs w:val="18"/>
              </w:rPr>
              <w:t xml:space="preserve">(2) </w:t>
            </w:r>
            <w:r>
              <w:rPr>
                <w:sz w:val="18"/>
                <w:szCs w:val="18"/>
              </w:rPr>
              <w:t xml:space="preserve">  </w:t>
            </w:r>
            <w:r w:rsidRPr="00325812">
              <w:rPr>
                <w:sz w:val="18"/>
                <w:szCs w:val="18"/>
              </w:rPr>
              <w:t xml:space="preserve">The additional packaging performance requirements shall be verified by a test as specified by the competent </w:t>
            </w:r>
            <w:proofErr w:type="spellStart"/>
            <w:r w:rsidRPr="00325812">
              <w:rPr>
                <w:sz w:val="18"/>
                <w:szCs w:val="18"/>
              </w:rPr>
              <w:t>authority</w:t>
            </w:r>
            <w:r w:rsidRPr="00023D4C">
              <w:rPr>
                <w:sz w:val="18"/>
                <w:szCs w:val="18"/>
                <w:vertAlign w:val="superscript"/>
              </w:rPr>
              <w:t>a</w:t>
            </w:r>
            <w:proofErr w:type="spellEnd"/>
            <w:r w:rsidRPr="00325812">
              <w:rPr>
                <w:sz w:val="18"/>
                <w:szCs w:val="18"/>
              </w:rPr>
              <w:t xml:space="preserve">. </w:t>
            </w:r>
          </w:p>
          <w:p w14:paraId="5F5BA3EF" w14:textId="77777777" w:rsidR="008109AD" w:rsidRPr="00325812" w:rsidRDefault="008109AD" w:rsidP="00E80CA4">
            <w:pPr>
              <w:keepNext/>
              <w:keepLines/>
              <w:spacing w:after="120"/>
              <w:rPr>
                <w:sz w:val="18"/>
                <w:szCs w:val="18"/>
              </w:rPr>
            </w:pPr>
            <w:r>
              <w:rPr>
                <w:sz w:val="18"/>
                <w:szCs w:val="18"/>
              </w:rPr>
              <w:t>…</w:t>
            </w:r>
          </w:p>
          <w:p w14:paraId="59ACE46F" w14:textId="77777777" w:rsidR="008109AD" w:rsidRPr="00066C56" w:rsidRDefault="008109AD" w:rsidP="00E80CA4">
            <w:pPr>
              <w:pStyle w:val="ListParagraph"/>
              <w:keepNext/>
              <w:keepLines/>
              <w:suppressAutoHyphens w:val="0"/>
              <w:spacing w:line="240" w:lineRule="auto"/>
              <w:ind w:left="1057" w:hanging="352"/>
              <w:rPr>
                <w:sz w:val="18"/>
                <w:szCs w:val="18"/>
              </w:rPr>
            </w:pPr>
          </w:p>
        </w:tc>
      </w:tr>
    </w:tbl>
    <w:p w14:paraId="012F8B4F" w14:textId="77777777" w:rsidR="008109AD" w:rsidRDefault="008109AD" w:rsidP="008109AD">
      <w:pPr>
        <w:pStyle w:val="SingleTxtG"/>
        <w:pBdr>
          <w:top w:val="single" w:sz="4" w:space="1" w:color="auto"/>
        </w:pBdr>
        <w:ind w:left="1418" w:hanging="425"/>
        <w:rPr>
          <w:i/>
          <w:iCs/>
          <w:sz w:val="18"/>
          <w:szCs w:val="18"/>
        </w:rPr>
      </w:pPr>
      <w:proofErr w:type="spellStart"/>
      <w:r w:rsidRPr="00FA0B2D">
        <w:rPr>
          <w:vertAlign w:val="superscript"/>
        </w:rPr>
        <w:t>a</w:t>
      </w:r>
      <w:proofErr w:type="spellEnd"/>
      <w:r>
        <w:t xml:space="preserve"> </w:t>
      </w:r>
      <w:r>
        <w:tab/>
      </w:r>
      <w:proofErr w:type="gramStart"/>
      <w:r w:rsidRPr="007313CA">
        <w:rPr>
          <w:i/>
          <w:iCs/>
          <w:sz w:val="18"/>
          <w:szCs w:val="18"/>
        </w:rPr>
        <w:t>The</w:t>
      </w:r>
      <w:proofErr w:type="gramEnd"/>
      <w:r w:rsidRPr="007313CA">
        <w:rPr>
          <w:i/>
          <w:iCs/>
          <w:sz w:val="18"/>
          <w:szCs w:val="18"/>
        </w:rPr>
        <w:t xml:space="preserve"> following criteria, as relevant, may be considered to assess the performance of the packaging:</w:t>
      </w:r>
    </w:p>
    <w:p w14:paraId="18000B6D" w14:textId="77777777" w:rsidR="008109AD" w:rsidRPr="008109AD" w:rsidRDefault="008109AD" w:rsidP="008109AD">
      <w:pPr>
        <w:pStyle w:val="SingleTxtG"/>
        <w:ind w:left="1843" w:hanging="425"/>
        <w:rPr>
          <w:sz w:val="18"/>
          <w:szCs w:val="18"/>
        </w:rPr>
      </w:pPr>
      <w:r w:rsidRPr="00601326">
        <w:rPr>
          <w:i/>
          <w:iCs/>
          <w:sz w:val="18"/>
          <w:szCs w:val="18"/>
        </w:rPr>
        <w:t xml:space="preserve">(a) </w:t>
      </w:r>
      <w:r>
        <w:rPr>
          <w:i/>
          <w:iCs/>
          <w:sz w:val="18"/>
          <w:szCs w:val="18"/>
        </w:rPr>
        <w:tab/>
      </w:r>
      <w:r w:rsidRPr="00601326">
        <w:rPr>
          <w:i/>
          <w:iCs/>
          <w:sz w:val="18"/>
          <w:szCs w:val="18"/>
        </w:rPr>
        <w:t>The assessment shall be done under a quality management system (as described e.g. in section</w:t>
      </w:r>
      <w:r w:rsidR="00F90A7C">
        <w:rPr>
          <w:i/>
          <w:iCs/>
          <w:sz w:val="18"/>
          <w:szCs w:val="18"/>
        </w:rPr>
        <w:t xml:space="preserve"> </w:t>
      </w:r>
      <w:r w:rsidRPr="00481248">
        <w:rPr>
          <w:i/>
          <w:iCs/>
          <w:sz w:val="18"/>
          <w:szCs w:val="18"/>
          <w:u w:val="single"/>
        </w:rPr>
        <w:t>2.9.4.2</w:t>
      </w:r>
      <w:r w:rsidRPr="00601326">
        <w:rPr>
          <w:i/>
          <w:iCs/>
          <w:sz w:val="18"/>
          <w:szCs w:val="18"/>
        </w:rPr>
        <w:t>) allowing for the traceability of tests results, reference data and characterization models used;</w:t>
      </w:r>
    </w:p>
    <w:p w14:paraId="54C31124" w14:textId="77777777" w:rsidR="008109AD" w:rsidRDefault="008109AD" w:rsidP="00481248">
      <w:pPr>
        <w:pStyle w:val="SingleTxtG"/>
        <w:ind w:left="1418" w:firstLine="283"/>
      </w:pPr>
      <w:r>
        <w:t>…</w:t>
      </w:r>
      <w:r w:rsidR="00F90A7C">
        <w:t>”</w:t>
      </w:r>
    </w:p>
    <w:p w14:paraId="5A756E6D" w14:textId="77777777" w:rsidR="008109AD" w:rsidRDefault="00F90A7C" w:rsidP="00481248">
      <w:pPr>
        <w:suppressAutoHyphens w:val="0"/>
        <w:kinsoku/>
        <w:overflowPunct/>
        <w:autoSpaceDE/>
        <w:autoSpaceDN/>
        <w:adjustRightInd/>
        <w:snapToGrid/>
        <w:spacing w:after="200" w:line="276" w:lineRule="auto"/>
        <w:ind w:left="1701"/>
      </w:pPr>
      <w:r>
        <w:t xml:space="preserve">In 4.1.4.3, </w:t>
      </w:r>
      <w:r w:rsidR="008109AD">
        <w:t>Packing Instruction LP906</w:t>
      </w:r>
      <w:r w:rsidRPr="00F90A7C">
        <w:t xml:space="preserve"> </w:t>
      </w:r>
      <w:r>
        <w:t xml:space="preserve">amend footnote </w:t>
      </w:r>
      <w:r w:rsidRPr="00FA0B2D">
        <w:rPr>
          <w:vertAlign w:val="superscript"/>
        </w:rPr>
        <w:t>a</w:t>
      </w:r>
      <w:r>
        <w:t xml:space="preserve"> </w:t>
      </w:r>
      <w:r w:rsidRPr="005276A5">
        <w:rPr>
          <w:i/>
          <w:iCs/>
        </w:rPr>
        <w:t>(a)</w:t>
      </w:r>
      <w:r>
        <w:t xml:space="preserve"> to read</w:t>
      </w:r>
      <w:r w:rsidR="008109AD">
        <w:t>:</w:t>
      </w:r>
    </w:p>
    <w:p w14:paraId="661A33BF" w14:textId="77777777" w:rsidR="00F90A7C" w:rsidRDefault="00F90A7C" w:rsidP="008109AD">
      <w:pPr>
        <w:pStyle w:val="SingleTxtG"/>
        <w:ind w:left="1701"/>
      </w:pPr>
      <w:r>
        <w:t>“</w:t>
      </w:r>
    </w:p>
    <w:tbl>
      <w:tblPr>
        <w:tblStyle w:val="TableGrid"/>
        <w:tblW w:w="0" w:type="auto"/>
        <w:tblInd w:w="988" w:type="dxa"/>
        <w:tblLook w:val="04A0" w:firstRow="1" w:lastRow="0" w:firstColumn="1" w:lastColumn="0" w:noHBand="0" w:noVBand="1"/>
      </w:tblPr>
      <w:tblGrid>
        <w:gridCol w:w="8362"/>
      </w:tblGrid>
      <w:tr w:rsidR="008109AD" w:rsidRPr="00066C56" w14:paraId="3318A2EE" w14:textId="77777777" w:rsidTr="00E80CA4">
        <w:tc>
          <w:tcPr>
            <w:tcW w:w="8362" w:type="dxa"/>
          </w:tcPr>
          <w:p w14:paraId="164012A9" w14:textId="77777777" w:rsidR="008109AD" w:rsidRPr="00066C56" w:rsidRDefault="008109AD" w:rsidP="00E80CA4">
            <w:pPr>
              <w:keepNext/>
              <w:keepLines/>
              <w:tabs>
                <w:tab w:val="left" w:pos="2814"/>
                <w:tab w:val="left" w:pos="7482"/>
              </w:tabs>
              <w:rPr>
                <w:b/>
                <w:sz w:val="18"/>
                <w:szCs w:val="18"/>
              </w:rPr>
            </w:pPr>
            <w:r>
              <w:rPr>
                <w:b/>
                <w:sz w:val="18"/>
                <w:szCs w:val="18"/>
              </w:rPr>
              <w:t>L</w:t>
            </w:r>
            <w:r w:rsidRPr="00066C56">
              <w:rPr>
                <w:b/>
                <w:sz w:val="18"/>
                <w:szCs w:val="18"/>
              </w:rPr>
              <w:t>P</w:t>
            </w:r>
            <w:r>
              <w:rPr>
                <w:b/>
                <w:sz w:val="18"/>
                <w:szCs w:val="18"/>
              </w:rPr>
              <w:t>906</w:t>
            </w:r>
            <w:r>
              <w:rPr>
                <w:b/>
                <w:sz w:val="18"/>
                <w:szCs w:val="18"/>
              </w:rPr>
              <w:tab/>
            </w:r>
            <w:r w:rsidRPr="00066C56">
              <w:rPr>
                <w:b/>
                <w:sz w:val="18"/>
                <w:szCs w:val="18"/>
              </w:rPr>
              <w:t xml:space="preserve">PACKING INSTRUCTION                                                    </w:t>
            </w:r>
            <w:r>
              <w:rPr>
                <w:b/>
                <w:sz w:val="18"/>
                <w:szCs w:val="18"/>
              </w:rPr>
              <w:t xml:space="preserve">          L</w:t>
            </w:r>
            <w:r w:rsidRPr="00066C56">
              <w:rPr>
                <w:b/>
                <w:sz w:val="18"/>
                <w:szCs w:val="18"/>
              </w:rPr>
              <w:t>P</w:t>
            </w:r>
            <w:r>
              <w:rPr>
                <w:b/>
                <w:sz w:val="18"/>
                <w:szCs w:val="18"/>
              </w:rPr>
              <w:t>906</w:t>
            </w:r>
          </w:p>
        </w:tc>
      </w:tr>
      <w:tr w:rsidR="008109AD" w:rsidRPr="00066C56" w14:paraId="58BD9E9D" w14:textId="77777777" w:rsidTr="00E80CA4">
        <w:tc>
          <w:tcPr>
            <w:tcW w:w="8362" w:type="dxa"/>
          </w:tcPr>
          <w:p w14:paraId="532F4D84" w14:textId="77777777" w:rsidR="008109AD" w:rsidRPr="00ED01A9" w:rsidRDefault="008109AD" w:rsidP="00E80CA4">
            <w:pPr>
              <w:pStyle w:val="Default"/>
              <w:rPr>
                <w:sz w:val="18"/>
                <w:szCs w:val="18"/>
              </w:rPr>
            </w:pPr>
            <w:r w:rsidRPr="00ED01A9">
              <w:rPr>
                <w:sz w:val="18"/>
                <w:szCs w:val="18"/>
              </w:rPr>
              <w:t xml:space="preserve">This instruction applies to damaged or defective cells and batteries of UN Nos. 3090, 3091, 3480 and 3481 liable to rapidly disassemble, dangerously react, produce a flame or a dangerous evolution of heat or a dangerous emission of toxic, corrosive or flammable gases or </w:t>
            </w:r>
            <w:proofErr w:type="spellStart"/>
            <w:r w:rsidRPr="00ED01A9">
              <w:rPr>
                <w:sz w:val="18"/>
                <w:szCs w:val="18"/>
              </w:rPr>
              <w:t>vapours</w:t>
            </w:r>
            <w:proofErr w:type="spellEnd"/>
            <w:r w:rsidRPr="00ED01A9">
              <w:rPr>
                <w:sz w:val="18"/>
                <w:szCs w:val="18"/>
              </w:rPr>
              <w:t xml:space="preserve"> under normal conditions of transport.</w:t>
            </w:r>
          </w:p>
        </w:tc>
      </w:tr>
      <w:tr w:rsidR="008109AD" w:rsidRPr="00066C56" w14:paraId="6FEAAB50" w14:textId="77777777" w:rsidTr="00E80CA4">
        <w:tc>
          <w:tcPr>
            <w:tcW w:w="8362" w:type="dxa"/>
          </w:tcPr>
          <w:p w14:paraId="7D7AC8D2" w14:textId="77777777" w:rsidR="008109AD" w:rsidRDefault="008109AD" w:rsidP="00E80CA4">
            <w:pPr>
              <w:keepNext/>
              <w:keepLines/>
              <w:spacing w:after="120"/>
              <w:rPr>
                <w:sz w:val="18"/>
                <w:szCs w:val="18"/>
              </w:rPr>
            </w:pPr>
            <w:r w:rsidRPr="00325812">
              <w:rPr>
                <w:sz w:val="18"/>
                <w:szCs w:val="18"/>
              </w:rPr>
              <w:t>…</w:t>
            </w:r>
          </w:p>
          <w:p w14:paraId="6A770DAF" w14:textId="77777777" w:rsidR="008109AD" w:rsidRPr="00325812" w:rsidRDefault="008109AD" w:rsidP="00E80CA4">
            <w:pPr>
              <w:pStyle w:val="Default"/>
              <w:ind w:left="357" w:hanging="357"/>
              <w:rPr>
                <w:sz w:val="18"/>
                <w:szCs w:val="18"/>
              </w:rPr>
            </w:pPr>
            <w:r w:rsidRPr="00325812">
              <w:rPr>
                <w:sz w:val="18"/>
                <w:szCs w:val="18"/>
              </w:rPr>
              <w:t xml:space="preserve">(2) </w:t>
            </w:r>
            <w:r>
              <w:rPr>
                <w:sz w:val="18"/>
                <w:szCs w:val="18"/>
              </w:rPr>
              <w:t xml:space="preserve">  </w:t>
            </w:r>
            <w:r w:rsidRPr="00325812">
              <w:rPr>
                <w:sz w:val="18"/>
                <w:szCs w:val="18"/>
              </w:rPr>
              <w:t xml:space="preserve">The additional </w:t>
            </w:r>
            <w:r>
              <w:rPr>
                <w:sz w:val="18"/>
                <w:szCs w:val="18"/>
              </w:rPr>
              <w:t xml:space="preserve">large </w:t>
            </w:r>
            <w:r w:rsidRPr="00325812">
              <w:rPr>
                <w:sz w:val="18"/>
                <w:szCs w:val="18"/>
              </w:rPr>
              <w:t xml:space="preserve">packaging performance requirements shall be verified by a test as specified by the competent </w:t>
            </w:r>
            <w:proofErr w:type="spellStart"/>
            <w:r w:rsidRPr="00325812">
              <w:rPr>
                <w:sz w:val="18"/>
                <w:szCs w:val="18"/>
              </w:rPr>
              <w:t>authority</w:t>
            </w:r>
            <w:r w:rsidRPr="00023D4C">
              <w:rPr>
                <w:sz w:val="18"/>
                <w:szCs w:val="18"/>
                <w:vertAlign w:val="superscript"/>
              </w:rPr>
              <w:t>a</w:t>
            </w:r>
            <w:proofErr w:type="spellEnd"/>
            <w:r w:rsidRPr="00325812">
              <w:rPr>
                <w:sz w:val="18"/>
                <w:szCs w:val="18"/>
              </w:rPr>
              <w:t xml:space="preserve">. </w:t>
            </w:r>
          </w:p>
          <w:p w14:paraId="7454D3E7" w14:textId="77777777" w:rsidR="008109AD" w:rsidRPr="00325812" w:rsidRDefault="008109AD" w:rsidP="00E80CA4">
            <w:pPr>
              <w:keepNext/>
              <w:keepLines/>
              <w:spacing w:after="120"/>
              <w:rPr>
                <w:sz w:val="18"/>
                <w:szCs w:val="18"/>
              </w:rPr>
            </w:pPr>
            <w:r>
              <w:rPr>
                <w:sz w:val="18"/>
                <w:szCs w:val="18"/>
              </w:rPr>
              <w:t>…</w:t>
            </w:r>
          </w:p>
          <w:p w14:paraId="7552433F" w14:textId="77777777" w:rsidR="008109AD" w:rsidRPr="00066C56" w:rsidRDefault="008109AD" w:rsidP="00E80CA4">
            <w:pPr>
              <w:pStyle w:val="ListParagraph"/>
              <w:keepNext/>
              <w:keepLines/>
              <w:suppressAutoHyphens w:val="0"/>
              <w:spacing w:line="240" w:lineRule="auto"/>
              <w:ind w:left="1057" w:hanging="352"/>
              <w:rPr>
                <w:sz w:val="18"/>
                <w:szCs w:val="18"/>
              </w:rPr>
            </w:pPr>
          </w:p>
        </w:tc>
      </w:tr>
    </w:tbl>
    <w:p w14:paraId="18BB1DC4" w14:textId="77777777" w:rsidR="008109AD" w:rsidRDefault="008109AD" w:rsidP="008109AD">
      <w:pPr>
        <w:pStyle w:val="SingleTxtG"/>
        <w:pBdr>
          <w:top w:val="single" w:sz="4" w:space="1" w:color="auto"/>
        </w:pBdr>
        <w:ind w:left="1418" w:hanging="425"/>
        <w:rPr>
          <w:i/>
          <w:iCs/>
          <w:sz w:val="18"/>
          <w:szCs w:val="18"/>
        </w:rPr>
      </w:pPr>
      <w:proofErr w:type="spellStart"/>
      <w:r w:rsidRPr="00FA0B2D">
        <w:rPr>
          <w:vertAlign w:val="superscript"/>
        </w:rPr>
        <w:t>a</w:t>
      </w:r>
      <w:proofErr w:type="spellEnd"/>
      <w:r>
        <w:t xml:space="preserve"> </w:t>
      </w:r>
      <w:r>
        <w:tab/>
      </w:r>
      <w:proofErr w:type="gramStart"/>
      <w:r w:rsidRPr="007313CA">
        <w:rPr>
          <w:i/>
          <w:iCs/>
          <w:sz w:val="18"/>
          <w:szCs w:val="18"/>
        </w:rPr>
        <w:t>The</w:t>
      </w:r>
      <w:proofErr w:type="gramEnd"/>
      <w:r w:rsidRPr="007313CA">
        <w:rPr>
          <w:i/>
          <w:iCs/>
          <w:sz w:val="18"/>
          <w:szCs w:val="18"/>
        </w:rPr>
        <w:t xml:space="preserve"> following criteria, as relevant, may be considered to assess the performance of the </w:t>
      </w:r>
      <w:r>
        <w:rPr>
          <w:i/>
          <w:iCs/>
          <w:sz w:val="18"/>
          <w:szCs w:val="18"/>
        </w:rPr>
        <w:t xml:space="preserve">large </w:t>
      </w:r>
      <w:r w:rsidRPr="007313CA">
        <w:rPr>
          <w:i/>
          <w:iCs/>
          <w:sz w:val="18"/>
          <w:szCs w:val="18"/>
        </w:rPr>
        <w:t>packaging:</w:t>
      </w:r>
    </w:p>
    <w:p w14:paraId="5D71ABDD" w14:textId="77777777" w:rsidR="008109AD" w:rsidRDefault="008109AD" w:rsidP="008109AD">
      <w:pPr>
        <w:pStyle w:val="SingleTxtG"/>
        <w:numPr>
          <w:ilvl w:val="0"/>
          <w:numId w:val="14"/>
        </w:numPr>
        <w:rPr>
          <w:i/>
          <w:iCs/>
          <w:sz w:val="18"/>
          <w:szCs w:val="18"/>
        </w:rPr>
      </w:pPr>
      <w:r w:rsidRPr="00601326">
        <w:rPr>
          <w:i/>
          <w:iCs/>
          <w:sz w:val="18"/>
          <w:szCs w:val="18"/>
        </w:rPr>
        <w:t>The assessment shall be done under a quality management system (as described e.g. in section</w:t>
      </w:r>
      <w:r w:rsidR="00F90A7C">
        <w:rPr>
          <w:i/>
          <w:iCs/>
          <w:sz w:val="18"/>
          <w:szCs w:val="18"/>
        </w:rPr>
        <w:t xml:space="preserve"> </w:t>
      </w:r>
      <w:r w:rsidRPr="00481248">
        <w:rPr>
          <w:i/>
          <w:iCs/>
          <w:sz w:val="18"/>
          <w:szCs w:val="18"/>
          <w:u w:val="single"/>
        </w:rPr>
        <w:t>2.9.4.2</w:t>
      </w:r>
      <w:r w:rsidRPr="00601326">
        <w:rPr>
          <w:i/>
          <w:iCs/>
          <w:sz w:val="18"/>
          <w:szCs w:val="18"/>
        </w:rPr>
        <w:t>) allowing for the traceability of tests results, reference data and characterization models used;</w:t>
      </w:r>
    </w:p>
    <w:p w14:paraId="6CDB17F2" w14:textId="77777777" w:rsidR="008109AD" w:rsidRPr="00601326" w:rsidRDefault="008109AD" w:rsidP="00481248">
      <w:pPr>
        <w:pStyle w:val="SingleTxtG"/>
        <w:ind w:left="1555" w:firstLine="283"/>
        <w:rPr>
          <w:sz w:val="18"/>
          <w:szCs w:val="18"/>
        </w:rPr>
      </w:pPr>
      <w:r>
        <w:rPr>
          <w:i/>
          <w:iCs/>
          <w:sz w:val="18"/>
          <w:szCs w:val="18"/>
        </w:rPr>
        <w:t>…</w:t>
      </w:r>
      <w:r w:rsidR="00F90A7C">
        <w:rPr>
          <w:i/>
          <w:iCs/>
          <w:sz w:val="18"/>
          <w:szCs w:val="18"/>
        </w:rPr>
        <w:t>”</w:t>
      </w:r>
    </w:p>
    <w:p w14:paraId="2C3296E0" w14:textId="77777777" w:rsidR="008109AD" w:rsidRPr="000F48FE" w:rsidRDefault="004D7971" w:rsidP="00481248">
      <w:pPr>
        <w:jc w:val="center"/>
      </w:pPr>
      <w:r>
        <w:rPr>
          <w:u w:val="single"/>
        </w:rPr>
        <w:t>_____________________</w:t>
      </w:r>
    </w:p>
    <w:sectPr w:rsidR="008109AD" w:rsidRPr="000F48FE" w:rsidSect="000F48F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916A" w14:textId="77777777" w:rsidR="000F48FE" w:rsidRPr="00C47B2E" w:rsidRDefault="000F48FE" w:rsidP="00C47B2E">
      <w:pPr>
        <w:pStyle w:val="Footer"/>
      </w:pPr>
    </w:p>
  </w:endnote>
  <w:endnote w:type="continuationSeparator" w:id="0">
    <w:p w14:paraId="7F7F3B5B" w14:textId="77777777" w:rsidR="000F48FE" w:rsidRPr="00C47B2E" w:rsidRDefault="000F48FE" w:rsidP="00C47B2E">
      <w:pPr>
        <w:pStyle w:val="Footer"/>
      </w:pPr>
    </w:p>
  </w:endnote>
  <w:endnote w:type="continuationNotice" w:id="1">
    <w:p w14:paraId="75EBEBC6" w14:textId="77777777" w:rsidR="000F48FE" w:rsidRPr="00C47B2E" w:rsidRDefault="000F48F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6074" w14:textId="77777777" w:rsidR="00D94B05" w:rsidRPr="000F48FE" w:rsidRDefault="000F48FE" w:rsidP="000F48FE">
    <w:pPr>
      <w:pStyle w:val="Footer"/>
      <w:tabs>
        <w:tab w:val="right" w:pos="9598"/>
        <w:tab w:val="right" w:pos="9638"/>
      </w:tabs>
      <w:rPr>
        <w:sz w:val="18"/>
      </w:rPr>
    </w:pPr>
    <w:r w:rsidRPr="000F48FE">
      <w:rPr>
        <w:b/>
        <w:sz w:val="18"/>
      </w:rPr>
      <w:fldChar w:fldCharType="begin"/>
    </w:r>
    <w:r w:rsidRPr="000F48FE">
      <w:rPr>
        <w:b/>
        <w:sz w:val="18"/>
      </w:rPr>
      <w:instrText xml:space="preserve"> PAGE  \* MERGEFORMAT </w:instrText>
    </w:r>
    <w:r w:rsidRPr="000F48FE">
      <w:rPr>
        <w:b/>
        <w:sz w:val="18"/>
      </w:rPr>
      <w:fldChar w:fldCharType="separate"/>
    </w:r>
    <w:r w:rsidRPr="000F48FE">
      <w:rPr>
        <w:b/>
        <w:noProof/>
        <w:sz w:val="18"/>
      </w:rPr>
      <w:t>2</w:t>
    </w:r>
    <w:r w:rsidRPr="000F48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D53F" w14:textId="77777777" w:rsidR="00D94B05" w:rsidRPr="008109AD" w:rsidRDefault="000F48FE" w:rsidP="008109AD">
    <w:pPr>
      <w:pStyle w:val="Footer"/>
      <w:tabs>
        <w:tab w:val="left" w:pos="5775"/>
        <w:tab w:val="right" w:pos="9598"/>
        <w:tab w:val="right" w:pos="9638"/>
      </w:tabs>
      <w:jc w:val="right"/>
      <w:rPr>
        <w:b/>
        <w:bCs/>
        <w:sz w:val="18"/>
      </w:rPr>
    </w:pPr>
    <w:r w:rsidRPr="008109AD">
      <w:rPr>
        <w:b/>
        <w:bCs/>
        <w:sz w:val="18"/>
      </w:rPr>
      <w:tab/>
    </w:r>
    <w:r w:rsidRPr="008109AD">
      <w:rPr>
        <w:b/>
        <w:bCs/>
        <w:sz w:val="18"/>
      </w:rPr>
      <w:fldChar w:fldCharType="begin"/>
    </w:r>
    <w:r w:rsidRPr="008109AD">
      <w:rPr>
        <w:b/>
        <w:bCs/>
        <w:sz w:val="18"/>
      </w:rPr>
      <w:instrText xml:space="preserve"> PAGE  \* MERGEFORMAT </w:instrText>
    </w:r>
    <w:r w:rsidRPr="008109AD">
      <w:rPr>
        <w:b/>
        <w:bCs/>
        <w:sz w:val="18"/>
      </w:rPr>
      <w:fldChar w:fldCharType="separate"/>
    </w:r>
    <w:r w:rsidRPr="008109AD">
      <w:rPr>
        <w:b/>
        <w:bCs/>
        <w:noProof/>
        <w:sz w:val="18"/>
      </w:rPr>
      <w:t>3</w:t>
    </w:r>
    <w:r w:rsidRPr="008109A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00BE" w14:textId="77777777" w:rsidR="00D94B05" w:rsidRPr="000F48F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B15B08A" wp14:editId="7A22595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800D" w14:textId="77777777" w:rsidR="000F48FE" w:rsidRPr="00C47B2E" w:rsidRDefault="000F48FE" w:rsidP="00C47B2E">
      <w:pPr>
        <w:tabs>
          <w:tab w:val="right" w:pos="2155"/>
        </w:tabs>
        <w:spacing w:after="80" w:line="240" w:lineRule="auto"/>
        <w:ind w:left="680"/>
      </w:pPr>
      <w:r>
        <w:rPr>
          <w:u w:val="single"/>
        </w:rPr>
        <w:tab/>
      </w:r>
    </w:p>
  </w:footnote>
  <w:footnote w:type="continuationSeparator" w:id="0">
    <w:p w14:paraId="7C0A35D3" w14:textId="77777777" w:rsidR="000F48FE" w:rsidRPr="00C47B2E" w:rsidRDefault="000F48FE" w:rsidP="005E716E">
      <w:pPr>
        <w:tabs>
          <w:tab w:val="right" w:pos="2155"/>
        </w:tabs>
        <w:spacing w:after="80" w:line="240" w:lineRule="auto"/>
        <w:ind w:left="680"/>
      </w:pPr>
      <w:r>
        <w:rPr>
          <w:u w:val="single"/>
        </w:rPr>
        <w:tab/>
      </w:r>
    </w:p>
  </w:footnote>
  <w:footnote w:type="continuationNotice" w:id="1">
    <w:p w14:paraId="115AAD8D" w14:textId="77777777" w:rsidR="000F48FE" w:rsidRPr="00C47B2E" w:rsidRDefault="000F48FE" w:rsidP="00C47B2E">
      <w:pPr>
        <w:pStyle w:val="Footer"/>
      </w:pPr>
    </w:p>
  </w:footnote>
  <w:footnote w:id="2">
    <w:p w14:paraId="12C9BD87" w14:textId="77777777" w:rsidR="008109AD" w:rsidRPr="00126860" w:rsidRDefault="008109AD" w:rsidP="008109AD">
      <w:pPr>
        <w:pStyle w:val="FootnoteText"/>
        <w:ind w:firstLine="0"/>
        <w:rPr>
          <w:lang w:val="fr-CH"/>
        </w:rPr>
      </w:pPr>
      <w:r>
        <w:rPr>
          <w:rStyle w:val="FootnoteReference"/>
        </w:rPr>
        <w:t>*</w:t>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EE349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9007" w14:textId="4646E7B2" w:rsidR="000F48FE" w:rsidRPr="000F48FE" w:rsidRDefault="004D7971">
    <w:pPr>
      <w:pStyle w:val="Header"/>
    </w:pPr>
    <w:fldSimple w:instr=" TITLE  \* MERGEFORMAT ">
      <w:r w:rsidR="004D6D54">
        <w:t>ST/SG/AC.10/C.3/2020/40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1C2B" w14:textId="33B34943" w:rsidR="00D94B05" w:rsidRPr="000F48FE" w:rsidRDefault="004D7971" w:rsidP="000F48FE">
    <w:pPr>
      <w:pStyle w:val="Header"/>
      <w:jc w:val="right"/>
    </w:pPr>
    <w:fldSimple w:instr=" TITLE  \* MERGEFORMAT ">
      <w:r w:rsidR="004D6D54">
        <w:t>ST/SG/AC.10/C.3/2020/40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3F2C" w14:textId="77777777" w:rsidR="008109AD" w:rsidRDefault="008109AD" w:rsidP="008109A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B440C2"/>
    <w:multiLevelType w:val="hybridMultilevel"/>
    <w:tmpl w:val="0AC6A16C"/>
    <w:lvl w:ilvl="0" w:tplc="8570BDCE">
      <w:start w:val="1"/>
      <w:numFmt w:val="lowerLetter"/>
      <w:lvlText w:val="(%1)"/>
      <w:lvlJc w:val="left"/>
      <w:pPr>
        <w:ind w:left="1838" w:hanging="4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FE"/>
    <w:rsid w:val="00015CEC"/>
    <w:rsid w:val="00046E92"/>
    <w:rsid w:val="00052AEB"/>
    <w:rsid w:val="00063C90"/>
    <w:rsid w:val="000F48FE"/>
    <w:rsid w:val="00101B98"/>
    <w:rsid w:val="001514D1"/>
    <w:rsid w:val="001E6D72"/>
    <w:rsid w:val="00247E2C"/>
    <w:rsid w:val="00293559"/>
    <w:rsid w:val="002A32CB"/>
    <w:rsid w:val="002D5B2C"/>
    <w:rsid w:val="002D6C53"/>
    <w:rsid w:val="002F5595"/>
    <w:rsid w:val="00334F6A"/>
    <w:rsid w:val="00342AC8"/>
    <w:rsid w:val="00343302"/>
    <w:rsid w:val="003979DE"/>
    <w:rsid w:val="003B4550"/>
    <w:rsid w:val="003D2A18"/>
    <w:rsid w:val="00413386"/>
    <w:rsid w:val="00461253"/>
    <w:rsid w:val="00481248"/>
    <w:rsid w:val="004858F5"/>
    <w:rsid w:val="004A2814"/>
    <w:rsid w:val="004C0622"/>
    <w:rsid w:val="004D6D54"/>
    <w:rsid w:val="004D7971"/>
    <w:rsid w:val="005042C2"/>
    <w:rsid w:val="005E716E"/>
    <w:rsid w:val="006476E1"/>
    <w:rsid w:val="006604DF"/>
    <w:rsid w:val="00671529"/>
    <w:rsid w:val="0070489D"/>
    <w:rsid w:val="007268F9"/>
    <w:rsid w:val="00750282"/>
    <w:rsid w:val="00764440"/>
    <w:rsid w:val="0077101B"/>
    <w:rsid w:val="007C52B0"/>
    <w:rsid w:val="007C6033"/>
    <w:rsid w:val="008109AD"/>
    <w:rsid w:val="008147C8"/>
    <w:rsid w:val="0081753A"/>
    <w:rsid w:val="00827351"/>
    <w:rsid w:val="00857D23"/>
    <w:rsid w:val="009411B4"/>
    <w:rsid w:val="00946F1D"/>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EE3492"/>
    <w:rsid w:val="00F65F5D"/>
    <w:rsid w:val="00F86A3A"/>
    <w:rsid w:val="00F90A7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6DFA4"/>
  <w15:docId w15:val="{B8F8E424-2BE7-4E9E-A334-EB8F703F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8109AD"/>
    <w:rPr>
      <w:b/>
      <w:sz w:val="28"/>
    </w:rPr>
  </w:style>
  <w:style w:type="character" w:customStyle="1" w:styleId="SingleTxtGChar">
    <w:name w:val="_ Single Txt_G Char"/>
    <w:basedOn w:val="DefaultParagraphFont"/>
    <w:link w:val="SingleTxtG"/>
    <w:rsid w:val="008109AD"/>
  </w:style>
  <w:style w:type="character" w:customStyle="1" w:styleId="H1GChar">
    <w:name w:val="_ H_1_G Char"/>
    <w:link w:val="H1G"/>
    <w:rsid w:val="008109AD"/>
    <w:rPr>
      <w:b/>
      <w:sz w:val="24"/>
    </w:rPr>
  </w:style>
  <w:style w:type="paragraph" w:customStyle="1" w:styleId="Default">
    <w:name w:val="Default"/>
    <w:rsid w:val="008109AD"/>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8109AD"/>
    <w:pPr>
      <w:kinsoku/>
      <w:overflowPunct/>
      <w:autoSpaceDE/>
      <w:autoSpaceDN/>
      <w:adjustRightInd/>
      <w:snapToGrid/>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52EF-ADAA-4B76-83A0-8B453965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TotalTime>
  <Pages>4</Pages>
  <Words>1606</Words>
  <Characters>8779</Characters>
  <Application>Microsoft Office Word</Application>
  <DocSecurity>0</DocSecurity>
  <Lines>187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ST/SG/AC.10/C.3/2020/40</vt: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ST/SG/AC.10/C.3/2020/40</dc:title>
  <dc:subject/>
  <dc:creator>Editorial</dc:creator>
  <cp:lastModifiedBy>Laurence Berthet</cp:lastModifiedBy>
  <cp:revision>3</cp:revision>
  <cp:lastPrinted>2020-04-08T18:57:00Z</cp:lastPrinted>
  <dcterms:created xsi:type="dcterms:W3CDTF">2020-04-08T18:57:00Z</dcterms:created>
  <dcterms:modified xsi:type="dcterms:W3CDTF">2020-04-08T19:03:00Z</dcterms:modified>
</cp:coreProperties>
</file>