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007FB8" w14:paraId="213C6B37" w14:textId="77777777" w:rsidTr="00F01738">
        <w:trPr>
          <w:trHeight w:hRule="exact" w:val="851"/>
        </w:trPr>
        <w:tc>
          <w:tcPr>
            <w:tcW w:w="1276" w:type="dxa"/>
            <w:tcBorders>
              <w:bottom w:val="single" w:sz="4" w:space="0" w:color="auto"/>
            </w:tcBorders>
          </w:tcPr>
          <w:p w14:paraId="787A7C05" w14:textId="77777777" w:rsidR="00132EA9" w:rsidRPr="00DB58B5" w:rsidRDefault="00132EA9" w:rsidP="00007FB8"/>
        </w:tc>
        <w:tc>
          <w:tcPr>
            <w:tcW w:w="2268" w:type="dxa"/>
            <w:tcBorders>
              <w:bottom w:val="single" w:sz="4" w:space="0" w:color="auto"/>
            </w:tcBorders>
            <w:vAlign w:val="bottom"/>
          </w:tcPr>
          <w:p w14:paraId="0DF4CC3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4C4D41" w14:textId="77777777" w:rsidR="00132EA9" w:rsidRPr="00007FB8" w:rsidRDefault="00007FB8" w:rsidP="00007FB8">
            <w:pPr>
              <w:jc w:val="right"/>
              <w:rPr>
                <w:lang w:val="en-US"/>
              </w:rPr>
            </w:pPr>
            <w:r w:rsidRPr="00007FB8">
              <w:rPr>
                <w:sz w:val="40"/>
                <w:lang w:val="en-US"/>
              </w:rPr>
              <w:t>ST</w:t>
            </w:r>
            <w:r w:rsidRPr="00007FB8">
              <w:rPr>
                <w:lang w:val="en-US"/>
              </w:rPr>
              <w:t>/SG/AC.10/C.3/2020/28/Rev.1</w:t>
            </w:r>
          </w:p>
        </w:tc>
      </w:tr>
      <w:tr w:rsidR="00132EA9" w:rsidRPr="00DB58B5" w14:paraId="2BAF586B" w14:textId="77777777" w:rsidTr="00F01738">
        <w:trPr>
          <w:trHeight w:hRule="exact" w:val="2835"/>
        </w:trPr>
        <w:tc>
          <w:tcPr>
            <w:tcW w:w="1276" w:type="dxa"/>
            <w:tcBorders>
              <w:top w:val="single" w:sz="4" w:space="0" w:color="auto"/>
              <w:bottom w:val="single" w:sz="12" w:space="0" w:color="auto"/>
            </w:tcBorders>
          </w:tcPr>
          <w:p w14:paraId="25E9E417" w14:textId="77777777" w:rsidR="00132EA9" w:rsidRPr="00DB58B5" w:rsidRDefault="00132EA9" w:rsidP="00F01738">
            <w:pPr>
              <w:spacing w:before="120"/>
              <w:jc w:val="center"/>
            </w:pPr>
            <w:r>
              <w:rPr>
                <w:noProof/>
                <w:lang w:eastAsia="fr-CH"/>
              </w:rPr>
              <w:drawing>
                <wp:inline distT="0" distB="0" distL="0" distR="0" wp14:anchorId="7975619E" wp14:editId="272EE4C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E01F4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91D7163" w14:textId="77777777" w:rsidR="00132EA9" w:rsidRDefault="00007FB8" w:rsidP="00F01738">
            <w:pPr>
              <w:spacing w:before="240"/>
            </w:pPr>
            <w:r>
              <w:t>Distr. générale</w:t>
            </w:r>
          </w:p>
          <w:p w14:paraId="2993C772" w14:textId="77777777" w:rsidR="00007FB8" w:rsidRDefault="00007FB8" w:rsidP="00007FB8">
            <w:pPr>
              <w:spacing w:line="240" w:lineRule="exact"/>
            </w:pPr>
            <w:r>
              <w:t>7 septembre 2020</w:t>
            </w:r>
          </w:p>
          <w:p w14:paraId="25572A25" w14:textId="77777777" w:rsidR="00007FB8" w:rsidRDefault="00007FB8" w:rsidP="00007FB8">
            <w:pPr>
              <w:spacing w:line="240" w:lineRule="exact"/>
            </w:pPr>
            <w:r>
              <w:t>Français</w:t>
            </w:r>
          </w:p>
          <w:p w14:paraId="1BF89D18" w14:textId="77777777" w:rsidR="00007FB8" w:rsidRPr="00DB58B5" w:rsidRDefault="00007FB8" w:rsidP="00007FB8">
            <w:pPr>
              <w:spacing w:line="240" w:lineRule="exact"/>
            </w:pPr>
            <w:r>
              <w:t>Original : anglais</w:t>
            </w:r>
          </w:p>
        </w:tc>
      </w:tr>
    </w:tbl>
    <w:p w14:paraId="00DFCB47" w14:textId="77777777" w:rsidR="00007FB8" w:rsidRPr="00CA0680" w:rsidRDefault="00007FB8" w:rsidP="00007FB8">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486246F" w14:textId="77777777" w:rsidR="00007FB8" w:rsidRPr="00CA0680" w:rsidRDefault="00007FB8" w:rsidP="00007FB8">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49306E4C" w14:textId="77777777" w:rsidR="00007FB8" w:rsidRPr="00F808AB" w:rsidRDefault="00007FB8" w:rsidP="00007FB8">
      <w:pPr>
        <w:spacing w:before="100"/>
        <w:rPr>
          <w:b/>
          <w:lang w:val="fr-FR"/>
        </w:rPr>
      </w:pPr>
      <w:r>
        <w:rPr>
          <w:b/>
          <w:bCs/>
          <w:lang w:val="fr-FR"/>
        </w:rPr>
        <w:t>Cinquante-septième session</w:t>
      </w:r>
    </w:p>
    <w:p w14:paraId="620432E2" w14:textId="77777777" w:rsidR="00007FB8" w:rsidRDefault="00007FB8" w:rsidP="00007FB8">
      <w:pPr>
        <w:rPr>
          <w:lang w:val="fr-FR"/>
        </w:rPr>
      </w:pPr>
      <w:r>
        <w:rPr>
          <w:lang w:val="fr-FR"/>
        </w:rPr>
        <w:t>Genève, 30 novembre-8 décembre 2020</w:t>
      </w:r>
    </w:p>
    <w:p w14:paraId="56210561" w14:textId="77777777" w:rsidR="00007FB8" w:rsidRPr="00F808AB" w:rsidRDefault="00007FB8" w:rsidP="00007FB8">
      <w:pPr>
        <w:rPr>
          <w:b/>
          <w:lang w:val="fr-FR"/>
        </w:rPr>
      </w:pPr>
      <w:r>
        <w:rPr>
          <w:lang w:val="fr-FR"/>
        </w:rPr>
        <w:t>Point 6 b) de l’ordre du jour provisoire</w:t>
      </w:r>
    </w:p>
    <w:p w14:paraId="4BD84F0D" w14:textId="77777777" w:rsidR="00007FB8" w:rsidRDefault="00007FB8" w:rsidP="00007FB8">
      <w:pPr>
        <w:rPr>
          <w:b/>
          <w:bCs/>
          <w:lang w:val="fr-FR"/>
        </w:rPr>
      </w:pPr>
      <w:r>
        <w:rPr>
          <w:b/>
          <w:bCs/>
          <w:lang w:val="fr-FR"/>
        </w:rPr>
        <w:t xml:space="preserve">Propositions diverses d’amendements au Règlement type </w:t>
      </w:r>
      <w:r>
        <w:rPr>
          <w:b/>
          <w:bCs/>
          <w:lang w:val="fr-FR"/>
        </w:rPr>
        <w:br/>
        <w:t>pour le transport des marchandises dangereuses :</w:t>
      </w:r>
      <w:r>
        <w:rPr>
          <w:b/>
          <w:bCs/>
          <w:lang w:val="fr-FR"/>
        </w:rPr>
        <w:br/>
        <w:t>Emballages</w:t>
      </w:r>
    </w:p>
    <w:p w14:paraId="445D8661" w14:textId="77777777" w:rsidR="00007FB8" w:rsidRPr="00F808AB" w:rsidRDefault="00007FB8" w:rsidP="00007FB8">
      <w:pPr>
        <w:pStyle w:val="HChG"/>
        <w:rPr>
          <w:lang w:val="fr-FR"/>
        </w:rPr>
      </w:pPr>
      <w:r>
        <w:rPr>
          <w:lang w:val="fr-FR"/>
        </w:rPr>
        <w:tab/>
      </w:r>
      <w:r>
        <w:rPr>
          <w:lang w:val="fr-FR"/>
        </w:rPr>
        <w:tab/>
        <w:t xml:space="preserve">Autres méthodes d’épreuve des emballages − Amendements </w:t>
      </w:r>
      <w:r w:rsidRPr="00007FB8">
        <w:t>résultant</w:t>
      </w:r>
      <w:r>
        <w:rPr>
          <w:lang w:val="fr-FR"/>
        </w:rPr>
        <w:t xml:space="preserve"> des dispositions du paragraphe 80 et de l’annexe I du document ST/SG/AC.10/C.3/112</w:t>
      </w:r>
    </w:p>
    <w:p w14:paraId="52F91D37" w14:textId="77777777" w:rsidR="00007FB8" w:rsidRDefault="00007FB8" w:rsidP="00007FB8">
      <w:pPr>
        <w:pStyle w:val="H1G"/>
        <w:rPr>
          <w:b w:val="0"/>
          <w:sz w:val="20"/>
        </w:rPr>
      </w:pPr>
      <w:r>
        <w:rPr>
          <w:lang w:val="fr-FR"/>
        </w:rPr>
        <w:tab/>
      </w:r>
      <w:r>
        <w:rPr>
          <w:lang w:val="fr-FR"/>
        </w:rPr>
        <w:tab/>
      </w:r>
      <w:r w:rsidRPr="00007FB8">
        <w:t>Communication</w:t>
      </w:r>
      <w:r>
        <w:rPr>
          <w:lang w:val="fr-FR"/>
        </w:rPr>
        <w:t xml:space="preserve"> des experts de la Belgique et de l’Allemagne</w:t>
      </w:r>
      <w:r w:rsidRPr="00514E7A">
        <w:rPr>
          <w:rStyle w:val="FootnoteReference"/>
          <w:b w:val="0"/>
          <w:sz w:val="20"/>
          <w:vertAlign w:val="baseline"/>
        </w:rPr>
        <w:footnoteReference w:customMarkFollows="1" w:id="2"/>
        <w:t>*</w:t>
      </w:r>
    </w:p>
    <w:p w14:paraId="39E2A8FD" w14:textId="77777777" w:rsidR="00007FB8" w:rsidRPr="00E735F8" w:rsidRDefault="00007FB8" w:rsidP="00007FB8">
      <w:pPr>
        <w:pStyle w:val="H23G"/>
      </w:pPr>
      <w:r>
        <w:tab/>
      </w:r>
      <w:r>
        <w:tab/>
      </w:r>
      <w:r w:rsidRPr="00E735F8">
        <w:t>Révision</w:t>
      </w:r>
    </w:p>
    <w:p w14:paraId="4779BBDD" w14:textId="77777777" w:rsidR="00007FB8" w:rsidRPr="00F808AB" w:rsidRDefault="00007FB8" w:rsidP="00007FB8">
      <w:pPr>
        <w:pStyle w:val="HChG"/>
        <w:rPr>
          <w:lang w:val="fr-FR"/>
        </w:rPr>
      </w:pPr>
      <w:r>
        <w:rPr>
          <w:lang w:val="fr-FR"/>
        </w:rPr>
        <w:tab/>
      </w:r>
      <w:r>
        <w:rPr>
          <w:lang w:val="fr-FR"/>
        </w:rPr>
        <w:tab/>
      </w:r>
      <w:r w:rsidRPr="00007FB8">
        <w:t>Introduction</w:t>
      </w:r>
    </w:p>
    <w:p w14:paraId="2428F1D7" w14:textId="77777777" w:rsidR="00007FB8" w:rsidRPr="00F808AB" w:rsidRDefault="00007FB8" w:rsidP="00007FB8">
      <w:pPr>
        <w:pStyle w:val="SingleTxtG"/>
        <w:rPr>
          <w:lang w:val="fr-FR"/>
        </w:rPr>
      </w:pPr>
      <w:r>
        <w:rPr>
          <w:lang w:val="fr-FR"/>
        </w:rPr>
        <w:t>1.</w:t>
      </w:r>
      <w:r>
        <w:rPr>
          <w:lang w:val="fr-FR"/>
        </w:rPr>
        <w:tab/>
        <w:t xml:space="preserve">À sa cinquante-sixième session, le Sous-Comité a adopté un amendement au 6.5.1.1.2 fondé sur le document ST/SG/AC.10/C.3/2019/5 et le document informel INF.13 (cinquante-sixième session). Le texte modifié, concernant les autres équipements de service et solutions et méthodes de contrôle et d’épreuve des grands récipients pour vrac (GRV) (voir ST/SG/AC.10/C.3/112, par. 80 et annexe I) se lit comme suit (la partie concernée par la modification est </w:t>
      </w:r>
      <w:r>
        <w:rPr>
          <w:u w:val="single"/>
          <w:lang w:val="fr-FR"/>
        </w:rPr>
        <w:t>soulignée</w:t>
      </w:r>
      <w:r>
        <w:rPr>
          <w:lang w:val="fr-FR"/>
        </w:rPr>
        <w:t>) :</w:t>
      </w:r>
    </w:p>
    <w:p w14:paraId="51D295CD" w14:textId="77777777" w:rsidR="00007FB8" w:rsidRPr="00F808AB" w:rsidRDefault="00007FB8" w:rsidP="00007FB8">
      <w:pPr>
        <w:pStyle w:val="SingleTxtG"/>
        <w:ind w:left="2835" w:hanging="1134"/>
        <w:rPr>
          <w:lang w:val="fr-FR"/>
        </w:rPr>
      </w:pPr>
      <w:r>
        <w:rPr>
          <w:lang w:val="fr-FR"/>
        </w:rPr>
        <w:t>« 6.5.1.1.2</w:t>
      </w:r>
      <w:r>
        <w:rPr>
          <w:lang w:val="fr-FR"/>
        </w:rPr>
        <w:tab/>
        <w:t xml:space="preserve">Les prescriptions relatives aux grands récipients pour vrac (GRV) énoncées au 6.5.3 sont basées sur les GRV qui sont utilisés actuellement. Pour tenir compte du progrès scientifique et technique, il est parfaitement admis que l’on utilise des GRV dont les spécifications diffèrent de celles définies au 6.5.3 et au 6.5.5, à condition qu’ils aient une efficacité égale, qu’ils soient acceptables pour l’autorité compétente et </w:t>
      </w:r>
      <w:r>
        <w:rPr>
          <w:u w:val="single"/>
          <w:lang w:val="fr-FR"/>
        </w:rPr>
        <w:t>qu’ils satisfassent aux prescriptions</w:t>
      </w:r>
      <w:r>
        <w:rPr>
          <w:lang w:val="fr-FR"/>
        </w:rPr>
        <w:t xml:space="preserve"> décrites aux 6.5.4 et 6.5.6. Des méthodes d’inspection et d’épreuve autres que celles décrites dans le présent Règlement sont admises pour autant qu’elles soient équivalentes. ».</w:t>
      </w:r>
    </w:p>
    <w:p w14:paraId="16C9CB5E" w14:textId="77777777" w:rsidR="00007FB8" w:rsidRPr="00F808AB" w:rsidRDefault="00007FB8" w:rsidP="00007FB8">
      <w:pPr>
        <w:pStyle w:val="SingleTxtG"/>
        <w:rPr>
          <w:lang w:val="fr-FR"/>
        </w:rPr>
      </w:pPr>
      <w:r>
        <w:rPr>
          <w:lang w:val="fr-FR"/>
        </w:rPr>
        <w:lastRenderedPageBreak/>
        <w:t>2.</w:t>
      </w:r>
      <w:r>
        <w:rPr>
          <w:lang w:val="fr-FR"/>
        </w:rPr>
        <w:tab/>
        <w:t>Comme l’a suggéré l’Allemagne, la formulation « qu’ils satisfassent aux prescriptions » pourrait remplacer « qu’ils satisfassent aux épreuves » dans les paragraphes 6.1.1.2 et 6.3.2.1 et « qu’ils puissent satisfaire aux épreuves » dans le 6.6.1.3, aux fins de l’alignement sur le paragraphe 6.5.1.1.2 (voir document informel INF.13 (cinquante-sixième session)).</w:t>
      </w:r>
    </w:p>
    <w:p w14:paraId="568B8C38" w14:textId="77777777" w:rsidR="00007FB8" w:rsidRPr="0069542B" w:rsidRDefault="00007FB8" w:rsidP="00007FB8">
      <w:pPr>
        <w:pStyle w:val="SingleTxtG"/>
        <w:rPr>
          <w:lang w:val="fr-FR"/>
        </w:rPr>
      </w:pPr>
      <w:r w:rsidRPr="00B651D5">
        <w:rPr>
          <w:lang w:val="fr-FR"/>
        </w:rPr>
        <w:t>3.</w:t>
      </w:r>
      <w:r w:rsidRPr="00B651D5">
        <w:rPr>
          <w:lang w:val="fr-FR"/>
        </w:rPr>
        <w:tab/>
      </w:r>
      <w:r w:rsidRPr="00E735F8">
        <w:rPr>
          <w:lang w:val="fr-FR"/>
        </w:rPr>
        <w:t>À la session informelle tenue en ligne au mois de juillet</w:t>
      </w:r>
      <w:r w:rsidRPr="00B651D5">
        <w:rPr>
          <w:lang w:val="fr-FR"/>
        </w:rPr>
        <w:t xml:space="preserve">, </w:t>
      </w:r>
      <w:r w:rsidRPr="00E735F8">
        <w:rPr>
          <w:lang w:val="fr-FR"/>
        </w:rPr>
        <w:t>l</w:t>
      </w:r>
      <w:r>
        <w:rPr>
          <w:lang w:val="fr-FR"/>
        </w:rPr>
        <w:t>es trois propositions présentées ci-après ont recueilli l’assentiment général</w:t>
      </w:r>
      <w:r w:rsidRPr="00B651D5">
        <w:rPr>
          <w:lang w:val="fr-FR"/>
        </w:rPr>
        <w:t>. To</w:t>
      </w:r>
      <w:r w:rsidRPr="00E735F8">
        <w:rPr>
          <w:lang w:val="fr-FR"/>
        </w:rPr>
        <w:t>utefois, l</w:t>
      </w:r>
      <w:r>
        <w:rPr>
          <w:lang w:val="fr-FR"/>
        </w:rPr>
        <w:t>’</w:t>
      </w:r>
      <w:r w:rsidRPr="00B651D5">
        <w:rPr>
          <w:lang w:val="fr-FR"/>
        </w:rPr>
        <w:t xml:space="preserve">International Council of Intermediate Bulk Container Associations (ICIBCA) </w:t>
      </w:r>
      <w:r w:rsidRPr="00E735F8">
        <w:rPr>
          <w:lang w:val="fr-FR"/>
        </w:rPr>
        <w:t>et</w:t>
      </w:r>
      <w:r w:rsidRPr="00B651D5">
        <w:rPr>
          <w:lang w:val="fr-FR"/>
        </w:rPr>
        <w:t xml:space="preserve"> </w:t>
      </w:r>
      <w:r w:rsidRPr="00E735F8">
        <w:rPr>
          <w:lang w:val="fr-FR"/>
        </w:rPr>
        <w:t>l</w:t>
      </w:r>
      <w:r>
        <w:rPr>
          <w:lang w:val="fr-FR"/>
        </w:rPr>
        <w:t>’</w:t>
      </w:r>
      <w:r w:rsidRPr="00B651D5">
        <w:rPr>
          <w:lang w:val="fr-FR"/>
        </w:rPr>
        <w:t xml:space="preserve">International Confederation of Container Reconditioners (ICCR) </w:t>
      </w:r>
      <w:r w:rsidRPr="00E735F8">
        <w:rPr>
          <w:lang w:val="fr-FR"/>
        </w:rPr>
        <w:t>ont fait part d</w:t>
      </w:r>
      <w:r>
        <w:rPr>
          <w:lang w:val="fr-FR"/>
        </w:rPr>
        <w:t>’</w:t>
      </w:r>
      <w:r w:rsidRPr="00E735F8">
        <w:rPr>
          <w:lang w:val="fr-FR"/>
        </w:rPr>
        <w:t>observations qui devrai</w:t>
      </w:r>
      <w:r>
        <w:rPr>
          <w:lang w:val="fr-FR"/>
        </w:rPr>
        <w:t>ent être examinées</w:t>
      </w:r>
      <w:r w:rsidRPr="00B651D5">
        <w:rPr>
          <w:lang w:val="fr-FR"/>
        </w:rPr>
        <w:t>. L</w:t>
      </w:r>
      <w:r>
        <w:rPr>
          <w:lang w:val="fr-FR"/>
        </w:rPr>
        <w:t>’</w:t>
      </w:r>
      <w:r w:rsidRPr="00B651D5">
        <w:rPr>
          <w:lang w:val="fr-FR"/>
        </w:rPr>
        <w:t xml:space="preserve">ICIBCA </w:t>
      </w:r>
      <w:r w:rsidRPr="00E735F8">
        <w:rPr>
          <w:lang w:val="fr-FR"/>
        </w:rPr>
        <w:t>a mentionné le texte déjà adopté pour les GRV</w:t>
      </w:r>
      <w:r w:rsidRPr="00B651D5">
        <w:rPr>
          <w:lang w:val="fr-FR"/>
        </w:rPr>
        <w:t xml:space="preserve">. </w:t>
      </w:r>
      <w:r w:rsidRPr="00E735F8">
        <w:rPr>
          <w:lang w:val="fr-FR"/>
        </w:rPr>
        <w:t>Lorsque ce texte a été réexaminé, il a été constaté qu</w:t>
      </w:r>
      <w:r>
        <w:rPr>
          <w:lang w:val="fr-FR"/>
        </w:rPr>
        <w:t>’</w:t>
      </w:r>
      <w:r w:rsidRPr="00E735F8">
        <w:rPr>
          <w:lang w:val="fr-FR"/>
        </w:rPr>
        <w:t xml:space="preserve">il semblait préférable </w:t>
      </w:r>
      <w:r>
        <w:rPr>
          <w:lang w:val="fr-FR"/>
        </w:rPr>
        <w:t>−</w:t>
      </w:r>
      <w:r w:rsidRPr="001615F7">
        <w:rPr>
          <w:lang w:val="fr-FR"/>
        </w:rPr>
        <w:t xml:space="preserve"> </w:t>
      </w:r>
      <w:r w:rsidRPr="00E735F8">
        <w:rPr>
          <w:lang w:val="fr-FR"/>
        </w:rPr>
        <w:t xml:space="preserve">comme cela a été suggéré par la délégation des </w:t>
      </w:r>
      <w:r w:rsidRPr="00E735F8">
        <w:rPr>
          <w:rFonts w:eastAsia="MS Mincho"/>
          <w:lang w:val="fr-FR"/>
        </w:rPr>
        <w:t>États</w:t>
      </w:r>
      <w:r w:rsidRPr="00E735F8">
        <w:rPr>
          <w:rFonts w:eastAsia="MS Mincho"/>
          <w:lang w:val="fr-FR"/>
        </w:rPr>
        <w:noBreakHyphen/>
        <w:t>Unis d</w:t>
      </w:r>
      <w:r>
        <w:rPr>
          <w:rFonts w:eastAsia="MS Mincho"/>
          <w:lang w:val="fr-FR"/>
        </w:rPr>
        <w:t>’</w:t>
      </w:r>
      <w:r w:rsidRPr="00E735F8">
        <w:rPr>
          <w:rFonts w:eastAsia="MS Mincho"/>
          <w:lang w:val="fr-FR"/>
        </w:rPr>
        <w:t>Amérique</w:t>
      </w:r>
      <w:r>
        <w:rPr>
          <w:rFonts w:eastAsia="MS Mincho"/>
          <w:lang w:val="fr-FR"/>
        </w:rPr>
        <w:t xml:space="preserve"> à la cinquante-sixième session</w:t>
      </w:r>
      <w:r w:rsidRPr="00E735F8">
        <w:rPr>
          <w:rFonts w:eastAsia="MS Mincho"/>
          <w:lang w:val="fr-FR"/>
        </w:rPr>
        <w:t xml:space="preserve"> </w:t>
      </w:r>
      <w:r>
        <w:rPr>
          <w:lang w:val="fr-FR"/>
        </w:rPr>
        <w:t xml:space="preserve">− de ne pas mentionner les prescriptions relatives aux épreuves dans le </w:t>
      </w:r>
      <w:r w:rsidRPr="001615F7">
        <w:rPr>
          <w:lang w:val="fr-FR"/>
        </w:rPr>
        <w:t xml:space="preserve">6.5.1.1.2, </w:t>
      </w:r>
      <w:r>
        <w:rPr>
          <w:lang w:val="fr-FR"/>
        </w:rPr>
        <w:t>parce que les GRV ayant des caractéristique</w:t>
      </w:r>
      <w:r w:rsidRPr="001615F7">
        <w:rPr>
          <w:lang w:val="fr-FR"/>
        </w:rPr>
        <w:t xml:space="preserve">s </w:t>
      </w:r>
      <w:r>
        <w:rPr>
          <w:lang w:val="fr-FR"/>
        </w:rPr>
        <w:t>autres que celles</w:t>
      </w:r>
      <w:r w:rsidRPr="001615F7">
        <w:rPr>
          <w:lang w:val="fr-FR"/>
        </w:rPr>
        <w:t xml:space="preserve"> </w:t>
      </w:r>
      <w:r>
        <w:rPr>
          <w:lang w:val="fr-FR"/>
        </w:rPr>
        <w:t xml:space="preserve">indiquées dans les </w:t>
      </w:r>
      <w:r w:rsidRPr="001615F7">
        <w:rPr>
          <w:lang w:val="fr-FR"/>
        </w:rPr>
        <w:t xml:space="preserve">6.5.3 </w:t>
      </w:r>
      <w:r>
        <w:rPr>
          <w:lang w:val="fr-FR"/>
        </w:rPr>
        <w:t>et</w:t>
      </w:r>
      <w:r w:rsidRPr="001615F7">
        <w:rPr>
          <w:lang w:val="fr-FR"/>
        </w:rPr>
        <w:t xml:space="preserve"> 6.5.5 </w:t>
      </w:r>
      <w:r>
        <w:rPr>
          <w:lang w:val="fr-FR"/>
        </w:rPr>
        <w:t xml:space="preserve">doivent satisfaire à toutes les prescriptions énoncées aux </w:t>
      </w:r>
      <w:r w:rsidRPr="001615F7">
        <w:rPr>
          <w:lang w:val="fr-FR"/>
        </w:rPr>
        <w:t xml:space="preserve">6.5.4 </w:t>
      </w:r>
      <w:r>
        <w:rPr>
          <w:lang w:val="fr-FR"/>
        </w:rPr>
        <w:t>et</w:t>
      </w:r>
      <w:r w:rsidRPr="001615F7">
        <w:rPr>
          <w:lang w:val="fr-FR"/>
        </w:rPr>
        <w:t xml:space="preserve"> 6.5.6, </w:t>
      </w:r>
      <w:r>
        <w:rPr>
          <w:lang w:val="fr-FR"/>
        </w:rPr>
        <w:t>et non seulement aux prescriptions relatives aux épreuves</w:t>
      </w:r>
      <w:r w:rsidRPr="001615F7">
        <w:rPr>
          <w:lang w:val="fr-FR"/>
        </w:rPr>
        <w:t xml:space="preserve">. </w:t>
      </w:r>
      <w:r w:rsidRPr="0069542B">
        <w:rPr>
          <w:lang w:val="fr-FR"/>
        </w:rPr>
        <w:t>Da</w:t>
      </w:r>
      <w:r w:rsidRPr="00E735F8">
        <w:rPr>
          <w:lang w:val="fr-FR"/>
        </w:rPr>
        <w:t xml:space="preserve">ns les propositions </w:t>
      </w:r>
      <w:r w:rsidRPr="0069542B">
        <w:rPr>
          <w:lang w:val="fr-FR"/>
        </w:rPr>
        <w:t xml:space="preserve">4 </w:t>
      </w:r>
      <w:r w:rsidRPr="00E735F8">
        <w:rPr>
          <w:lang w:val="fr-FR"/>
        </w:rPr>
        <w:t>à</w:t>
      </w:r>
      <w:r w:rsidRPr="0069542B">
        <w:rPr>
          <w:lang w:val="fr-FR"/>
        </w:rPr>
        <w:t xml:space="preserve"> 6 </w:t>
      </w:r>
      <w:r w:rsidRPr="00E735F8">
        <w:rPr>
          <w:lang w:val="fr-FR"/>
        </w:rPr>
        <w:t>ci-après</w:t>
      </w:r>
      <w:r w:rsidRPr="0069542B">
        <w:rPr>
          <w:lang w:val="fr-FR"/>
        </w:rPr>
        <w:t xml:space="preserve">, </w:t>
      </w:r>
      <w:r w:rsidRPr="00E735F8">
        <w:rPr>
          <w:lang w:val="fr-FR"/>
        </w:rPr>
        <w:t>ce même principe est appliqué aux emballages et aux grands emballages</w:t>
      </w:r>
      <w:r w:rsidRPr="0069542B">
        <w:rPr>
          <w:lang w:val="fr-FR"/>
        </w:rPr>
        <w:t xml:space="preserve">, </w:t>
      </w:r>
      <w:r w:rsidRPr="00E735F8">
        <w:rPr>
          <w:lang w:val="fr-FR"/>
        </w:rPr>
        <w:t>c</w:t>
      </w:r>
      <w:r>
        <w:rPr>
          <w:lang w:val="fr-FR"/>
        </w:rPr>
        <w:t>’</w:t>
      </w:r>
      <w:r w:rsidRPr="00E735F8">
        <w:rPr>
          <w:lang w:val="fr-FR"/>
        </w:rPr>
        <w:t>est-à-dire que les emballages</w:t>
      </w:r>
      <w:r>
        <w:rPr>
          <w:lang w:val="fr-FR"/>
        </w:rPr>
        <w:t xml:space="preserve"> et les grands emballages qui ont des caractéristique</w:t>
      </w:r>
      <w:r w:rsidRPr="002426E8">
        <w:rPr>
          <w:lang w:val="fr-FR"/>
        </w:rPr>
        <w:t xml:space="preserve">s </w:t>
      </w:r>
      <w:r>
        <w:rPr>
          <w:lang w:val="fr-FR"/>
        </w:rPr>
        <w:t>autres que celles</w:t>
      </w:r>
      <w:r w:rsidRPr="002426E8">
        <w:rPr>
          <w:lang w:val="fr-FR"/>
        </w:rPr>
        <w:t xml:space="preserve"> </w:t>
      </w:r>
      <w:r>
        <w:rPr>
          <w:lang w:val="fr-FR"/>
        </w:rPr>
        <w:t xml:space="preserve">décrites aux </w:t>
      </w:r>
      <w:r w:rsidRPr="0069542B">
        <w:rPr>
          <w:lang w:val="fr-FR"/>
        </w:rPr>
        <w:t xml:space="preserve">6.1.4, 6.3 </w:t>
      </w:r>
      <w:r>
        <w:rPr>
          <w:lang w:val="fr-FR"/>
        </w:rPr>
        <w:t>et</w:t>
      </w:r>
      <w:r w:rsidRPr="0069542B">
        <w:rPr>
          <w:lang w:val="fr-FR"/>
        </w:rPr>
        <w:t xml:space="preserve"> 6.6.4 </w:t>
      </w:r>
      <w:r>
        <w:rPr>
          <w:lang w:val="fr-FR"/>
        </w:rPr>
        <w:t>doivent satisfaire à toutes les prescriptions énoncées dans les sections sur les épreuves du modèle type (</w:t>
      </w:r>
      <w:r w:rsidRPr="0069542B">
        <w:rPr>
          <w:lang w:val="fr-FR"/>
        </w:rPr>
        <w:t xml:space="preserve">6.1.5, 6.3.5 </w:t>
      </w:r>
      <w:r>
        <w:rPr>
          <w:lang w:val="fr-FR"/>
        </w:rPr>
        <w:t>et</w:t>
      </w:r>
      <w:r w:rsidRPr="0069542B">
        <w:rPr>
          <w:lang w:val="fr-FR"/>
        </w:rPr>
        <w:t xml:space="preserve"> 6.6.5</w:t>
      </w:r>
      <w:r>
        <w:rPr>
          <w:lang w:val="fr-FR"/>
        </w:rPr>
        <w:t>)</w:t>
      </w:r>
      <w:r w:rsidRPr="0069542B">
        <w:rPr>
          <w:lang w:val="fr-FR"/>
        </w:rPr>
        <w:t xml:space="preserve"> </w:t>
      </w:r>
      <w:r>
        <w:rPr>
          <w:lang w:val="fr-FR"/>
        </w:rPr>
        <w:t xml:space="preserve">et aux prescriptions concernant </w:t>
      </w:r>
      <w:r w:rsidRPr="0069542B">
        <w:rPr>
          <w:lang w:val="fr-FR"/>
        </w:rPr>
        <w:t>le</w:t>
      </w:r>
      <w:r>
        <w:rPr>
          <w:lang w:val="fr-FR"/>
        </w:rPr>
        <w:t>s épreuves d’étanchéité pour les emballages</w:t>
      </w:r>
      <w:r w:rsidRPr="0069542B">
        <w:rPr>
          <w:lang w:val="fr-FR"/>
        </w:rPr>
        <w:t xml:space="preserve"> </w:t>
      </w:r>
      <w:r>
        <w:rPr>
          <w:lang w:val="fr-FR"/>
        </w:rPr>
        <w:t>(</w:t>
      </w:r>
      <w:r w:rsidRPr="0069542B">
        <w:rPr>
          <w:lang w:val="fr-FR"/>
        </w:rPr>
        <w:t>6.1.1.3</w:t>
      </w:r>
      <w:r>
        <w:rPr>
          <w:lang w:val="fr-FR"/>
        </w:rPr>
        <w:t>)</w:t>
      </w:r>
      <w:r w:rsidRPr="0069542B">
        <w:rPr>
          <w:lang w:val="fr-FR"/>
        </w:rPr>
        <w:t>.</w:t>
      </w:r>
    </w:p>
    <w:p w14:paraId="428F2D97" w14:textId="77777777" w:rsidR="00007FB8" w:rsidRPr="00421470" w:rsidRDefault="00007FB8" w:rsidP="00421470">
      <w:pPr>
        <w:pStyle w:val="HChG"/>
      </w:pPr>
      <w:r w:rsidRPr="0069542B">
        <w:rPr>
          <w:lang w:val="fr-FR"/>
        </w:rPr>
        <w:tab/>
      </w:r>
      <w:r w:rsidRPr="0069542B">
        <w:rPr>
          <w:lang w:val="fr-FR"/>
        </w:rPr>
        <w:tab/>
      </w:r>
      <w:r>
        <w:rPr>
          <w:lang w:val="fr-FR"/>
        </w:rPr>
        <w:t>Proposition</w:t>
      </w:r>
    </w:p>
    <w:p w14:paraId="09D4CD41" w14:textId="77777777" w:rsidR="00007FB8" w:rsidRPr="00F808AB" w:rsidRDefault="00007FB8" w:rsidP="00007FB8">
      <w:pPr>
        <w:pStyle w:val="SingleTxtG"/>
        <w:rPr>
          <w:lang w:val="fr-FR"/>
        </w:rPr>
      </w:pPr>
      <w:r>
        <w:rPr>
          <w:lang w:val="fr-FR"/>
        </w:rPr>
        <w:t>4.</w:t>
      </w:r>
      <w:r>
        <w:rPr>
          <w:lang w:val="fr-FR"/>
        </w:rPr>
        <w:tab/>
        <w:t xml:space="preserve">Modifier le 6.1.1.2 comme suit (le texte supprimé est </w:t>
      </w:r>
      <w:r>
        <w:rPr>
          <w:strike/>
          <w:lang w:val="fr-FR"/>
        </w:rPr>
        <w:t>biffé</w:t>
      </w:r>
      <w:r>
        <w:rPr>
          <w:lang w:val="fr-FR"/>
        </w:rPr>
        <w:t xml:space="preserve"> ; les ajouts sont </w:t>
      </w:r>
      <w:r>
        <w:rPr>
          <w:u w:val="single"/>
          <w:lang w:val="fr-FR"/>
        </w:rPr>
        <w:t>soulignés</w:t>
      </w:r>
      <w:r>
        <w:rPr>
          <w:lang w:val="fr-FR"/>
        </w:rPr>
        <w:t>) :</w:t>
      </w:r>
    </w:p>
    <w:p w14:paraId="43D2F075" w14:textId="77777777" w:rsidR="00007FB8" w:rsidRPr="00F808AB" w:rsidRDefault="00007FB8" w:rsidP="00007FB8">
      <w:pPr>
        <w:pStyle w:val="SingleTxtG"/>
        <w:ind w:left="2835" w:hanging="1134"/>
        <w:rPr>
          <w:lang w:val="fr-FR"/>
        </w:rPr>
      </w:pPr>
      <w:r>
        <w:rPr>
          <w:lang w:val="fr-FR"/>
        </w:rPr>
        <w:t>« 6.1.1.2</w:t>
      </w:r>
      <w:r>
        <w:rPr>
          <w:lang w:val="fr-FR"/>
        </w:rPr>
        <w:tab/>
        <w:t xml:space="preserve">Les prescriptions énoncées au 6.1.4 sont basées sur les emballages utilisés actuellement. Pour tenir compte du progrès scientifique et technique, il est parfaitement admis que l’on utilise des emballages dont les spécifications diffèrent de celles définies au 6.1.4, à condition qu’ils aient une efficacité égale, qu’ils soient acceptables pour l’autorité compétente et qu’ils satisfassent aux </w:t>
      </w:r>
      <w:r>
        <w:rPr>
          <w:strike/>
          <w:lang w:val="fr-FR"/>
        </w:rPr>
        <w:t xml:space="preserve">épreuves </w:t>
      </w:r>
      <w:r>
        <w:rPr>
          <w:u w:val="single"/>
          <w:lang w:val="fr-FR"/>
        </w:rPr>
        <w:t xml:space="preserve">prescriptions </w:t>
      </w:r>
      <w:r>
        <w:rPr>
          <w:lang w:val="fr-FR"/>
        </w:rPr>
        <w:t>décrites aux 6.1.1.3 et 6.1.5. Des méthodes d’épreuve autres que celles décrites dans le présent Règlement sont admises pour autant qu’elles soient équivalentes. ».</w:t>
      </w:r>
      <w:bookmarkStart w:id="0" w:name="_Hlk33611806"/>
      <w:bookmarkStart w:id="1" w:name="_Hlk33615644"/>
      <w:bookmarkEnd w:id="0"/>
      <w:bookmarkEnd w:id="1"/>
    </w:p>
    <w:p w14:paraId="0E5F9B0A" w14:textId="77777777" w:rsidR="00007FB8" w:rsidRPr="00421470" w:rsidRDefault="00007FB8" w:rsidP="00007FB8">
      <w:pPr>
        <w:pStyle w:val="SingleTxtG"/>
        <w:rPr>
          <w:lang w:val="fr-FR"/>
        </w:rPr>
      </w:pPr>
      <w:r w:rsidRPr="00421470">
        <w:rPr>
          <w:lang w:val="fr-FR"/>
        </w:rPr>
        <w:t>5.</w:t>
      </w:r>
      <w:r w:rsidRPr="00421470">
        <w:rPr>
          <w:lang w:val="fr-FR"/>
        </w:rPr>
        <w:tab/>
        <w:t xml:space="preserve">Modifier le 6.3.2.1 comme suit (le texte supprimé est </w:t>
      </w:r>
      <w:r w:rsidRPr="00421470">
        <w:rPr>
          <w:strike/>
          <w:lang w:val="fr-FR"/>
        </w:rPr>
        <w:t>biffé </w:t>
      </w:r>
      <w:r w:rsidRPr="00421470">
        <w:rPr>
          <w:lang w:val="fr-FR"/>
        </w:rPr>
        <w:t xml:space="preserve">; les ajouts sont </w:t>
      </w:r>
      <w:r w:rsidRPr="00421470">
        <w:rPr>
          <w:u w:val="single"/>
          <w:lang w:val="fr-FR"/>
        </w:rPr>
        <w:t>soulignés</w:t>
      </w:r>
      <w:r w:rsidRPr="00421470">
        <w:rPr>
          <w:lang w:val="fr-FR"/>
        </w:rPr>
        <w:t>) :</w:t>
      </w:r>
    </w:p>
    <w:p w14:paraId="04CB7CA5" w14:textId="77777777" w:rsidR="00007FB8" w:rsidRPr="00F808AB" w:rsidRDefault="00007FB8" w:rsidP="00007FB8">
      <w:pPr>
        <w:pStyle w:val="SingleTxtG"/>
        <w:ind w:left="2835" w:hanging="1134"/>
        <w:rPr>
          <w:lang w:val="fr-FR"/>
        </w:rPr>
      </w:pPr>
      <w:r>
        <w:rPr>
          <w:lang w:val="fr-FR"/>
        </w:rPr>
        <w:t>« 6.3.2.1</w:t>
      </w:r>
      <w:r>
        <w:rPr>
          <w:lang w:val="fr-FR"/>
        </w:rPr>
        <w:tab/>
        <w:t xml:space="preserve">Les prescriptions énoncées à la présente section sont basées sur les emballages, tels qu’ils sont définis au 6.1.4, utilisés actuellement. Pour tenir compte du progrès scientifique et technique, il est </w:t>
      </w:r>
      <w:r w:rsidRPr="00E735F8">
        <w:rPr>
          <w:lang w:val="fr-FR"/>
        </w:rPr>
        <w:t>parfaitement</w:t>
      </w:r>
      <w:r>
        <w:rPr>
          <w:u w:val="single"/>
          <w:lang w:val="fr-FR"/>
        </w:rPr>
        <w:t xml:space="preserve"> </w:t>
      </w:r>
      <w:r>
        <w:rPr>
          <w:lang w:val="fr-FR"/>
        </w:rPr>
        <w:t xml:space="preserve">admis que l’on utilise des emballages dont les spécifications diffèrent de celles définies au présent chapitre, à condition qu’ils aient une efficacité égale, qu’ils soient acceptables pour l’autorité compétente et qu’ils satisfassent aux </w:t>
      </w:r>
      <w:r>
        <w:rPr>
          <w:strike/>
          <w:lang w:val="fr-FR"/>
        </w:rPr>
        <w:t xml:space="preserve">épreuves </w:t>
      </w:r>
      <w:r>
        <w:rPr>
          <w:u w:val="single"/>
          <w:lang w:val="fr-FR"/>
        </w:rPr>
        <w:t>prescriptions</w:t>
      </w:r>
      <w:r w:rsidRPr="00007FB8">
        <w:rPr>
          <w:lang w:val="fr-FR"/>
        </w:rPr>
        <w:t xml:space="preserve"> </w:t>
      </w:r>
      <w:r>
        <w:rPr>
          <w:lang w:val="fr-FR"/>
        </w:rPr>
        <w:t>décrites au 6.3.5. Des méthodes d’épreuve autres que celles décrites dans le présent Règlement sont admises pour autant qu’elles soient équivalentes. ».</w:t>
      </w:r>
    </w:p>
    <w:p w14:paraId="0D79674A" w14:textId="77777777" w:rsidR="00007FB8" w:rsidRPr="00421470" w:rsidRDefault="00007FB8" w:rsidP="00007FB8">
      <w:pPr>
        <w:pStyle w:val="SingleTxtG"/>
        <w:rPr>
          <w:lang w:val="fr-FR"/>
        </w:rPr>
      </w:pPr>
      <w:r w:rsidRPr="00421470">
        <w:rPr>
          <w:lang w:val="fr-FR"/>
        </w:rPr>
        <w:t>6.</w:t>
      </w:r>
      <w:r w:rsidRPr="00421470">
        <w:rPr>
          <w:lang w:val="fr-FR"/>
        </w:rPr>
        <w:tab/>
        <w:t xml:space="preserve">Modifier le 6.6.1.3 comme suit (le texte supprimé est </w:t>
      </w:r>
      <w:r w:rsidRPr="00421470">
        <w:rPr>
          <w:strike/>
          <w:lang w:val="fr-FR"/>
        </w:rPr>
        <w:t>biffé </w:t>
      </w:r>
      <w:r w:rsidRPr="00421470">
        <w:rPr>
          <w:lang w:val="fr-FR"/>
        </w:rPr>
        <w:t xml:space="preserve">; les ajouts sont </w:t>
      </w:r>
      <w:r w:rsidRPr="00421470">
        <w:rPr>
          <w:u w:val="single"/>
          <w:lang w:val="fr-FR"/>
        </w:rPr>
        <w:t>soulignés</w:t>
      </w:r>
      <w:r w:rsidRPr="00421470">
        <w:rPr>
          <w:lang w:val="fr-FR"/>
        </w:rPr>
        <w:t>) :</w:t>
      </w:r>
    </w:p>
    <w:p w14:paraId="057C2ED8" w14:textId="77777777" w:rsidR="00446FE5" w:rsidRDefault="00007FB8" w:rsidP="00007FB8">
      <w:pPr>
        <w:pStyle w:val="SingleTxtG"/>
        <w:ind w:left="2835" w:hanging="1134"/>
        <w:rPr>
          <w:lang w:val="fr-FR"/>
        </w:rPr>
      </w:pPr>
      <w:r>
        <w:rPr>
          <w:lang w:val="fr-FR"/>
        </w:rPr>
        <w:t>« 6.6.1.3</w:t>
      </w:r>
      <w:r>
        <w:rPr>
          <w:lang w:val="fr-FR"/>
        </w:rPr>
        <w:tab/>
        <w:t xml:space="preserve">Les prescriptions particulières applicables aux grands emballages énoncées au 6.6.4 sont basées sur les grands emballages utilisés actuellement. Pour tenir compte du progrès scientifique et technique, il est parfaitement admis que l’on utilise de grands emballages dont les spécifications diffèrent de celles </w:t>
      </w:r>
      <w:r w:rsidRPr="00E735F8">
        <w:rPr>
          <w:lang w:val="fr-FR"/>
        </w:rPr>
        <w:t xml:space="preserve">définies </w:t>
      </w:r>
      <w:r>
        <w:rPr>
          <w:lang w:val="fr-FR"/>
        </w:rPr>
        <w:t xml:space="preserve">au 6.6.4, à condition qu’ils aient une efficacité égale, qu’ils soient acceptables pour l’autorité compétente et qu’ils </w:t>
      </w:r>
      <w:r w:rsidRPr="00E735F8">
        <w:rPr>
          <w:lang w:val="fr-FR"/>
        </w:rPr>
        <w:t xml:space="preserve">satisfassent </w:t>
      </w:r>
      <w:r>
        <w:rPr>
          <w:lang w:val="fr-FR"/>
        </w:rPr>
        <w:t xml:space="preserve">aux </w:t>
      </w:r>
      <w:r>
        <w:rPr>
          <w:strike/>
          <w:lang w:val="fr-FR"/>
        </w:rPr>
        <w:t xml:space="preserve">épreuves </w:t>
      </w:r>
      <w:r>
        <w:rPr>
          <w:u w:val="single"/>
          <w:lang w:val="fr-FR"/>
        </w:rPr>
        <w:t xml:space="preserve">prescriptions </w:t>
      </w:r>
      <w:bookmarkStart w:id="2" w:name="_GoBack"/>
      <w:bookmarkEnd w:id="2"/>
      <w:r>
        <w:rPr>
          <w:lang w:val="fr-FR"/>
        </w:rPr>
        <w:lastRenderedPageBreak/>
        <w:t>décrites au 6.6.5. Les méthodes d’épreuve autres que celles décrites dans le présent Règlement sont admises pour autant qu’elles soient équivalentes. ».</w:t>
      </w:r>
    </w:p>
    <w:p w14:paraId="081DC759" w14:textId="77777777" w:rsidR="00007FB8" w:rsidRPr="00007FB8" w:rsidRDefault="00007FB8" w:rsidP="00007FB8">
      <w:pPr>
        <w:pStyle w:val="SingleTxtG"/>
        <w:spacing w:before="240" w:after="0"/>
        <w:jc w:val="center"/>
        <w:rPr>
          <w:u w:val="single"/>
        </w:rPr>
      </w:pPr>
      <w:r>
        <w:rPr>
          <w:u w:val="single"/>
        </w:rPr>
        <w:tab/>
      </w:r>
      <w:r>
        <w:rPr>
          <w:u w:val="single"/>
        </w:rPr>
        <w:tab/>
      </w:r>
      <w:r>
        <w:rPr>
          <w:u w:val="single"/>
        </w:rPr>
        <w:tab/>
      </w:r>
    </w:p>
    <w:sectPr w:rsidR="00007FB8" w:rsidRPr="00007FB8" w:rsidSect="00007FB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9E7F8" w14:textId="77777777" w:rsidR="002F76C1" w:rsidRDefault="002F76C1" w:rsidP="00F95C08">
      <w:pPr>
        <w:spacing w:line="240" w:lineRule="auto"/>
      </w:pPr>
    </w:p>
  </w:endnote>
  <w:endnote w:type="continuationSeparator" w:id="0">
    <w:p w14:paraId="0D60472B" w14:textId="77777777" w:rsidR="002F76C1" w:rsidRPr="00AC3823" w:rsidRDefault="002F76C1" w:rsidP="00AC3823">
      <w:pPr>
        <w:pStyle w:val="Footer"/>
      </w:pPr>
    </w:p>
  </w:endnote>
  <w:endnote w:type="continuationNotice" w:id="1">
    <w:p w14:paraId="59EF9970" w14:textId="77777777" w:rsidR="002F76C1" w:rsidRDefault="002F76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EF27" w14:textId="77777777" w:rsidR="00007FB8" w:rsidRPr="00007FB8" w:rsidRDefault="00007FB8" w:rsidP="00007FB8">
    <w:pPr>
      <w:pStyle w:val="Footer"/>
      <w:tabs>
        <w:tab w:val="right" w:pos="9638"/>
      </w:tabs>
    </w:pPr>
    <w:r w:rsidRPr="00007FB8">
      <w:rPr>
        <w:b/>
        <w:sz w:val="18"/>
      </w:rPr>
      <w:fldChar w:fldCharType="begin"/>
    </w:r>
    <w:r w:rsidRPr="00007FB8">
      <w:rPr>
        <w:b/>
        <w:sz w:val="18"/>
      </w:rPr>
      <w:instrText xml:space="preserve"> PAGE  \* MERGEFORMAT </w:instrText>
    </w:r>
    <w:r w:rsidRPr="00007FB8">
      <w:rPr>
        <w:b/>
        <w:sz w:val="18"/>
      </w:rPr>
      <w:fldChar w:fldCharType="separate"/>
    </w:r>
    <w:r w:rsidRPr="00007FB8">
      <w:rPr>
        <w:b/>
        <w:noProof/>
        <w:sz w:val="18"/>
      </w:rPr>
      <w:t>2</w:t>
    </w:r>
    <w:r w:rsidRPr="00007FB8">
      <w:rPr>
        <w:b/>
        <w:sz w:val="18"/>
      </w:rPr>
      <w:fldChar w:fldCharType="end"/>
    </w:r>
    <w:r>
      <w:rPr>
        <w:b/>
        <w:sz w:val="18"/>
      </w:rPr>
      <w:tab/>
    </w:r>
    <w:r>
      <w:t>GE.20-11578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A34C" w14:textId="77777777" w:rsidR="00007FB8" w:rsidRPr="00007FB8" w:rsidRDefault="00007FB8" w:rsidP="00007FB8">
    <w:pPr>
      <w:pStyle w:val="Footer"/>
      <w:tabs>
        <w:tab w:val="right" w:pos="9638"/>
      </w:tabs>
      <w:rPr>
        <w:b/>
        <w:sz w:val="18"/>
      </w:rPr>
    </w:pPr>
    <w:r>
      <w:t>GE.20-11578</w:t>
    </w:r>
    <w:r>
      <w:tab/>
    </w:r>
    <w:r w:rsidRPr="00007FB8">
      <w:rPr>
        <w:b/>
        <w:sz w:val="18"/>
      </w:rPr>
      <w:fldChar w:fldCharType="begin"/>
    </w:r>
    <w:r w:rsidRPr="00007FB8">
      <w:rPr>
        <w:b/>
        <w:sz w:val="18"/>
      </w:rPr>
      <w:instrText xml:space="preserve"> PAGE  \* MERGEFORMAT </w:instrText>
    </w:r>
    <w:r w:rsidRPr="00007FB8">
      <w:rPr>
        <w:b/>
        <w:sz w:val="18"/>
      </w:rPr>
      <w:fldChar w:fldCharType="separate"/>
    </w:r>
    <w:r w:rsidRPr="00007FB8">
      <w:rPr>
        <w:b/>
        <w:noProof/>
        <w:sz w:val="18"/>
      </w:rPr>
      <w:t>3</w:t>
    </w:r>
    <w:r w:rsidRPr="00007F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19A6" w14:textId="77777777" w:rsidR="0068456F" w:rsidRPr="00007FB8" w:rsidRDefault="00007FB8" w:rsidP="00007FB8">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276C515A" wp14:editId="0179B82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20-11578  (F)    251120    251120</w:t>
    </w:r>
    <w:r>
      <w:rPr>
        <w:sz w:val="20"/>
      </w:rPr>
      <w:br/>
    </w:r>
    <w:r w:rsidRPr="00007FB8">
      <w:rPr>
        <w:rFonts w:ascii="C39T30Lfz" w:hAnsi="C39T30Lfz"/>
        <w:sz w:val="56"/>
      </w:rPr>
      <w:t>*2011578*</w:t>
    </w:r>
    <w:r>
      <w:rPr>
        <w:noProof/>
        <w:sz w:val="20"/>
      </w:rPr>
      <w:drawing>
        <wp:anchor distT="0" distB="0" distL="114300" distR="114300" simplePos="0" relativeHeight="251658240" behindDoc="0" locked="0" layoutInCell="1" allowOverlap="1" wp14:anchorId="359A441A" wp14:editId="7A33590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30E30" w14:textId="77777777" w:rsidR="002F76C1" w:rsidRPr="00AC3823" w:rsidRDefault="002F76C1" w:rsidP="00AC3823">
      <w:pPr>
        <w:pStyle w:val="Footer"/>
        <w:tabs>
          <w:tab w:val="right" w:pos="2155"/>
        </w:tabs>
        <w:spacing w:after="80" w:line="240" w:lineRule="atLeast"/>
        <w:ind w:left="680"/>
        <w:rPr>
          <w:u w:val="single"/>
        </w:rPr>
      </w:pPr>
      <w:r>
        <w:rPr>
          <w:u w:val="single"/>
        </w:rPr>
        <w:tab/>
      </w:r>
    </w:p>
  </w:footnote>
  <w:footnote w:type="continuationSeparator" w:id="0">
    <w:p w14:paraId="0C907DD9" w14:textId="77777777" w:rsidR="002F76C1" w:rsidRPr="00AC3823" w:rsidRDefault="002F76C1" w:rsidP="00AC3823">
      <w:pPr>
        <w:pStyle w:val="Footer"/>
        <w:tabs>
          <w:tab w:val="right" w:pos="2155"/>
        </w:tabs>
        <w:spacing w:after="80" w:line="240" w:lineRule="atLeast"/>
        <w:ind w:left="680"/>
        <w:rPr>
          <w:u w:val="single"/>
        </w:rPr>
      </w:pPr>
      <w:r>
        <w:rPr>
          <w:u w:val="single"/>
        </w:rPr>
        <w:tab/>
      </w:r>
    </w:p>
  </w:footnote>
  <w:footnote w:type="continuationNotice" w:id="1">
    <w:p w14:paraId="001AC826" w14:textId="77777777" w:rsidR="002F76C1" w:rsidRPr="00AC3823" w:rsidRDefault="002F76C1">
      <w:pPr>
        <w:spacing w:line="240" w:lineRule="auto"/>
        <w:rPr>
          <w:sz w:val="2"/>
          <w:szCs w:val="2"/>
        </w:rPr>
      </w:pPr>
    </w:p>
  </w:footnote>
  <w:footnote w:id="2">
    <w:p w14:paraId="1EEC81EC" w14:textId="77777777" w:rsidR="00007FB8" w:rsidRPr="00514E7A" w:rsidRDefault="00007FB8" w:rsidP="00007FB8">
      <w:pPr>
        <w:pStyle w:val="FootnoteText"/>
      </w:pPr>
      <w:r>
        <w:rPr>
          <w:rStyle w:val="FootnoteReference"/>
        </w:rPr>
        <w:tab/>
      </w:r>
      <w:r w:rsidRPr="00514E7A">
        <w:rPr>
          <w:rStyle w:val="FootnoteReference"/>
          <w:sz w:val="20"/>
          <w:vertAlign w:val="baseline"/>
        </w:rPr>
        <w:t>*</w:t>
      </w:r>
      <w:r>
        <w:rPr>
          <w:rStyle w:val="FootnoteReference"/>
          <w:sz w:val="20"/>
          <w:vertAlign w:val="baseline"/>
        </w:rPr>
        <w:tab/>
      </w:r>
      <w:r w:rsidRPr="00D73B3C">
        <w:rPr>
          <w:lang w:val="fr-FR"/>
        </w:rPr>
        <w:t>Sous-programme 2 du budget-programme pour 2020 (A/74/6 (Sect. 20)) et informations complémentaires</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B1BC" w14:textId="77777777" w:rsidR="00007FB8" w:rsidRPr="00007FB8" w:rsidRDefault="00B13D45">
    <w:pPr>
      <w:pStyle w:val="Header"/>
    </w:pPr>
    <w:r>
      <w:fldChar w:fldCharType="begin"/>
    </w:r>
    <w:r>
      <w:instrText xml:space="preserve"> TITLE  \* MERGEFORMAT </w:instrText>
    </w:r>
    <w:r>
      <w:fldChar w:fldCharType="separate"/>
    </w:r>
    <w:r w:rsidR="00007FB8">
      <w:t>ST/SG/AC.10/C.3/2020/28/Rev.1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0BB4" w14:textId="77777777" w:rsidR="00007FB8" w:rsidRPr="00007FB8" w:rsidRDefault="00B13D45" w:rsidP="00007FB8">
    <w:pPr>
      <w:pStyle w:val="Header"/>
      <w:jc w:val="right"/>
    </w:pPr>
    <w:r>
      <w:fldChar w:fldCharType="begin"/>
    </w:r>
    <w:r>
      <w:instrText xml:space="preserve"> TITLE  \* MERGEFORMAT </w:instrText>
    </w:r>
    <w:r>
      <w:fldChar w:fldCharType="separate"/>
    </w:r>
    <w:r w:rsidR="00007FB8">
      <w:t>ST/SG/AC.10/C.3/2020/28/Rev.1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C1"/>
    <w:rsid w:val="00007FB8"/>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2F76C1"/>
    <w:rsid w:val="00421470"/>
    <w:rsid w:val="00441C3B"/>
    <w:rsid w:val="00446FE5"/>
    <w:rsid w:val="00452396"/>
    <w:rsid w:val="004E468C"/>
    <w:rsid w:val="005505B7"/>
    <w:rsid w:val="00573BE5"/>
    <w:rsid w:val="00584DC4"/>
    <w:rsid w:val="00586ED3"/>
    <w:rsid w:val="00596AA9"/>
    <w:rsid w:val="0068456F"/>
    <w:rsid w:val="006B5727"/>
    <w:rsid w:val="0071601D"/>
    <w:rsid w:val="007A62E6"/>
    <w:rsid w:val="0080684C"/>
    <w:rsid w:val="00871C75"/>
    <w:rsid w:val="008776DC"/>
    <w:rsid w:val="008B40CD"/>
    <w:rsid w:val="009705C8"/>
    <w:rsid w:val="009C1CF4"/>
    <w:rsid w:val="00A30353"/>
    <w:rsid w:val="00AC3823"/>
    <w:rsid w:val="00AE323C"/>
    <w:rsid w:val="00B00181"/>
    <w:rsid w:val="00B00B0D"/>
    <w:rsid w:val="00B13D45"/>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3B20F"/>
  <w15:docId w15:val="{BADD5895-2061-4D94-935A-AA2C643B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007FB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007FB8"/>
    <w:rPr>
      <w:rFonts w:ascii="Times New Roman" w:eastAsiaTheme="minorHAnsi" w:hAnsi="Times New Roman" w:cs="Times New Roman"/>
      <w:sz w:val="20"/>
      <w:szCs w:val="20"/>
      <w:lang w:eastAsia="en-US"/>
    </w:rPr>
  </w:style>
  <w:style w:type="character" w:customStyle="1" w:styleId="H1GChar">
    <w:name w:val="_ H_1_G Char"/>
    <w:link w:val="H1G"/>
    <w:locked/>
    <w:rsid w:val="00007FB8"/>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7AE64-ECCE-4176-BF4E-E573B61D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8CD62-0530-4E99-810A-27208431A0B4}">
  <ds:schemaRefs>
    <ds:schemaRef ds:uri="http://schemas.microsoft.com/sharepoint/v3/contenttype/forms"/>
  </ds:schemaRefs>
</ds:datastoreItem>
</file>

<file path=customXml/itemProps3.xml><?xml version="1.0" encoding="utf-8"?>
<ds:datastoreItem xmlns:ds="http://schemas.openxmlformats.org/officeDocument/2006/customXml" ds:itemID="{F1BBA20B-CE8A-435F-AF28-7797939ECE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ST/SG/AC.10/C.3/2020/28/Rev.1</vt:lpstr>
    </vt:vector>
  </TitlesOfParts>
  <Company>DCM</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ST/SG/AC.10/C.3/2020/28/Rev.1</dc:title>
  <dc:subject/>
  <dc:creator>Corinne ROBERT</dc:creator>
  <cp:keywords/>
  <cp:lastModifiedBy>Laurence Berthet</cp:lastModifiedBy>
  <cp:revision>2</cp:revision>
  <cp:lastPrinted>2014-05-14T10:59:00Z</cp:lastPrinted>
  <dcterms:created xsi:type="dcterms:W3CDTF">2020-11-25T14:05:00Z</dcterms:created>
  <dcterms:modified xsi:type="dcterms:W3CDTF">2020-11-25T14:05:00Z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