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76F8CD22" w:rsidR="00E52109" w:rsidRDefault="001737FA" w:rsidP="001737FA">
            <w:pPr>
              <w:suppressAutoHyphens w:val="0"/>
              <w:jc w:val="right"/>
            </w:pPr>
            <w:r w:rsidRPr="001737FA">
              <w:rPr>
                <w:sz w:val="40"/>
              </w:rPr>
              <w:t>ST</w:t>
            </w:r>
            <w:r>
              <w:t>/SG/AC.10/C.3/2020/</w:t>
            </w:r>
            <w:r w:rsidR="00894F7A">
              <w:t>2</w:t>
            </w:r>
            <w:r w:rsidR="0084631E">
              <w:t>4</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fr-CH" w:eastAsia="fr-CH"/>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74283E19" w:rsidR="001737FA" w:rsidRDefault="008E44D7" w:rsidP="001737FA">
            <w:pPr>
              <w:suppressAutoHyphens w:val="0"/>
              <w:spacing w:line="240" w:lineRule="exact"/>
            </w:pPr>
            <w:r>
              <w:t>7</w:t>
            </w:r>
            <w:r w:rsidR="00B034A6">
              <w:t xml:space="preserve"> </w:t>
            </w:r>
            <w:r w:rsidR="006C7125">
              <w:t>April</w:t>
            </w:r>
            <w:r w:rsidR="001737FA">
              <w:t xml:space="preserve"> 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3963F170" w:rsidR="001737FA" w:rsidRDefault="001737FA" w:rsidP="001737FA">
      <w:pPr>
        <w:rPr>
          <w:lang w:val="en-US"/>
        </w:rPr>
      </w:pPr>
      <w:r>
        <w:t>Geneva, 29 June-8 July 2020</w:t>
      </w:r>
      <w:r>
        <w:br/>
      </w:r>
      <w:r>
        <w:rPr>
          <w:lang w:val="en-US"/>
        </w:rPr>
        <w:t xml:space="preserve">Item </w:t>
      </w:r>
      <w:r w:rsidR="00894F7A">
        <w:rPr>
          <w:lang w:val="en-US"/>
        </w:rPr>
        <w:t>3</w:t>
      </w:r>
      <w:r>
        <w:rPr>
          <w:lang w:val="en-US"/>
        </w:rPr>
        <w:t xml:space="preserve"> of the provisional agenda</w:t>
      </w:r>
    </w:p>
    <w:p w14:paraId="0E4DCE7A" w14:textId="6B7A6B54" w:rsidR="001737FA" w:rsidRDefault="00894F7A" w:rsidP="001737FA">
      <w:pPr>
        <w:rPr>
          <w:b/>
          <w:bCs/>
        </w:rPr>
      </w:pPr>
      <w:r>
        <w:rPr>
          <w:b/>
          <w:bCs/>
        </w:rPr>
        <w:t>Listing, classification and packing</w:t>
      </w:r>
    </w:p>
    <w:p w14:paraId="70321EB0" w14:textId="3AA9FD56" w:rsidR="0084631E" w:rsidRDefault="0084631E" w:rsidP="0084631E">
      <w:pPr>
        <w:pStyle w:val="HChG"/>
        <w:rPr>
          <w:lang w:val="en-US"/>
        </w:rPr>
      </w:pPr>
      <w:r>
        <w:tab/>
      </w:r>
      <w:r>
        <w:tab/>
      </w:r>
      <w:r w:rsidRPr="0084631E">
        <w:t>Amendments</w:t>
      </w:r>
      <w:r>
        <w:rPr>
          <w:lang w:val="en-US"/>
        </w:rPr>
        <w:t xml:space="preserve"> to P621</w:t>
      </w:r>
    </w:p>
    <w:p w14:paraId="4DD027DE" w14:textId="1878B8F9" w:rsidR="0084631E" w:rsidRPr="0084631E" w:rsidRDefault="0084631E" w:rsidP="0084631E">
      <w:pPr>
        <w:pStyle w:val="H1G"/>
      </w:pPr>
      <w:r w:rsidRPr="0084631E">
        <w:tab/>
      </w:r>
      <w:r w:rsidRPr="0084631E">
        <w:tab/>
      </w:r>
      <w:r w:rsidRPr="0084631E">
        <w:rPr>
          <w:rStyle w:val="EndnoteReference"/>
          <w:sz w:val="24"/>
          <w:vertAlign w:val="baseline"/>
        </w:rPr>
        <w:t>Transmitted</w:t>
      </w:r>
      <w:r w:rsidRPr="0084631E">
        <w:t xml:space="preserve"> by the expert from Belgium</w:t>
      </w:r>
      <w:r>
        <w:rPr>
          <w:rStyle w:val="FootnoteReference"/>
        </w:rPr>
        <w:footnoteReference w:id="2"/>
      </w:r>
    </w:p>
    <w:p w14:paraId="45965913" w14:textId="167653CA" w:rsidR="0084631E" w:rsidRDefault="0084631E" w:rsidP="0084631E">
      <w:pPr>
        <w:pStyle w:val="HChG"/>
      </w:pPr>
      <w:r>
        <w:tab/>
      </w:r>
      <w:r>
        <w:tab/>
        <w:t>Introduction</w:t>
      </w:r>
    </w:p>
    <w:p w14:paraId="4B8E9247" w14:textId="67C809EC" w:rsidR="0084631E" w:rsidRDefault="0084631E" w:rsidP="0084631E">
      <w:pPr>
        <w:pStyle w:val="SingleTxtG"/>
      </w:pPr>
      <w:r>
        <w:t>1.</w:t>
      </w:r>
      <w:r>
        <w:tab/>
        <w:t xml:space="preserve">Packing instruction P621 applies to UN 3291 CLINICAL WASTE, UNSPECIFIED, N.O.S or (BIO)MEDICAL WASTE, N.O.S or REGULATED MEDICAL WASTE, N.O.S. This packing instruction authorizes the use of packagings conforming to the packing group II performance level for solids provided there is sufficient absorbent material to absorb the entire amount of liquid present and the packaging is capable of retaining liquids. </w:t>
      </w:r>
    </w:p>
    <w:p w14:paraId="378E7D38" w14:textId="7978167F" w:rsidR="0084631E" w:rsidRDefault="0084631E" w:rsidP="0084631E">
      <w:pPr>
        <w:pStyle w:val="SingleTxtG"/>
      </w:pPr>
      <w:r>
        <w:tab/>
        <w:t>2.</w:t>
      </w:r>
      <w:r>
        <w:tab/>
        <w:t xml:space="preserve">Most of the medical waste packagings have openings with a diameter exceeding 7 cm </w:t>
      </w:r>
      <w:bookmarkStart w:id="1" w:name="_Hlk36634850"/>
      <w:r>
        <w:t>and are therefore, by definition, of the removable head type e.g. 3H2</w:t>
      </w:r>
      <w:bookmarkEnd w:id="1"/>
      <w:r>
        <w:t xml:space="preserve">. Some smaller medical waste packagings, such as little needle containers, may however have openings with a diameter not exceeding 7 cm (see Picture 1). They are, by definition, of the non-removable head type e.g. 3H1. </w:t>
      </w:r>
    </w:p>
    <w:p w14:paraId="2A822645" w14:textId="508F51D8" w:rsidR="0084631E" w:rsidRDefault="0084631E" w:rsidP="0084631E">
      <w:pPr>
        <w:pStyle w:val="SingleTxtG"/>
      </w:pPr>
      <w:r>
        <w:tab/>
        <w:t>3.</w:t>
      </w:r>
      <w:r>
        <w:tab/>
        <w:t>Bearing in mind that the construction and testing requirements of non-removable head type packagings are at least equivalent to the construction and testing requirements of the removable head type packagings, it is assumed that the non-removable head type packagings offer at least an equivalent safety level for the transport of UN 3291.</w:t>
      </w:r>
    </w:p>
    <w:p w14:paraId="30340768" w14:textId="31A1FCEC" w:rsidR="0084631E" w:rsidRDefault="0084631E" w:rsidP="0084631E">
      <w:pPr>
        <w:pStyle w:val="SingleTxtG"/>
      </w:pPr>
      <w:r>
        <w:tab/>
        <w:t>4.</w:t>
      </w:r>
      <w:r>
        <w:tab/>
        <w:t>Currently, packing instruction P621 does not allow the use of packagings with a non-removable head. It is therefore proposed to add in P621 the non-removable head type packagings.</w:t>
      </w:r>
    </w:p>
    <w:p w14:paraId="570CFDC4" w14:textId="077D315E" w:rsidR="0084631E" w:rsidRDefault="0084631E" w:rsidP="0084631E">
      <w:pPr>
        <w:pStyle w:val="ListParagraph"/>
        <w:ind w:left="1130"/>
        <w:jc w:val="center"/>
      </w:pPr>
      <w:r>
        <w:lastRenderedPageBreak/>
        <w:br/>
      </w:r>
      <w:r>
        <w:rPr>
          <w:noProof/>
          <w:lang w:val="nl-BE"/>
        </w:rPr>
        <w:drawing>
          <wp:inline distT="0" distB="0" distL="0" distR="0" wp14:anchorId="460BFFC8" wp14:editId="3C0F93ED">
            <wp:extent cx="1542415" cy="2059305"/>
            <wp:effectExtent l="0" t="0" r="635" b="0"/>
            <wp:docPr id="4" name="Picture 4" descr="G0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067"/>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42415" cy="2059305"/>
                    </a:xfrm>
                    <a:prstGeom prst="rect">
                      <a:avLst/>
                    </a:prstGeom>
                    <a:noFill/>
                    <a:ln>
                      <a:noFill/>
                    </a:ln>
                  </pic:spPr>
                </pic:pic>
              </a:graphicData>
            </a:graphic>
          </wp:inline>
        </w:drawing>
      </w:r>
      <w:r>
        <w:t xml:space="preserve">     </w:t>
      </w:r>
      <w:r>
        <w:rPr>
          <w:rFonts w:ascii="Roboto" w:hAnsi="Roboto"/>
          <w:noProof/>
          <w:color w:val="2962FF"/>
          <w:lang w:val="nl-NL"/>
        </w:rPr>
        <w:drawing>
          <wp:inline distT="0" distB="0" distL="0" distR="0" wp14:anchorId="5560733F" wp14:editId="698150B0">
            <wp:extent cx="1288415" cy="1987550"/>
            <wp:effectExtent l="0" t="0" r="6985" b="0"/>
            <wp:docPr id="3" name="Picture 3" descr="Needle collector KONTAMED-chen | Waste disposal containers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edle collector KONTAMED-chen | Waste disposal containers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415" cy="1987550"/>
                    </a:xfrm>
                    <a:prstGeom prst="rect">
                      <a:avLst/>
                    </a:prstGeom>
                    <a:noFill/>
                    <a:ln>
                      <a:noFill/>
                    </a:ln>
                  </pic:spPr>
                </pic:pic>
              </a:graphicData>
            </a:graphic>
          </wp:inline>
        </w:drawing>
      </w:r>
    </w:p>
    <w:p w14:paraId="28703201" w14:textId="0FAD0746" w:rsidR="0084631E" w:rsidRDefault="0084631E" w:rsidP="0084631E">
      <w:pPr>
        <w:pStyle w:val="SingleTxtG"/>
        <w:spacing w:before="120"/>
      </w:pPr>
      <w:r>
        <w:t>Picture 1: Little needle containers having an opening with a diameter not exceeding 7 cm.</w:t>
      </w:r>
    </w:p>
    <w:p w14:paraId="3CCC8139" w14:textId="5020D7C8" w:rsidR="0084631E" w:rsidRDefault="0084631E" w:rsidP="0084631E">
      <w:pPr>
        <w:pStyle w:val="HChG"/>
        <w:rPr>
          <w:lang w:val="en-US"/>
        </w:rPr>
      </w:pPr>
      <w:r>
        <w:rPr>
          <w:lang w:val="en-US"/>
        </w:rPr>
        <w:tab/>
      </w:r>
      <w:r>
        <w:rPr>
          <w:lang w:val="en-US"/>
        </w:rPr>
        <w:tab/>
        <w:t>Proposal</w:t>
      </w:r>
    </w:p>
    <w:p w14:paraId="0C863928" w14:textId="7F3E817C" w:rsidR="0084631E" w:rsidRDefault="0084631E" w:rsidP="0084631E">
      <w:pPr>
        <w:pStyle w:val="SingleTxtG"/>
      </w:pPr>
      <w:r>
        <w:t>5.</w:t>
      </w:r>
      <w:r>
        <w:tab/>
        <w:t>Add the non-removable head type packagings as shown in P621 below (</w:t>
      </w:r>
      <w:r w:rsidR="00B034A6">
        <w:t>n</w:t>
      </w:r>
      <w:r>
        <w:t>ew text underlined)</w:t>
      </w:r>
      <w:r w:rsidR="00B034A6">
        <w:t>:</w:t>
      </w:r>
    </w:p>
    <w:tbl>
      <w:tblPr>
        <w:tblW w:w="9641" w:type="dxa"/>
        <w:tblInd w:w="24" w:type="dxa"/>
        <w:tblLayout w:type="fixed"/>
        <w:tblCellMar>
          <w:left w:w="24" w:type="dxa"/>
          <w:right w:w="24" w:type="dxa"/>
        </w:tblCellMar>
        <w:tblLook w:val="04A0" w:firstRow="1" w:lastRow="0" w:firstColumn="1" w:lastColumn="0" w:noHBand="0" w:noVBand="1"/>
      </w:tblPr>
      <w:tblGrid>
        <w:gridCol w:w="930"/>
        <w:gridCol w:w="7859"/>
        <w:gridCol w:w="852"/>
      </w:tblGrid>
      <w:tr w:rsidR="0084631E" w14:paraId="7A342E17" w14:textId="77777777" w:rsidTr="0084631E">
        <w:trPr>
          <w:cantSplit/>
          <w:trHeight w:val="284"/>
        </w:trPr>
        <w:tc>
          <w:tcPr>
            <w:tcW w:w="930" w:type="dxa"/>
            <w:tcBorders>
              <w:top w:val="single" w:sz="4" w:space="0" w:color="auto"/>
              <w:left w:val="single" w:sz="2" w:space="0" w:color="auto"/>
              <w:bottom w:val="single" w:sz="2" w:space="0" w:color="auto"/>
              <w:right w:val="nil"/>
            </w:tcBorders>
            <w:hideMark/>
          </w:tcPr>
          <w:p w14:paraId="2E480C0B" w14:textId="77777777" w:rsidR="0084631E" w:rsidRDefault="0084631E">
            <w:pPr>
              <w:keepNext/>
              <w:keepLines/>
              <w:tabs>
                <w:tab w:val="right" w:pos="9623"/>
              </w:tabs>
              <w:suppressAutoHyphens w:val="0"/>
              <w:spacing w:line="240" w:lineRule="auto"/>
              <w:ind w:left="57"/>
              <w:jc w:val="both"/>
              <w:outlineLvl w:val="8"/>
              <w:rPr>
                <w:b/>
                <w:bCs/>
              </w:rPr>
            </w:pPr>
            <w:r>
              <w:rPr>
                <w:b/>
                <w:bCs/>
              </w:rPr>
              <w:t>P621</w:t>
            </w:r>
          </w:p>
        </w:tc>
        <w:tc>
          <w:tcPr>
            <w:tcW w:w="7859" w:type="dxa"/>
            <w:tcBorders>
              <w:top w:val="single" w:sz="4" w:space="0" w:color="auto"/>
              <w:left w:val="nil"/>
              <w:bottom w:val="single" w:sz="2" w:space="0" w:color="auto"/>
              <w:right w:val="nil"/>
            </w:tcBorders>
            <w:hideMark/>
          </w:tcPr>
          <w:p w14:paraId="1D02CCA1" w14:textId="77777777" w:rsidR="0084631E" w:rsidRDefault="0084631E">
            <w:pPr>
              <w:keepNext/>
              <w:keepLines/>
              <w:tabs>
                <w:tab w:val="right" w:pos="9623"/>
              </w:tabs>
              <w:suppressAutoHyphens w:val="0"/>
              <w:spacing w:line="240" w:lineRule="auto"/>
              <w:jc w:val="center"/>
              <w:outlineLvl w:val="8"/>
              <w:rPr>
                <w:b/>
                <w:bCs/>
              </w:rPr>
            </w:pPr>
            <w:r>
              <w:rPr>
                <w:b/>
                <w:bCs/>
              </w:rPr>
              <w:t xml:space="preserve">PACKING INSTRUCTION </w:t>
            </w:r>
          </w:p>
        </w:tc>
        <w:tc>
          <w:tcPr>
            <w:tcW w:w="852" w:type="dxa"/>
            <w:tcBorders>
              <w:top w:val="single" w:sz="4" w:space="0" w:color="auto"/>
              <w:left w:val="nil"/>
              <w:bottom w:val="single" w:sz="2" w:space="0" w:color="auto"/>
              <w:right w:val="single" w:sz="2" w:space="0" w:color="auto"/>
            </w:tcBorders>
            <w:hideMark/>
          </w:tcPr>
          <w:p w14:paraId="0F70ECAC" w14:textId="77777777" w:rsidR="0084631E" w:rsidRDefault="0084631E">
            <w:pPr>
              <w:keepNext/>
              <w:keepLines/>
              <w:tabs>
                <w:tab w:val="right" w:pos="9623"/>
              </w:tabs>
              <w:suppressAutoHyphens w:val="0"/>
              <w:spacing w:line="240" w:lineRule="auto"/>
              <w:ind w:right="57"/>
              <w:jc w:val="right"/>
              <w:outlineLvl w:val="8"/>
              <w:rPr>
                <w:b/>
                <w:bCs/>
              </w:rPr>
            </w:pPr>
            <w:r>
              <w:rPr>
                <w:b/>
                <w:bCs/>
              </w:rPr>
              <w:t>P621</w:t>
            </w:r>
          </w:p>
        </w:tc>
      </w:tr>
      <w:tr w:rsidR="0084631E" w14:paraId="2A521A94" w14:textId="77777777" w:rsidTr="0084631E">
        <w:trPr>
          <w:cantSplit/>
          <w:trHeight w:val="65"/>
        </w:trPr>
        <w:tc>
          <w:tcPr>
            <w:tcW w:w="9641" w:type="dxa"/>
            <w:gridSpan w:val="3"/>
            <w:tcBorders>
              <w:top w:val="single" w:sz="2" w:space="0" w:color="auto"/>
              <w:left w:val="single" w:sz="2" w:space="0" w:color="auto"/>
              <w:bottom w:val="single" w:sz="2" w:space="0" w:color="auto"/>
              <w:right w:val="single" w:sz="2" w:space="0" w:color="auto"/>
            </w:tcBorders>
            <w:tcMar>
              <w:top w:w="0" w:type="dxa"/>
              <w:left w:w="64" w:type="dxa"/>
              <w:bottom w:w="0" w:type="dxa"/>
              <w:right w:w="64" w:type="dxa"/>
            </w:tcMar>
            <w:hideMark/>
          </w:tcPr>
          <w:p w14:paraId="3ED91D9E" w14:textId="77777777" w:rsidR="0084631E" w:rsidRDefault="0084631E">
            <w:pPr>
              <w:keepNext/>
              <w:keepLines/>
              <w:suppressAutoHyphens w:val="0"/>
              <w:spacing w:before="40" w:after="40" w:line="240" w:lineRule="auto"/>
              <w:jc w:val="both"/>
            </w:pPr>
            <w:r>
              <w:t>This instruction applies to UN No. 3291.</w:t>
            </w:r>
          </w:p>
        </w:tc>
      </w:tr>
      <w:tr w:rsidR="0084631E" w14:paraId="42C554E2" w14:textId="77777777" w:rsidTr="0084631E">
        <w:trPr>
          <w:cantSplit/>
          <w:trHeight w:val="4614"/>
        </w:trPr>
        <w:tc>
          <w:tcPr>
            <w:tcW w:w="9641" w:type="dxa"/>
            <w:gridSpan w:val="3"/>
            <w:tcBorders>
              <w:top w:val="single" w:sz="2" w:space="0" w:color="auto"/>
              <w:left w:val="single" w:sz="2" w:space="0" w:color="auto"/>
              <w:bottom w:val="single" w:sz="2" w:space="0" w:color="auto"/>
              <w:right w:val="single" w:sz="2" w:space="0" w:color="auto"/>
            </w:tcBorders>
            <w:tcMar>
              <w:top w:w="0" w:type="dxa"/>
              <w:left w:w="64" w:type="dxa"/>
              <w:bottom w:w="0" w:type="dxa"/>
              <w:right w:w="64" w:type="dxa"/>
            </w:tcMar>
          </w:tcPr>
          <w:p w14:paraId="2AD273FD" w14:textId="77777777" w:rsidR="0084631E" w:rsidRDefault="0084631E">
            <w:pPr>
              <w:keepNext/>
              <w:tabs>
                <w:tab w:val="left" w:pos="0"/>
              </w:tabs>
              <w:suppressAutoHyphens w:val="0"/>
              <w:spacing w:before="40" w:after="40" w:line="240" w:lineRule="auto"/>
              <w:jc w:val="both"/>
            </w:pPr>
            <w:r>
              <w:rPr>
                <w:snapToGrid w:val="0"/>
              </w:rPr>
              <w:t>The following packagings are authorized provided that the general provisions of 4.1.1 except 4.1.1.15 and 4.1.3 are met:</w:t>
            </w:r>
          </w:p>
          <w:p w14:paraId="66B86AAE" w14:textId="77777777" w:rsidR="0084631E" w:rsidRDefault="0084631E">
            <w:pPr>
              <w:keepNext/>
              <w:tabs>
                <w:tab w:val="left" w:pos="566"/>
              </w:tabs>
              <w:suppressAutoHyphens w:val="0"/>
              <w:spacing w:before="40" w:after="40" w:line="240" w:lineRule="auto"/>
              <w:ind w:left="566" w:hanging="566"/>
              <w:jc w:val="both"/>
            </w:pPr>
            <w:r>
              <w:t>(1)</w:t>
            </w:r>
            <w:r>
              <w:tab/>
              <w:t>Provided that there is sufficient absorbent material to absorb the entire amount of liquid present and the packaging is capable of retaining liquids:</w:t>
            </w:r>
            <w:r>
              <w:tab/>
            </w:r>
          </w:p>
          <w:p w14:paraId="4BE170C6" w14:textId="77777777" w:rsidR="0084631E" w:rsidRDefault="0084631E">
            <w:pPr>
              <w:keepNext/>
              <w:tabs>
                <w:tab w:val="left" w:pos="566"/>
              </w:tabs>
              <w:suppressAutoHyphens w:val="0"/>
              <w:spacing w:before="40" w:after="40" w:line="240" w:lineRule="auto"/>
              <w:ind w:left="566" w:hanging="566"/>
              <w:jc w:val="both"/>
            </w:pPr>
            <w:r>
              <w:tab/>
            </w:r>
            <w:r>
              <w:tab/>
            </w:r>
            <w:r>
              <w:tab/>
              <w:t>Drums (</w:t>
            </w:r>
            <w:r>
              <w:rPr>
                <w:u w:val="single"/>
              </w:rPr>
              <w:t>1A1</w:t>
            </w:r>
            <w:r>
              <w:t xml:space="preserve">, 1A2, </w:t>
            </w:r>
            <w:r>
              <w:rPr>
                <w:u w:val="single"/>
              </w:rPr>
              <w:t>1B1</w:t>
            </w:r>
            <w:r>
              <w:t xml:space="preserve">, 1B2, </w:t>
            </w:r>
            <w:r>
              <w:rPr>
                <w:u w:val="single"/>
              </w:rPr>
              <w:t>1N1</w:t>
            </w:r>
            <w:r>
              <w:t xml:space="preserve">, 1N2, </w:t>
            </w:r>
            <w:r>
              <w:rPr>
                <w:u w:val="single"/>
              </w:rPr>
              <w:t>1H1</w:t>
            </w:r>
            <w:r>
              <w:t>, 1H2, 1D, 1G);</w:t>
            </w:r>
          </w:p>
          <w:p w14:paraId="22B0346C" w14:textId="77777777" w:rsidR="0084631E" w:rsidRDefault="0084631E">
            <w:pPr>
              <w:keepNext/>
              <w:tabs>
                <w:tab w:val="left" w:pos="566"/>
              </w:tabs>
              <w:suppressAutoHyphens w:val="0"/>
              <w:spacing w:before="40" w:after="40" w:line="240" w:lineRule="auto"/>
              <w:ind w:left="566" w:hanging="566"/>
              <w:jc w:val="both"/>
            </w:pPr>
            <w:r>
              <w:tab/>
            </w:r>
            <w:r>
              <w:tab/>
            </w:r>
            <w:r>
              <w:tab/>
              <w:t>Boxes (4A, 4B, 4N, 4C1, 4C2, 4D, 4F, 4G, 4H1, 4H2);</w:t>
            </w:r>
          </w:p>
          <w:p w14:paraId="5CD7DA91" w14:textId="77777777" w:rsidR="0084631E" w:rsidRDefault="0084631E">
            <w:pPr>
              <w:keepNext/>
              <w:tabs>
                <w:tab w:val="left" w:pos="566"/>
              </w:tabs>
              <w:suppressAutoHyphens w:val="0"/>
              <w:spacing w:before="40" w:after="40" w:line="240" w:lineRule="auto"/>
              <w:ind w:left="566" w:hanging="566"/>
              <w:jc w:val="both"/>
            </w:pPr>
            <w:r>
              <w:tab/>
            </w:r>
            <w:r>
              <w:tab/>
            </w:r>
            <w:r>
              <w:tab/>
              <w:t>Jerricans (</w:t>
            </w:r>
            <w:r>
              <w:rPr>
                <w:u w:val="single"/>
              </w:rPr>
              <w:t>3A1</w:t>
            </w:r>
            <w:r>
              <w:t xml:space="preserve">, 3A2, </w:t>
            </w:r>
            <w:r>
              <w:rPr>
                <w:u w:val="single"/>
              </w:rPr>
              <w:t>3B1</w:t>
            </w:r>
            <w:r>
              <w:t xml:space="preserve">, 3B2, </w:t>
            </w:r>
            <w:r>
              <w:rPr>
                <w:u w:val="single"/>
              </w:rPr>
              <w:t>3H1</w:t>
            </w:r>
            <w:r>
              <w:t>, 3H2).</w:t>
            </w:r>
          </w:p>
          <w:p w14:paraId="5FE8C384" w14:textId="77777777" w:rsidR="0084631E" w:rsidRDefault="0084631E">
            <w:pPr>
              <w:keepNext/>
              <w:keepLines/>
              <w:suppressAutoHyphens w:val="0"/>
              <w:spacing w:before="120" w:line="240" w:lineRule="auto"/>
              <w:ind w:left="566" w:hanging="540"/>
              <w:jc w:val="both"/>
            </w:pPr>
            <w:r>
              <w:tab/>
              <w:t>Packagings shall conform to the packing group II performance level for solids.</w:t>
            </w:r>
          </w:p>
          <w:p w14:paraId="7FA18CCB" w14:textId="77777777" w:rsidR="0084631E" w:rsidRDefault="0084631E">
            <w:pPr>
              <w:keepNext/>
              <w:keepLines/>
              <w:suppressAutoHyphens w:val="0"/>
              <w:spacing w:before="120" w:line="240" w:lineRule="auto"/>
              <w:ind w:left="566" w:hanging="540"/>
              <w:jc w:val="both"/>
            </w:pPr>
          </w:p>
          <w:p w14:paraId="73A352E3" w14:textId="77777777" w:rsidR="0084631E" w:rsidRDefault="0084631E">
            <w:pPr>
              <w:keepNext/>
              <w:tabs>
                <w:tab w:val="left" w:pos="566"/>
              </w:tabs>
              <w:suppressAutoHyphens w:val="0"/>
              <w:spacing w:before="40" w:after="40" w:line="240" w:lineRule="auto"/>
              <w:ind w:left="566" w:hanging="566"/>
              <w:jc w:val="both"/>
            </w:pPr>
            <w:r>
              <w:t>(2)</w:t>
            </w:r>
            <w:r>
              <w:tab/>
              <w:t>For packages containing larger quantities of liquid:</w:t>
            </w:r>
          </w:p>
          <w:p w14:paraId="5BAFB424" w14:textId="77777777" w:rsidR="0084631E" w:rsidRDefault="0084631E">
            <w:pPr>
              <w:keepNext/>
              <w:tabs>
                <w:tab w:val="left" w:pos="566"/>
              </w:tabs>
              <w:suppressAutoHyphens w:val="0"/>
              <w:spacing w:before="40" w:after="40" w:line="240" w:lineRule="auto"/>
              <w:ind w:left="566" w:hanging="566"/>
              <w:jc w:val="both"/>
            </w:pPr>
            <w:r>
              <w:tab/>
            </w:r>
            <w:r>
              <w:tab/>
            </w:r>
            <w:r>
              <w:tab/>
              <w:t>Drums (1A1, 1A2, 1B1, 1B2, 1N1, 1N2, 1H1, 1H2, 1D, 1G);</w:t>
            </w:r>
          </w:p>
          <w:p w14:paraId="7E9EB5A5" w14:textId="77777777" w:rsidR="0084631E" w:rsidRDefault="0084631E">
            <w:pPr>
              <w:keepNext/>
              <w:tabs>
                <w:tab w:val="left" w:pos="566"/>
              </w:tabs>
              <w:suppressAutoHyphens w:val="0"/>
              <w:spacing w:before="40" w:after="40" w:line="240" w:lineRule="auto"/>
              <w:ind w:left="566" w:hanging="566"/>
              <w:jc w:val="both"/>
            </w:pPr>
            <w:r>
              <w:tab/>
            </w:r>
            <w:r>
              <w:tab/>
            </w:r>
            <w:r>
              <w:tab/>
              <w:t>Jerricans (3A1, 3A2, 3B1, 3B2, 3H1, 3H2);</w:t>
            </w:r>
          </w:p>
          <w:p w14:paraId="29AB82B7" w14:textId="77777777" w:rsidR="0084631E" w:rsidRDefault="0084631E">
            <w:pPr>
              <w:keepNext/>
              <w:tabs>
                <w:tab w:val="left" w:pos="566"/>
              </w:tabs>
              <w:suppressAutoHyphens w:val="0"/>
              <w:spacing w:before="40" w:after="40" w:line="240" w:lineRule="auto"/>
              <w:ind w:left="1134" w:hanging="567"/>
              <w:jc w:val="both"/>
            </w:pPr>
            <w:r>
              <w:tab/>
              <w:t>Composites (6HA1, 6HB1, 6HG1, 6HH1, 6HD1, 6HA2, 6HB2, 6HC, 6HD2, 6HG2, 6HH2, 6PA1, 6PB1, 6PG1, 6PD1, 6PH1, 6PH2, 6PA2, 6PB2, 6PC, 6PG2 or 6PD2).</w:t>
            </w:r>
          </w:p>
          <w:p w14:paraId="33C25F0D" w14:textId="77777777" w:rsidR="0084631E" w:rsidRDefault="0084631E">
            <w:pPr>
              <w:keepNext/>
              <w:keepLines/>
              <w:suppressAutoHyphens w:val="0"/>
              <w:spacing w:before="120" w:line="240" w:lineRule="auto"/>
              <w:ind w:left="566" w:hanging="540"/>
              <w:jc w:val="both"/>
            </w:pPr>
            <w:r>
              <w:tab/>
              <w:t>Packagings shall conform to the packing group II performance level for liquids.</w:t>
            </w:r>
          </w:p>
        </w:tc>
      </w:tr>
      <w:tr w:rsidR="0084631E" w14:paraId="080A87D0" w14:textId="77777777" w:rsidTr="0084631E">
        <w:trPr>
          <w:cantSplit/>
          <w:trHeight w:val="1050"/>
        </w:trPr>
        <w:tc>
          <w:tcPr>
            <w:tcW w:w="9641" w:type="dxa"/>
            <w:gridSpan w:val="3"/>
            <w:tcBorders>
              <w:top w:val="single" w:sz="2" w:space="0" w:color="auto"/>
              <w:left w:val="single" w:sz="2" w:space="0" w:color="auto"/>
              <w:bottom w:val="single" w:sz="2" w:space="0" w:color="auto"/>
              <w:right w:val="single" w:sz="2" w:space="0" w:color="auto"/>
            </w:tcBorders>
            <w:tcMar>
              <w:top w:w="0" w:type="dxa"/>
              <w:left w:w="64" w:type="dxa"/>
              <w:bottom w:w="0" w:type="dxa"/>
              <w:right w:w="64" w:type="dxa"/>
            </w:tcMar>
            <w:hideMark/>
          </w:tcPr>
          <w:p w14:paraId="27562FCE" w14:textId="77777777" w:rsidR="0084631E" w:rsidRDefault="0084631E">
            <w:pPr>
              <w:suppressAutoHyphens w:val="0"/>
              <w:spacing w:before="120" w:line="240" w:lineRule="auto"/>
              <w:jc w:val="both"/>
              <w:rPr>
                <w:b/>
              </w:rPr>
            </w:pPr>
            <w:r>
              <w:rPr>
                <w:b/>
                <w:bCs/>
              </w:rPr>
              <w:t>Additional req</w:t>
            </w:r>
            <w:r>
              <w:rPr>
                <w:b/>
              </w:rPr>
              <w:t>uirement:</w:t>
            </w:r>
          </w:p>
          <w:p w14:paraId="3074B32D" w14:textId="77777777" w:rsidR="0084631E" w:rsidRDefault="0084631E">
            <w:pPr>
              <w:suppressAutoHyphens w:val="0"/>
              <w:spacing w:before="120" w:line="240" w:lineRule="auto"/>
              <w:jc w:val="both"/>
            </w:pPr>
            <w:r>
              <w:t>Packagings intended to contain sharp objects such as broken glass and needles shall be resistant to puncture and retain liquids under the performance test conditions in Chapter 6.1.</w:t>
            </w:r>
          </w:p>
        </w:tc>
      </w:tr>
    </w:tbl>
    <w:p w14:paraId="0931AE74" w14:textId="4AB471C3" w:rsidR="0084631E" w:rsidRPr="0084631E" w:rsidRDefault="0084631E" w:rsidP="0084631E">
      <w:pPr>
        <w:spacing w:before="240"/>
        <w:jc w:val="center"/>
        <w:rPr>
          <w:u w:val="single"/>
        </w:rPr>
      </w:pPr>
      <w:r>
        <w:rPr>
          <w:u w:val="single"/>
        </w:rPr>
        <w:tab/>
      </w:r>
      <w:r>
        <w:rPr>
          <w:u w:val="single"/>
        </w:rPr>
        <w:tab/>
      </w:r>
      <w:r>
        <w:rPr>
          <w:u w:val="single"/>
        </w:rPr>
        <w:tab/>
      </w:r>
    </w:p>
    <w:sectPr w:rsidR="0084631E" w:rsidRPr="0084631E" w:rsidSect="001737FA">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5E3B" w14:textId="77777777" w:rsidR="001737FA" w:rsidRPr="00C47B2E" w:rsidRDefault="001737FA" w:rsidP="00C47B2E">
      <w:pPr>
        <w:pStyle w:val="Footer"/>
      </w:pPr>
    </w:p>
  </w:endnote>
  <w:endnote w:type="continuationSeparator" w:id="0">
    <w:p w14:paraId="058CFE65" w14:textId="77777777" w:rsidR="001737FA" w:rsidRPr="00C47B2E" w:rsidRDefault="001737FA" w:rsidP="00C47B2E">
      <w:pPr>
        <w:pStyle w:val="Footer"/>
      </w:pPr>
    </w:p>
  </w:endnote>
  <w:endnote w:type="continuationNotice" w:id="1">
    <w:p w14:paraId="09560482"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p w14:paraId="0F279098" w14:textId="77777777" w:rsidR="007647C5" w:rsidRDefault="00764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C5DE4" w:rsidRDefault="001737FA" w:rsidP="001C5DE4">
    <w:pPr>
      <w:pStyle w:val="Footer"/>
      <w:tabs>
        <w:tab w:val="left" w:pos="5775"/>
        <w:tab w:val="right" w:pos="9598"/>
        <w:tab w:val="right" w:pos="9638"/>
      </w:tabs>
      <w:jc w:val="right"/>
      <w:rPr>
        <w:b/>
        <w:bCs/>
        <w:sz w:val="18"/>
      </w:rPr>
    </w:pPr>
    <w:r w:rsidRPr="001C5DE4">
      <w:rPr>
        <w:b/>
        <w:bCs/>
        <w:sz w:val="18"/>
      </w:rPr>
      <w:tab/>
    </w:r>
    <w:r w:rsidRPr="001C5DE4">
      <w:rPr>
        <w:b/>
        <w:bCs/>
        <w:sz w:val="18"/>
      </w:rPr>
      <w:fldChar w:fldCharType="begin"/>
    </w:r>
    <w:r w:rsidRPr="001C5DE4">
      <w:rPr>
        <w:b/>
        <w:bCs/>
        <w:sz w:val="18"/>
      </w:rPr>
      <w:instrText xml:space="preserve"> PAGE  \* MERGEFORMAT </w:instrText>
    </w:r>
    <w:r w:rsidRPr="001C5DE4">
      <w:rPr>
        <w:b/>
        <w:bCs/>
        <w:sz w:val="18"/>
      </w:rPr>
      <w:fldChar w:fldCharType="separate"/>
    </w:r>
    <w:r w:rsidRPr="001C5DE4">
      <w:rPr>
        <w:b/>
        <w:bCs/>
        <w:noProof/>
        <w:sz w:val="18"/>
      </w:rPr>
      <w:t>3</w:t>
    </w:r>
    <w:r w:rsidRPr="001C5DE4">
      <w:rPr>
        <w:b/>
        <w:bCs/>
        <w:sz w:val="18"/>
      </w:rPr>
      <w:fldChar w:fldCharType="end"/>
    </w:r>
  </w:p>
  <w:p w14:paraId="45698D0C" w14:textId="77777777" w:rsidR="007647C5" w:rsidRDefault="007647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4E48"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3EF2BB80"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5999B86B" w14:textId="77777777" w:rsidR="001737FA" w:rsidRPr="00C47B2E" w:rsidRDefault="001737FA" w:rsidP="00C47B2E">
      <w:pPr>
        <w:pStyle w:val="Footer"/>
      </w:pPr>
    </w:p>
  </w:footnote>
  <w:footnote w:id="2">
    <w:p w14:paraId="6A5CDEA1" w14:textId="28D51054" w:rsidR="0084631E" w:rsidRPr="0084631E" w:rsidRDefault="0084631E" w:rsidP="0084631E">
      <w:pPr>
        <w:pStyle w:val="FootnoteText"/>
        <w:tabs>
          <w:tab w:val="left" w:pos="1418"/>
        </w:tabs>
        <w:ind w:firstLine="0"/>
        <w:rPr>
          <w:lang w:val="fr-CH"/>
        </w:rPr>
      </w:pPr>
      <w:r>
        <w:rPr>
          <w:rStyle w:val="FootnoteReference"/>
        </w:rPr>
        <w:footnoteRef/>
      </w:r>
      <w:r>
        <w:t xml:space="preserve"> </w:t>
      </w:r>
      <w:r>
        <w:tab/>
      </w:r>
      <w:r>
        <w:rPr>
          <w:lang w:val="en-US"/>
        </w:rPr>
        <w:t>2020 (A/74/6 (Sect.20) and Supplementary, Subprogramme 2</w:t>
      </w:r>
      <w:r w:rsidR="00B034A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33571AC1" w:rsidR="001737FA" w:rsidRPr="00DE2F3E" w:rsidRDefault="00DE2F3E" w:rsidP="00DE2F3E">
    <w:pPr>
      <w:pStyle w:val="Header"/>
      <w:rPr>
        <w:lang w:val="fr-CH"/>
      </w:rPr>
    </w:pPr>
    <w:r>
      <w:rPr>
        <w:lang w:val="fr-CH"/>
      </w:rPr>
      <w:t>ST/SG/AC.10/C.3/2020/</w:t>
    </w:r>
    <w:r w:rsidR="00894F7A">
      <w:rPr>
        <w:lang w:val="fr-CH"/>
      </w:rPr>
      <w:t>2</w:t>
    </w:r>
    <w:r w:rsidR="0084631E">
      <w:rPr>
        <w:lang w:val="fr-CH"/>
      </w:rPr>
      <w:t>4</w:t>
    </w:r>
  </w:p>
  <w:p w14:paraId="647B5FB4" w14:textId="77777777" w:rsidR="007647C5" w:rsidRDefault="007647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5A47C6FF" w:rsidR="00D94B05" w:rsidRPr="009F5AC4" w:rsidRDefault="009F5AC4" w:rsidP="009F5AC4">
    <w:pPr>
      <w:pStyle w:val="Header"/>
      <w:pBdr>
        <w:bottom w:val="single" w:sz="4" w:space="1" w:color="auto"/>
      </w:pBdr>
      <w:jc w:val="right"/>
      <w:rPr>
        <w:lang w:val="fr-CH"/>
      </w:rPr>
    </w:pPr>
    <w:r>
      <w:rPr>
        <w:lang w:val="fr-CH"/>
      </w:rPr>
      <w:t>ST/SG/AC.10/C.3/2020/18</w:t>
    </w:r>
  </w:p>
  <w:p w14:paraId="3E1E86CB" w14:textId="77777777" w:rsidR="007647C5" w:rsidRDefault="007647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9F5A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40574"/>
    <w:multiLevelType w:val="hybridMultilevel"/>
    <w:tmpl w:val="3B20AAA2"/>
    <w:lvl w:ilvl="0" w:tplc="671C1AD2">
      <w:start w:val="1"/>
      <w:numFmt w:val="decimal"/>
      <w:lvlText w:val="%1."/>
      <w:lvlJc w:val="left"/>
      <w:pPr>
        <w:ind w:left="1130" w:hanging="563"/>
      </w:pPr>
    </w:lvl>
    <w:lvl w:ilvl="1" w:tplc="08130019">
      <w:start w:val="1"/>
      <w:numFmt w:val="lowerLetter"/>
      <w:lvlText w:val="%2."/>
      <w:lvlJc w:val="left"/>
      <w:pPr>
        <w:ind w:left="1647" w:hanging="360"/>
      </w:pPr>
    </w:lvl>
    <w:lvl w:ilvl="2" w:tplc="0813001B">
      <w:start w:val="1"/>
      <w:numFmt w:val="lowerRoman"/>
      <w:lvlText w:val="%3."/>
      <w:lvlJc w:val="right"/>
      <w:pPr>
        <w:ind w:left="2367" w:hanging="180"/>
      </w:pPr>
    </w:lvl>
    <w:lvl w:ilvl="3" w:tplc="0813000F">
      <w:start w:val="1"/>
      <w:numFmt w:val="decimal"/>
      <w:lvlText w:val="%4."/>
      <w:lvlJc w:val="left"/>
      <w:pPr>
        <w:ind w:left="3087" w:hanging="360"/>
      </w:pPr>
    </w:lvl>
    <w:lvl w:ilvl="4" w:tplc="08130019">
      <w:start w:val="1"/>
      <w:numFmt w:val="lowerLetter"/>
      <w:lvlText w:val="%5."/>
      <w:lvlJc w:val="left"/>
      <w:pPr>
        <w:ind w:left="3807" w:hanging="360"/>
      </w:pPr>
    </w:lvl>
    <w:lvl w:ilvl="5" w:tplc="0813001B">
      <w:start w:val="1"/>
      <w:numFmt w:val="lowerRoman"/>
      <w:lvlText w:val="%6."/>
      <w:lvlJc w:val="right"/>
      <w:pPr>
        <w:ind w:left="4527" w:hanging="180"/>
      </w:pPr>
    </w:lvl>
    <w:lvl w:ilvl="6" w:tplc="0813000F">
      <w:start w:val="1"/>
      <w:numFmt w:val="decimal"/>
      <w:lvlText w:val="%7."/>
      <w:lvlJc w:val="left"/>
      <w:pPr>
        <w:ind w:left="5247" w:hanging="360"/>
      </w:pPr>
    </w:lvl>
    <w:lvl w:ilvl="7" w:tplc="08130019">
      <w:start w:val="1"/>
      <w:numFmt w:val="lowerLetter"/>
      <w:lvlText w:val="%8."/>
      <w:lvlJc w:val="left"/>
      <w:pPr>
        <w:ind w:left="5967" w:hanging="360"/>
      </w:pPr>
    </w:lvl>
    <w:lvl w:ilvl="8" w:tplc="0813001B">
      <w:start w:val="1"/>
      <w:numFmt w:val="lowerRoman"/>
      <w:lvlText w:val="%9."/>
      <w:lvlJc w:val="right"/>
      <w:pPr>
        <w:ind w:left="6687"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0"/>
  </w:num>
  <w:num w:numId="5">
    <w:abstractNumId w:val="12"/>
  </w:num>
  <w:num w:numId="6">
    <w:abstractNumId w:val="14"/>
  </w:num>
  <w:num w:numId="7">
    <w:abstractNumId w:val="4"/>
  </w:num>
  <w:num w:numId="8">
    <w:abstractNumId w:val="1"/>
  </w:num>
  <w:num w:numId="9">
    <w:abstractNumId w:val="13"/>
  </w:num>
  <w:num w:numId="10">
    <w:abstractNumId w:val="1"/>
  </w:num>
  <w:num w:numId="11">
    <w:abstractNumId w:val="13"/>
  </w:num>
  <w:num w:numId="12">
    <w:abstractNumId w:val="3"/>
  </w:num>
  <w:num w:numId="13">
    <w:abstractNumId w:val="3"/>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23843"/>
    <w:rsid w:val="00046E92"/>
    <w:rsid w:val="00063C90"/>
    <w:rsid w:val="00101B98"/>
    <w:rsid w:val="001514D1"/>
    <w:rsid w:val="001737FA"/>
    <w:rsid w:val="00177AA2"/>
    <w:rsid w:val="00193C36"/>
    <w:rsid w:val="001C5DE4"/>
    <w:rsid w:val="00247E2C"/>
    <w:rsid w:val="002A32CB"/>
    <w:rsid w:val="002D5B2C"/>
    <w:rsid w:val="002D6C53"/>
    <w:rsid w:val="002F5595"/>
    <w:rsid w:val="00334F6A"/>
    <w:rsid w:val="00342AC8"/>
    <w:rsid w:val="00343302"/>
    <w:rsid w:val="003720CF"/>
    <w:rsid w:val="003979DE"/>
    <w:rsid w:val="003B4550"/>
    <w:rsid w:val="003D2A18"/>
    <w:rsid w:val="00413386"/>
    <w:rsid w:val="00461253"/>
    <w:rsid w:val="00472FDB"/>
    <w:rsid w:val="004858F5"/>
    <w:rsid w:val="004A2814"/>
    <w:rsid w:val="004C0622"/>
    <w:rsid w:val="005042C2"/>
    <w:rsid w:val="00543938"/>
    <w:rsid w:val="005D1420"/>
    <w:rsid w:val="005E716E"/>
    <w:rsid w:val="006476E1"/>
    <w:rsid w:val="006604DF"/>
    <w:rsid w:val="00671529"/>
    <w:rsid w:val="006C7125"/>
    <w:rsid w:val="0070489D"/>
    <w:rsid w:val="007268F9"/>
    <w:rsid w:val="00750282"/>
    <w:rsid w:val="00764440"/>
    <w:rsid w:val="007647C5"/>
    <w:rsid w:val="0077101B"/>
    <w:rsid w:val="007C52B0"/>
    <w:rsid w:val="007C6033"/>
    <w:rsid w:val="008147C8"/>
    <w:rsid w:val="0081753A"/>
    <w:rsid w:val="008205C5"/>
    <w:rsid w:val="00826D82"/>
    <w:rsid w:val="0084631E"/>
    <w:rsid w:val="00857D23"/>
    <w:rsid w:val="00894F7A"/>
    <w:rsid w:val="008B5D09"/>
    <w:rsid w:val="008E44D7"/>
    <w:rsid w:val="00923706"/>
    <w:rsid w:val="009313E2"/>
    <w:rsid w:val="009411B4"/>
    <w:rsid w:val="00946F1D"/>
    <w:rsid w:val="0094745E"/>
    <w:rsid w:val="009D0139"/>
    <w:rsid w:val="009D717D"/>
    <w:rsid w:val="009F5AC4"/>
    <w:rsid w:val="009F5CDC"/>
    <w:rsid w:val="00A072D7"/>
    <w:rsid w:val="00A37835"/>
    <w:rsid w:val="00A775CF"/>
    <w:rsid w:val="00AD1A9C"/>
    <w:rsid w:val="00AF5DE1"/>
    <w:rsid w:val="00B034A6"/>
    <w:rsid w:val="00B06045"/>
    <w:rsid w:val="00B206DD"/>
    <w:rsid w:val="00B23D25"/>
    <w:rsid w:val="00B52EF4"/>
    <w:rsid w:val="00B65761"/>
    <w:rsid w:val="00B777AD"/>
    <w:rsid w:val="00C03015"/>
    <w:rsid w:val="00C0358D"/>
    <w:rsid w:val="00C35A27"/>
    <w:rsid w:val="00C47B2E"/>
    <w:rsid w:val="00D63CD2"/>
    <w:rsid w:val="00D80E6D"/>
    <w:rsid w:val="00D87DC2"/>
    <w:rsid w:val="00D94B05"/>
    <w:rsid w:val="00DE2F3E"/>
    <w:rsid w:val="00DE79B1"/>
    <w:rsid w:val="00DF5B6A"/>
    <w:rsid w:val="00E02C2B"/>
    <w:rsid w:val="00E21C27"/>
    <w:rsid w:val="00E26BCF"/>
    <w:rsid w:val="00E52109"/>
    <w:rsid w:val="00E75317"/>
    <w:rsid w:val="00E86487"/>
    <w:rsid w:val="00EC0CE6"/>
    <w:rsid w:val="00EC7C1D"/>
    <w:rsid w:val="00ED6C48"/>
    <w:rsid w:val="00EE3045"/>
    <w:rsid w:val="00F65F5D"/>
    <w:rsid w:val="00F8208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D4C121"/>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qFormat/>
    <w:locked/>
    <w:rsid w:val="00DE2F3E"/>
  </w:style>
  <w:style w:type="paragraph" w:customStyle="1" w:styleId="Default">
    <w:name w:val="Default"/>
    <w:rsid w:val="00543938"/>
    <w:pPr>
      <w:autoSpaceDE w:val="0"/>
      <w:autoSpaceDN w:val="0"/>
      <w:adjustRightInd w:val="0"/>
      <w:spacing w:after="0" w:line="240" w:lineRule="auto"/>
    </w:pPr>
    <w:rPr>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 w:id="1371105844">
      <w:bodyDiv w:val="1"/>
      <w:marLeft w:val="0"/>
      <w:marRight w:val="0"/>
      <w:marTop w:val="0"/>
      <w:marBottom w:val="0"/>
      <w:divBdr>
        <w:top w:val="none" w:sz="0" w:space="0" w:color="auto"/>
        <w:left w:val="none" w:sz="0" w:space="0" w:color="auto"/>
        <w:bottom w:val="none" w:sz="0" w:space="0" w:color="auto"/>
        <w:right w:val="none" w:sz="0" w:space="0" w:color="auto"/>
      </w:divBdr>
    </w:div>
    <w:div w:id="19036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e/url?sa=i&amp;url=https%3A%2F%2Fwww.carlroth.com%2Fcom%2Fen%2Fwaste-disposal-containers%2Fneedle-collector-kontamed-chen%2Fp%2Fha52.1&amp;psig=AOvVaw2tzde824ylWyDFgAwZIAl9&amp;ust=1585824837067000&amp;source=images&amp;cd=vfe&amp;ved=0CAIQjRxqFwoTCIDsrIeIx-gCFQAAAAAdAAAAAB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5F7B6.187F6B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78AF-0F99-487E-BCF2-F43D43D7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19</TotalTime>
  <Pages>2</Pages>
  <Words>490</Words>
  <Characters>2663</Characters>
  <Application>Microsoft Office Word</Application>
  <DocSecurity>0</DocSecurity>
  <Lines>65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6</cp:revision>
  <cp:lastPrinted>2020-04-07T13:31:00Z</cp:lastPrinted>
  <dcterms:created xsi:type="dcterms:W3CDTF">2020-04-02T15:19:00Z</dcterms:created>
  <dcterms:modified xsi:type="dcterms:W3CDTF">2020-04-07T13:34:00Z</dcterms:modified>
</cp:coreProperties>
</file>