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264CBA" w14:paraId="55C32BE0" w14:textId="77777777" w:rsidTr="00F01738">
        <w:trPr>
          <w:trHeight w:hRule="exact" w:val="851"/>
        </w:trPr>
        <w:tc>
          <w:tcPr>
            <w:tcW w:w="1276" w:type="dxa"/>
            <w:tcBorders>
              <w:bottom w:val="single" w:sz="4" w:space="0" w:color="auto"/>
            </w:tcBorders>
          </w:tcPr>
          <w:p w14:paraId="467C6168" w14:textId="77777777" w:rsidR="00132EA9" w:rsidRPr="00DB58B5" w:rsidRDefault="00132EA9" w:rsidP="00264CBA">
            <w:bookmarkStart w:id="0" w:name="_GoBack"/>
            <w:bookmarkEnd w:id="0"/>
          </w:p>
        </w:tc>
        <w:tc>
          <w:tcPr>
            <w:tcW w:w="2268" w:type="dxa"/>
            <w:tcBorders>
              <w:bottom w:val="single" w:sz="4" w:space="0" w:color="auto"/>
            </w:tcBorders>
            <w:vAlign w:val="bottom"/>
          </w:tcPr>
          <w:p w14:paraId="2CB1B829"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8F2CD85" w14:textId="77777777" w:rsidR="00264CBA" w:rsidRPr="00264CBA" w:rsidRDefault="00264CBA" w:rsidP="00264CBA">
            <w:pPr>
              <w:jc w:val="right"/>
              <w:rPr>
                <w:lang w:val="en-US"/>
              </w:rPr>
            </w:pPr>
            <w:r w:rsidRPr="00264CBA">
              <w:rPr>
                <w:sz w:val="40"/>
                <w:lang w:val="en-US"/>
              </w:rPr>
              <w:t>ST</w:t>
            </w:r>
            <w:r w:rsidRPr="00264CBA">
              <w:rPr>
                <w:lang w:val="en-US"/>
              </w:rPr>
              <w:t>/SG/AC.10/C.3/2020/23−</w:t>
            </w:r>
            <w:r w:rsidRPr="00264CBA">
              <w:rPr>
                <w:sz w:val="40"/>
                <w:lang w:val="en-US"/>
              </w:rPr>
              <w:t>ST</w:t>
            </w:r>
            <w:r w:rsidRPr="00264CBA">
              <w:rPr>
                <w:lang w:val="en-US"/>
              </w:rPr>
              <w:t>/SG/AC.10/C.4/2020/8</w:t>
            </w:r>
          </w:p>
        </w:tc>
      </w:tr>
      <w:tr w:rsidR="00132EA9" w:rsidRPr="00DB58B5" w14:paraId="48F2716B" w14:textId="77777777" w:rsidTr="00F01738">
        <w:trPr>
          <w:trHeight w:hRule="exact" w:val="2835"/>
        </w:trPr>
        <w:tc>
          <w:tcPr>
            <w:tcW w:w="1276" w:type="dxa"/>
            <w:tcBorders>
              <w:top w:val="single" w:sz="4" w:space="0" w:color="auto"/>
              <w:bottom w:val="single" w:sz="12" w:space="0" w:color="auto"/>
            </w:tcBorders>
          </w:tcPr>
          <w:p w14:paraId="3B7711EF" w14:textId="77777777" w:rsidR="00132EA9" w:rsidRPr="00DB58B5" w:rsidRDefault="00132EA9" w:rsidP="00F01738">
            <w:pPr>
              <w:spacing w:before="120"/>
              <w:jc w:val="center"/>
            </w:pPr>
            <w:r>
              <w:rPr>
                <w:noProof/>
                <w:lang w:eastAsia="fr-CH"/>
              </w:rPr>
              <w:drawing>
                <wp:inline distT="0" distB="0" distL="0" distR="0" wp14:anchorId="05639D81" wp14:editId="599E0BF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F7C454"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933C7CB" w14:textId="77777777" w:rsidR="00132EA9" w:rsidRDefault="00264CBA" w:rsidP="00F01738">
            <w:pPr>
              <w:spacing w:before="240"/>
            </w:pPr>
            <w:proofErr w:type="spellStart"/>
            <w:r>
              <w:t>Distr</w:t>
            </w:r>
            <w:proofErr w:type="spellEnd"/>
            <w:r>
              <w:t>. générale</w:t>
            </w:r>
          </w:p>
          <w:p w14:paraId="5284AB8F" w14:textId="77777777" w:rsidR="00264CBA" w:rsidRDefault="00264CBA" w:rsidP="00264CBA">
            <w:pPr>
              <w:spacing w:line="240" w:lineRule="exact"/>
            </w:pPr>
            <w:r>
              <w:t>7 avril 2020</w:t>
            </w:r>
          </w:p>
          <w:p w14:paraId="46B66DAE" w14:textId="77777777" w:rsidR="00264CBA" w:rsidRDefault="00264CBA" w:rsidP="00264CBA">
            <w:pPr>
              <w:spacing w:line="240" w:lineRule="exact"/>
            </w:pPr>
            <w:r>
              <w:t>Français</w:t>
            </w:r>
          </w:p>
          <w:p w14:paraId="5F9A9928" w14:textId="77777777" w:rsidR="00264CBA" w:rsidRPr="00DB58B5" w:rsidRDefault="00264CBA" w:rsidP="00264CBA">
            <w:pPr>
              <w:spacing w:line="240" w:lineRule="exact"/>
            </w:pPr>
            <w:r>
              <w:t>Original : anglais</w:t>
            </w:r>
          </w:p>
        </w:tc>
      </w:tr>
    </w:tbl>
    <w:p w14:paraId="17F5E034" w14:textId="77777777" w:rsidR="00264CBA" w:rsidRPr="00CA0680" w:rsidRDefault="00264CBA"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264CBA" w14:paraId="618E402E" w14:textId="77777777" w:rsidTr="009C3129">
        <w:tc>
          <w:tcPr>
            <w:tcW w:w="4820" w:type="dxa"/>
          </w:tcPr>
          <w:p w14:paraId="4EA6E58F" w14:textId="77777777" w:rsidR="00264CBA" w:rsidRDefault="00264CBA" w:rsidP="009C3129">
            <w:pPr>
              <w:spacing w:before="120"/>
              <w:rPr>
                <w:b/>
              </w:rPr>
            </w:pPr>
            <w:r w:rsidRPr="00CA0680">
              <w:rPr>
                <w:b/>
              </w:rPr>
              <w:t>Sous</w:t>
            </w:r>
            <w:r>
              <w:rPr>
                <w:b/>
              </w:rPr>
              <w:t>-</w:t>
            </w:r>
            <w:r w:rsidRPr="00CA0680">
              <w:rPr>
                <w:b/>
              </w:rPr>
              <w:t>Comité d’experts du transport</w:t>
            </w:r>
            <w:r>
              <w:rPr>
                <w:b/>
              </w:rPr>
              <w:br/>
            </w:r>
            <w:r w:rsidRPr="00CA0680">
              <w:rPr>
                <w:b/>
              </w:rPr>
              <w:t>des marchandises dangereuses</w:t>
            </w:r>
          </w:p>
        </w:tc>
        <w:tc>
          <w:tcPr>
            <w:tcW w:w="4820" w:type="dxa"/>
          </w:tcPr>
          <w:p w14:paraId="73C18167" w14:textId="77777777" w:rsidR="00264CBA" w:rsidRDefault="00264CBA" w:rsidP="009C3129">
            <w:pPr>
              <w:spacing w:before="120"/>
              <w:rPr>
                <w:b/>
              </w:rPr>
            </w:pPr>
            <w:r>
              <w:rPr>
                <w:b/>
              </w:rPr>
              <w:t>Sous-Comité d’experts du Système général harmonisé de classification et d’étiquetage des produits chimiques</w:t>
            </w:r>
          </w:p>
        </w:tc>
      </w:tr>
      <w:tr w:rsidR="00264CBA" w14:paraId="4FA85AF0" w14:textId="77777777" w:rsidTr="009C3129">
        <w:tc>
          <w:tcPr>
            <w:tcW w:w="4820" w:type="dxa"/>
          </w:tcPr>
          <w:p w14:paraId="294116FA" w14:textId="77777777" w:rsidR="00264CBA" w:rsidRPr="00CA0680" w:rsidRDefault="00264CBA" w:rsidP="009C3129">
            <w:pPr>
              <w:spacing w:before="120"/>
              <w:rPr>
                <w:b/>
              </w:rPr>
            </w:pPr>
            <w:r>
              <w:rPr>
                <w:b/>
              </w:rPr>
              <w:t xml:space="preserve">Cinquante-septième </w:t>
            </w:r>
            <w:r w:rsidRPr="00CA0680">
              <w:rPr>
                <w:b/>
              </w:rPr>
              <w:t>session</w:t>
            </w:r>
          </w:p>
        </w:tc>
        <w:tc>
          <w:tcPr>
            <w:tcW w:w="4820" w:type="dxa"/>
          </w:tcPr>
          <w:p w14:paraId="411B4EBC" w14:textId="77777777" w:rsidR="00264CBA" w:rsidRDefault="00264CBA" w:rsidP="009C3129">
            <w:pPr>
              <w:spacing w:before="120"/>
              <w:rPr>
                <w:b/>
              </w:rPr>
            </w:pPr>
            <w:r>
              <w:rPr>
                <w:b/>
              </w:rPr>
              <w:t>Trente-neuvième session</w:t>
            </w:r>
          </w:p>
        </w:tc>
      </w:tr>
      <w:tr w:rsidR="00264CBA" w14:paraId="3C48C6E8" w14:textId="77777777" w:rsidTr="009C3129">
        <w:tc>
          <w:tcPr>
            <w:tcW w:w="4820" w:type="dxa"/>
          </w:tcPr>
          <w:p w14:paraId="08B57E76" w14:textId="77777777" w:rsidR="00264CBA" w:rsidRDefault="00264CBA" w:rsidP="009C3129">
            <w:r>
              <w:t xml:space="preserve">Genève, </w:t>
            </w:r>
            <w:r>
              <w:rPr>
                <w:lang w:val="fr-FR"/>
              </w:rPr>
              <w:t>29 juin-8 juillet 2020</w:t>
            </w:r>
          </w:p>
          <w:p w14:paraId="35C11D1B" w14:textId="77777777" w:rsidR="00264CBA" w:rsidRPr="003B79D9" w:rsidRDefault="00264CBA" w:rsidP="00264CBA">
            <w:pPr>
              <w:rPr>
                <w:b/>
              </w:rPr>
            </w:pPr>
            <w:r>
              <w:t>Point 10 a) de l’ordre du jour provisoire</w:t>
            </w:r>
          </w:p>
        </w:tc>
        <w:tc>
          <w:tcPr>
            <w:tcW w:w="4820" w:type="dxa"/>
          </w:tcPr>
          <w:p w14:paraId="4C865D0A" w14:textId="77777777" w:rsidR="00264CBA" w:rsidRDefault="00264CBA" w:rsidP="009C3129">
            <w:r>
              <w:t xml:space="preserve">Genève, </w:t>
            </w:r>
            <w:r>
              <w:rPr>
                <w:lang w:val="fr-FR"/>
              </w:rPr>
              <w:t>8-10 juillet 2020</w:t>
            </w:r>
          </w:p>
          <w:p w14:paraId="59AC265E" w14:textId="77777777" w:rsidR="00264CBA" w:rsidRPr="003B79D9" w:rsidRDefault="00264CBA" w:rsidP="00264CBA">
            <w:pPr>
              <w:rPr>
                <w:b/>
              </w:rPr>
            </w:pPr>
            <w:r>
              <w:t>Point 2 b) de l’ordre du jour provisoire</w:t>
            </w:r>
          </w:p>
        </w:tc>
      </w:tr>
      <w:tr w:rsidR="00264CBA" w14:paraId="5406E1AB" w14:textId="77777777" w:rsidTr="009C3129">
        <w:tc>
          <w:tcPr>
            <w:tcW w:w="4820" w:type="dxa"/>
          </w:tcPr>
          <w:p w14:paraId="4F037531" w14:textId="77777777" w:rsidR="00264CBA" w:rsidRDefault="00264CBA" w:rsidP="009C3129">
            <w:r>
              <w:rPr>
                <w:b/>
                <w:bCs/>
                <w:lang w:val="fr-FR"/>
              </w:rPr>
              <w:t>Questions relatives au Système général harmonisé de classification et d’étiquetage des produits chimiques : Révision du chapitre 2.1</w:t>
            </w:r>
          </w:p>
        </w:tc>
        <w:tc>
          <w:tcPr>
            <w:tcW w:w="4820" w:type="dxa"/>
          </w:tcPr>
          <w:p w14:paraId="52B3BA82" w14:textId="77777777" w:rsidR="00264CBA" w:rsidRDefault="00264CBA" w:rsidP="009C3129">
            <w:r>
              <w:rPr>
                <w:b/>
                <w:bCs/>
                <w:lang w:val="fr-FR"/>
              </w:rPr>
              <w:t>Critères de classification et communication des dangers y relatifs : Révision du chapitre 2.1</w:t>
            </w:r>
          </w:p>
        </w:tc>
      </w:tr>
    </w:tbl>
    <w:p w14:paraId="270C5229" w14:textId="77777777" w:rsidR="00264CBA" w:rsidRPr="004977DA" w:rsidRDefault="00264CBA" w:rsidP="00264CBA">
      <w:pPr>
        <w:pStyle w:val="HChG"/>
        <w:rPr>
          <w:lang w:val="fr-FR"/>
        </w:rPr>
      </w:pPr>
      <w:r>
        <w:rPr>
          <w:lang w:val="fr-FR"/>
        </w:rPr>
        <w:tab/>
      </w:r>
      <w:r>
        <w:rPr>
          <w:lang w:val="fr-FR"/>
        </w:rPr>
        <w:tab/>
      </w:r>
      <w:r>
        <w:rPr>
          <w:bCs/>
          <w:lang w:val="fr-FR"/>
        </w:rPr>
        <w:t>Attribution des conseils de prudence pour le nouveau chapitre 2.1</w:t>
      </w:r>
    </w:p>
    <w:p w14:paraId="1EB8BE19" w14:textId="77777777" w:rsidR="00264CBA" w:rsidRPr="004977DA" w:rsidRDefault="00264CBA" w:rsidP="00264CBA">
      <w:pPr>
        <w:pStyle w:val="H1G"/>
        <w:rPr>
          <w:lang w:val="fr-FR"/>
        </w:rPr>
      </w:pPr>
      <w:r>
        <w:rPr>
          <w:lang w:val="fr-FR"/>
        </w:rPr>
        <w:tab/>
      </w:r>
      <w:r>
        <w:rPr>
          <w:lang w:val="fr-FR"/>
        </w:rPr>
        <w:tab/>
      </w:r>
      <w:r>
        <w:rPr>
          <w:bCs/>
          <w:lang w:val="fr-FR"/>
        </w:rPr>
        <w:t>Communication de l’expert de la Suède au nom du groupe de travail informel par correspondance chargé de la révision du chapitre 2.1</w:t>
      </w:r>
      <w:r w:rsidRPr="00264CBA">
        <w:rPr>
          <w:rStyle w:val="FootnoteReference"/>
          <w:b w:val="0"/>
          <w:bCs/>
          <w:sz w:val="20"/>
          <w:vertAlign w:val="baseline"/>
          <w:lang w:val="fr-FR"/>
        </w:rPr>
        <w:footnoteReference w:customMarkFollows="1" w:id="2"/>
        <w:t>*</w:t>
      </w:r>
    </w:p>
    <w:p w14:paraId="30617856" w14:textId="77777777" w:rsidR="00264CBA" w:rsidRPr="004977DA" w:rsidRDefault="00264CBA" w:rsidP="00264CBA">
      <w:pPr>
        <w:pStyle w:val="HChG"/>
        <w:rPr>
          <w:sz w:val="24"/>
          <w:szCs w:val="24"/>
          <w:lang w:val="fr-FR"/>
        </w:rPr>
      </w:pPr>
      <w:r>
        <w:rPr>
          <w:lang w:val="fr-FR"/>
        </w:rPr>
        <w:tab/>
      </w:r>
      <w:r>
        <w:rPr>
          <w:lang w:val="fr-FR"/>
        </w:rPr>
        <w:tab/>
      </w:r>
      <w:r>
        <w:rPr>
          <w:bCs/>
          <w:lang w:val="fr-FR"/>
        </w:rPr>
        <w:t>Introduction</w:t>
      </w:r>
    </w:p>
    <w:p w14:paraId="26523803" w14:textId="77777777" w:rsidR="00264CBA" w:rsidRPr="004977DA" w:rsidRDefault="00264CBA" w:rsidP="00264CBA">
      <w:pPr>
        <w:pStyle w:val="SingleTxtG"/>
        <w:rPr>
          <w:lang w:val="fr-FR"/>
        </w:rPr>
      </w:pPr>
      <w:r>
        <w:rPr>
          <w:lang w:val="fr-FR"/>
        </w:rPr>
        <w:t>1.</w:t>
      </w:r>
      <w:r>
        <w:rPr>
          <w:lang w:val="fr-FR"/>
        </w:rPr>
        <w:tab/>
        <w:t>Le document ST/SG/AC.10/C.3/2020/20-ST/SG/AC.10/C.4/2020/5 contient une proposition de nouveau chapitre 2.1 pour le Système général harmonisé de classification et d’étiquetage des produits chimiques (SGH). Comme ce chapitre propose un nouveau système de classification, les conseils de prudence actuellement utilisés pour les explosifs doivent être réattribués aux classifications du nouveau système. Le présent document contient les attributions envisagées. En outre, un nouveau conseil de prudence est également proposé afin d’indiquer la division pour le transport sur l’étiquette du SGH.</w:t>
      </w:r>
    </w:p>
    <w:p w14:paraId="3B3B8A7B" w14:textId="77777777" w:rsidR="00264CBA" w:rsidRPr="004977DA" w:rsidRDefault="00264CBA" w:rsidP="00264CBA">
      <w:pPr>
        <w:pStyle w:val="SingleTxtG"/>
        <w:rPr>
          <w:lang w:val="fr-FR"/>
        </w:rPr>
      </w:pPr>
      <w:r>
        <w:rPr>
          <w:lang w:val="fr-FR"/>
        </w:rPr>
        <w:t>2.</w:t>
      </w:r>
      <w:r>
        <w:rPr>
          <w:lang w:val="fr-FR"/>
        </w:rPr>
        <w:tab/>
        <w:t>Tout comme le texte complet du nouveau chapitre 2.1, les propositions de conseils de prudence présentées ici sont le fruit des débats tenus au sein du groupe de travail informel par correspondance chargé de la révision du chapitre 2.1 du SGH. Le présent document, qui a été transmis aux membres du groupe, est donc soumis au nom du groupe de travail.</w:t>
      </w:r>
    </w:p>
    <w:p w14:paraId="763C5DC8" w14:textId="77777777" w:rsidR="00264CBA" w:rsidRPr="00BF45AA" w:rsidRDefault="00264CBA" w:rsidP="00BF45AA">
      <w:pPr>
        <w:pStyle w:val="SingleTxtG"/>
      </w:pPr>
      <w:r>
        <w:rPr>
          <w:lang w:val="fr-FR"/>
        </w:rPr>
        <w:t>3.</w:t>
      </w:r>
      <w:r>
        <w:rPr>
          <w:lang w:val="fr-FR"/>
        </w:rPr>
        <w:tab/>
        <w:t>L’attribution des conseils de prudence ainsi que leur libellé et leur codification sont établis à la section 3 de l’annexe 3 du SGH (</w:t>
      </w:r>
      <w:r w:rsidR="00BF45AA">
        <w:rPr>
          <w:lang w:val="fr-FR"/>
        </w:rPr>
        <w:t>8</w:t>
      </w:r>
      <w:r w:rsidR="00BF45AA" w:rsidRPr="00BF45AA">
        <w:rPr>
          <w:vertAlign w:val="superscript"/>
          <w:lang w:val="fr-FR"/>
        </w:rPr>
        <w:t>e</w:t>
      </w:r>
      <w:r w:rsidR="00BF45AA">
        <w:rPr>
          <w:lang w:val="fr-FR"/>
        </w:rPr>
        <w:t> éd.</w:t>
      </w:r>
      <w:r>
        <w:rPr>
          <w:lang w:val="fr-FR"/>
        </w:rPr>
        <w:t xml:space="preserve"> révisée). Étant donné que les conseils de prudence ne figurent pas dans le Règlement type de l’ONU pour le transport des marchandises dangereuses ni dans le Manuel d’épreuves et de critères, les propositions présentées ici n’ont aucun effet sur ces documents.</w:t>
      </w:r>
    </w:p>
    <w:p w14:paraId="04E6BE57" w14:textId="77777777" w:rsidR="00264CBA" w:rsidRPr="004977DA" w:rsidRDefault="00264CBA" w:rsidP="00264CBA">
      <w:pPr>
        <w:pStyle w:val="H1G"/>
        <w:rPr>
          <w:lang w:val="fr-FR"/>
        </w:rPr>
      </w:pPr>
      <w:r>
        <w:rPr>
          <w:lang w:val="fr-FR"/>
        </w:rPr>
        <w:lastRenderedPageBreak/>
        <w:tab/>
      </w:r>
      <w:r>
        <w:rPr>
          <w:lang w:val="fr-FR"/>
        </w:rPr>
        <w:tab/>
      </w:r>
      <w:r>
        <w:rPr>
          <w:bCs/>
          <w:lang w:val="fr-FR"/>
        </w:rPr>
        <w:t>Principe directeur général</w:t>
      </w:r>
    </w:p>
    <w:p w14:paraId="2320CCAD" w14:textId="77777777" w:rsidR="00264CBA" w:rsidRPr="004977DA" w:rsidRDefault="00264CBA" w:rsidP="00264CBA">
      <w:pPr>
        <w:pStyle w:val="SingleTxtG"/>
        <w:rPr>
          <w:lang w:val="fr-FR"/>
        </w:rPr>
      </w:pPr>
      <w:r>
        <w:rPr>
          <w:lang w:val="fr-FR"/>
        </w:rPr>
        <w:t>4.</w:t>
      </w:r>
      <w:r>
        <w:rPr>
          <w:lang w:val="fr-FR"/>
        </w:rPr>
        <w:tab/>
        <w:t>En règle générale, dans la proposition présentée ici, les conseils de prudence existants pour les explosifs ont été attribués au nouveau système de classification de telle sorte qu’ils correspondent le plus possible à l’application actuelle. Toutefois, il a fallu déroger à ce principe général dans certains cas, pour des raisons qui seront précisées plus loin.</w:t>
      </w:r>
    </w:p>
    <w:p w14:paraId="3C58BDBF" w14:textId="77777777" w:rsidR="00264CBA" w:rsidRPr="004977DA" w:rsidRDefault="00264CBA" w:rsidP="00264CBA">
      <w:pPr>
        <w:pStyle w:val="SingleTxtG"/>
        <w:rPr>
          <w:lang w:val="fr-FR"/>
        </w:rPr>
      </w:pPr>
      <w:r>
        <w:rPr>
          <w:lang w:val="fr-FR"/>
        </w:rPr>
        <w:t>5.</w:t>
      </w:r>
      <w:r>
        <w:rPr>
          <w:lang w:val="fr-FR"/>
        </w:rPr>
        <w:tab/>
        <w:t>Des membres du groupe de travail avaient des idées pour améliorer le libellé de certains conseils de prudence. Cependant, afin de respecter le calendrier établi dans le programme de travail</w:t>
      </w:r>
      <w:r>
        <w:rPr>
          <w:rStyle w:val="FootnoteReference"/>
          <w:lang w:val="fr-FR"/>
        </w:rPr>
        <w:footnoteReference w:id="3"/>
      </w:r>
      <w:r>
        <w:rPr>
          <w:lang w:val="fr-FR"/>
        </w:rPr>
        <w:t>, cela n’a pas été fait (mais cela pourrait bien entendu être fait ultérieurement). De plus, les conditions d’utilisation ont été conservées telles quelles, sauf dans un cas (pour les conseils de prudence relatifs à la lutte contre l’incendie) où elles ont été supprimées car elles devenaient superflues dans le nouveau système de classification (voir le paragraphe 10 ci-dessous).</w:t>
      </w:r>
    </w:p>
    <w:p w14:paraId="33742B5E" w14:textId="77777777" w:rsidR="00264CBA" w:rsidRPr="00994E82" w:rsidRDefault="00264CBA" w:rsidP="00264CBA">
      <w:pPr>
        <w:pStyle w:val="H1G"/>
        <w:rPr>
          <w:lang w:val="fr-FR"/>
        </w:rPr>
      </w:pPr>
      <w:r>
        <w:rPr>
          <w:lang w:val="fr-FR"/>
        </w:rPr>
        <w:tab/>
      </w:r>
      <w:r>
        <w:rPr>
          <w:lang w:val="fr-FR"/>
        </w:rPr>
        <w:tab/>
      </w:r>
      <w:r>
        <w:rPr>
          <w:bCs/>
          <w:lang w:val="fr-FR"/>
        </w:rPr>
        <w:t>Précision concernant la division 1.6</w:t>
      </w:r>
    </w:p>
    <w:p w14:paraId="0AB08CF8" w14:textId="77777777" w:rsidR="00264CBA" w:rsidRPr="004977DA" w:rsidRDefault="00264CBA" w:rsidP="00264CBA">
      <w:pPr>
        <w:pStyle w:val="SingleTxtG"/>
        <w:rPr>
          <w:lang w:val="fr-FR"/>
        </w:rPr>
      </w:pPr>
      <w:r>
        <w:rPr>
          <w:lang w:val="fr-FR"/>
        </w:rPr>
        <w:t>6.</w:t>
      </w:r>
      <w:r>
        <w:rPr>
          <w:lang w:val="fr-FR"/>
        </w:rPr>
        <w:tab/>
        <w:t>L’actuel chapitre 2.1 ne prévoit aucun élément de communication des dangers pour les explosifs affectés à la division 1.6 (voir le tableau 2.1.2 de la huitième édition révisée du SGH). Par conséquent, aucun conseil de prudence n’est attribué à cette division non plus. Dans le nouveau chapitre 2.1, les explosifs affectés à la division 1.6 seront traités de la même manière que ceux affectés aux divisions 1.1, 1.2, 1.3 et 1.5, ce qui signifie qu’ils seront classés dans la sous-catégorie 2A. En conséquence, les conseils de prudence attribués à la sous-catégorie 2A dans la proposition ci-après s’appliqueront également aux explosifs affectés à la division 1.6.</w:t>
      </w:r>
    </w:p>
    <w:p w14:paraId="321CB513" w14:textId="77777777" w:rsidR="00264CBA" w:rsidRPr="004977DA" w:rsidRDefault="00264CBA" w:rsidP="00264CBA">
      <w:pPr>
        <w:pStyle w:val="H1G"/>
        <w:rPr>
          <w:lang w:val="fr-FR"/>
        </w:rPr>
      </w:pPr>
      <w:r>
        <w:rPr>
          <w:lang w:val="fr-FR"/>
        </w:rPr>
        <w:tab/>
      </w:r>
      <w:r>
        <w:rPr>
          <w:lang w:val="fr-FR"/>
        </w:rPr>
        <w:tab/>
      </w:r>
      <w:r>
        <w:rPr>
          <w:bCs/>
          <w:lang w:val="fr-FR"/>
        </w:rPr>
        <w:t>Attribution des conseils de prudence existants pour les explosifs</w:t>
      </w:r>
    </w:p>
    <w:p w14:paraId="125B6F79" w14:textId="77777777" w:rsidR="00264CBA" w:rsidRPr="004977DA" w:rsidRDefault="00264CBA" w:rsidP="00264CBA">
      <w:pPr>
        <w:pStyle w:val="SingleTxtG"/>
        <w:rPr>
          <w:lang w:val="fr-FR"/>
        </w:rPr>
      </w:pPr>
      <w:r>
        <w:rPr>
          <w:lang w:val="fr-FR"/>
        </w:rPr>
        <w:t>7.</w:t>
      </w:r>
      <w:r>
        <w:rPr>
          <w:lang w:val="fr-FR"/>
        </w:rPr>
        <w:tab/>
        <w:t>Les quatre conseils de prudence suivants s’appliquent actuellement à toutes les classifications d’explosifs</w:t>
      </w:r>
      <w:r>
        <w:rPr>
          <w:rStyle w:val="FootnoteReference"/>
          <w:lang w:val="fr-FR"/>
        </w:rPr>
        <w:footnoteReference w:id="4"/>
      </w:r>
      <w:r>
        <w:rPr>
          <w:lang w:val="fr-FR"/>
        </w:rPr>
        <w:t> :</w:t>
      </w:r>
    </w:p>
    <w:p w14:paraId="58D03911" w14:textId="77777777" w:rsidR="00264CBA" w:rsidRPr="004977DA" w:rsidRDefault="00264CBA" w:rsidP="00264CBA">
      <w:pPr>
        <w:pStyle w:val="Bullet1G"/>
        <w:numPr>
          <w:ilvl w:val="0"/>
          <w:numId w:val="18"/>
        </w:numPr>
        <w:kinsoku/>
        <w:overflowPunct/>
        <w:autoSpaceDE/>
        <w:autoSpaceDN/>
        <w:adjustRightInd/>
        <w:snapToGrid/>
        <w:rPr>
          <w:lang w:val="fr-FR"/>
        </w:rPr>
      </w:pPr>
      <w:r>
        <w:rPr>
          <w:lang w:val="fr-FR"/>
        </w:rPr>
        <w:t xml:space="preserve">P250 </w:t>
      </w:r>
      <w:r w:rsidR="00D819E9">
        <w:rPr>
          <w:lang w:val="fr-FR"/>
        </w:rPr>
        <w:t xml:space="preserve">− </w:t>
      </w:r>
      <w:r>
        <w:rPr>
          <w:lang w:val="fr-FR"/>
        </w:rPr>
        <w:t>Éviter les abrasions/les chocs/les frottements/...</w:t>
      </w:r>
    </w:p>
    <w:p w14:paraId="472A1F49" w14:textId="77777777" w:rsidR="00264CBA" w:rsidRPr="004977DA" w:rsidRDefault="00264CBA" w:rsidP="00264CBA">
      <w:pPr>
        <w:pStyle w:val="Bullet1G"/>
        <w:numPr>
          <w:ilvl w:val="0"/>
          <w:numId w:val="18"/>
        </w:numPr>
        <w:kinsoku/>
        <w:overflowPunct/>
        <w:autoSpaceDE/>
        <w:autoSpaceDN/>
        <w:adjustRightInd/>
        <w:snapToGrid/>
        <w:rPr>
          <w:lang w:val="fr-FR"/>
        </w:rPr>
      </w:pPr>
      <w:r>
        <w:rPr>
          <w:lang w:val="fr-FR"/>
        </w:rPr>
        <w:t xml:space="preserve">P280 </w:t>
      </w:r>
      <w:r w:rsidR="00D819E9">
        <w:rPr>
          <w:lang w:val="fr-FR"/>
        </w:rPr>
        <w:t xml:space="preserve">− </w:t>
      </w:r>
      <w:r>
        <w:rPr>
          <w:lang w:val="fr-FR"/>
        </w:rPr>
        <w:t>Porter des gants de protection/des vêtements de protection/un équipement de protection des yeux/du visage/auditive/...</w:t>
      </w:r>
    </w:p>
    <w:p w14:paraId="35FF12C1" w14:textId="77777777" w:rsidR="00264CBA" w:rsidRDefault="00264CBA" w:rsidP="00264CBA">
      <w:pPr>
        <w:pStyle w:val="Bullet1G"/>
        <w:numPr>
          <w:ilvl w:val="0"/>
          <w:numId w:val="18"/>
        </w:numPr>
        <w:kinsoku/>
        <w:overflowPunct/>
        <w:autoSpaceDE/>
        <w:autoSpaceDN/>
        <w:adjustRightInd/>
        <w:snapToGrid/>
      </w:pPr>
      <w:r>
        <w:rPr>
          <w:lang w:val="fr-FR"/>
        </w:rPr>
        <w:t xml:space="preserve">P401 </w:t>
      </w:r>
      <w:r w:rsidR="00D819E9">
        <w:rPr>
          <w:lang w:val="fr-FR"/>
        </w:rPr>
        <w:t xml:space="preserve">− </w:t>
      </w:r>
      <w:r>
        <w:rPr>
          <w:lang w:val="fr-FR"/>
        </w:rPr>
        <w:t>Stocker conformément à…</w:t>
      </w:r>
    </w:p>
    <w:p w14:paraId="157F4AC9" w14:textId="77777777" w:rsidR="00264CBA" w:rsidRPr="004977DA" w:rsidRDefault="00264CBA" w:rsidP="00264CBA">
      <w:pPr>
        <w:pStyle w:val="Bullet1G"/>
        <w:numPr>
          <w:ilvl w:val="0"/>
          <w:numId w:val="18"/>
        </w:numPr>
        <w:kinsoku/>
        <w:overflowPunct/>
        <w:autoSpaceDE/>
        <w:autoSpaceDN/>
        <w:adjustRightInd/>
        <w:snapToGrid/>
        <w:rPr>
          <w:lang w:val="fr-FR"/>
        </w:rPr>
      </w:pPr>
      <w:r>
        <w:rPr>
          <w:lang w:val="fr-FR"/>
        </w:rPr>
        <w:t xml:space="preserve">P503 </w:t>
      </w:r>
      <w:r w:rsidR="00D819E9">
        <w:rPr>
          <w:lang w:val="fr-FR"/>
        </w:rPr>
        <w:t xml:space="preserve">− </w:t>
      </w:r>
      <w:r>
        <w:rPr>
          <w:lang w:val="fr-FR"/>
        </w:rPr>
        <w:t>Se reporter au fabricant/fournisseur/... pour des informations concernant l’élimination/la récupération/le recyclage.</w:t>
      </w:r>
    </w:p>
    <w:p w14:paraId="4F64BE3C" w14:textId="77777777" w:rsidR="00264CBA" w:rsidRPr="004977DA" w:rsidRDefault="00264CBA" w:rsidP="003227AA">
      <w:pPr>
        <w:pStyle w:val="SingleTxtG"/>
        <w:tabs>
          <w:tab w:val="left" w:pos="1701"/>
        </w:tabs>
        <w:ind w:firstLine="567"/>
        <w:rPr>
          <w:lang w:val="fr-FR"/>
        </w:rPr>
      </w:pPr>
      <w:r>
        <w:rPr>
          <w:lang w:val="fr-FR"/>
        </w:rPr>
        <w:t>Il est proposé d’appliquer ces conseils de prudence à toutes les classifications également dans le système de classification du nouveau chapitre 2.1 et de conserver la formulation des conditions d’utilisation en vigueur.</w:t>
      </w:r>
    </w:p>
    <w:p w14:paraId="66E2ECFF" w14:textId="77777777" w:rsidR="00264CBA" w:rsidRPr="004977DA" w:rsidRDefault="00264CBA" w:rsidP="00264CBA">
      <w:pPr>
        <w:pStyle w:val="SingleTxtG"/>
        <w:rPr>
          <w:lang w:val="fr-FR"/>
        </w:rPr>
      </w:pPr>
      <w:r>
        <w:rPr>
          <w:lang w:val="fr-FR"/>
        </w:rPr>
        <w:t>8.</w:t>
      </w:r>
      <w:r>
        <w:rPr>
          <w:lang w:val="fr-FR"/>
        </w:rPr>
        <w:tab/>
        <w:t>Les trois conseils de prudence suivants s’appliquent actuellement à toutes les classifications</w:t>
      </w:r>
      <w:r>
        <w:rPr>
          <w:rStyle w:val="FootnoteReference"/>
          <w:lang w:val="fr-FR"/>
        </w:rPr>
        <w:footnoteReference w:id="5"/>
      </w:r>
      <w:r>
        <w:rPr>
          <w:lang w:val="fr-FR"/>
        </w:rPr>
        <w:t>, sauf aux « explosifs instables » :</w:t>
      </w:r>
    </w:p>
    <w:p w14:paraId="2AAACD60" w14:textId="77777777" w:rsidR="00264CBA" w:rsidRPr="004977DA" w:rsidRDefault="00264CBA" w:rsidP="00264CBA">
      <w:pPr>
        <w:pStyle w:val="Bullet1G"/>
        <w:numPr>
          <w:ilvl w:val="0"/>
          <w:numId w:val="18"/>
        </w:numPr>
        <w:kinsoku/>
        <w:overflowPunct/>
        <w:autoSpaceDE/>
        <w:autoSpaceDN/>
        <w:adjustRightInd/>
        <w:snapToGrid/>
        <w:rPr>
          <w:lang w:val="fr-FR"/>
        </w:rPr>
      </w:pPr>
      <w:r>
        <w:rPr>
          <w:lang w:val="fr-FR"/>
        </w:rPr>
        <w:t xml:space="preserve">P210 </w:t>
      </w:r>
      <w:r w:rsidR="00D819E9">
        <w:rPr>
          <w:lang w:val="fr-FR"/>
        </w:rPr>
        <w:t xml:space="preserve">− </w:t>
      </w:r>
      <w:r>
        <w:rPr>
          <w:lang w:val="fr-FR"/>
        </w:rPr>
        <w:t>Tenir à l’écart de la chaleur, des surfaces chaudes, des étincelles, des flammes nues et de toute autre source d’ignition. Ne pas fumer.</w:t>
      </w:r>
    </w:p>
    <w:p w14:paraId="7595B470" w14:textId="77777777" w:rsidR="00264CBA" w:rsidRDefault="00264CBA" w:rsidP="00264CBA">
      <w:pPr>
        <w:pStyle w:val="Bullet1G"/>
        <w:numPr>
          <w:ilvl w:val="0"/>
          <w:numId w:val="18"/>
        </w:numPr>
        <w:kinsoku/>
        <w:overflowPunct/>
        <w:autoSpaceDE/>
        <w:autoSpaceDN/>
        <w:adjustRightInd/>
        <w:snapToGrid/>
      </w:pPr>
      <w:r>
        <w:rPr>
          <w:lang w:val="fr-FR"/>
        </w:rPr>
        <w:t xml:space="preserve">P230 </w:t>
      </w:r>
      <w:r w:rsidR="00D819E9">
        <w:rPr>
          <w:lang w:val="fr-FR"/>
        </w:rPr>
        <w:t xml:space="preserve">− </w:t>
      </w:r>
      <w:r>
        <w:rPr>
          <w:lang w:val="fr-FR"/>
        </w:rPr>
        <w:t>Maintenir humidifié avec...</w:t>
      </w:r>
    </w:p>
    <w:p w14:paraId="0B38215B" w14:textId="77777777" w:rsidR="00264CBA" w:rsidRPr="004977DA" w:rsidRDefault="00264CBA" w:rsidP="00264CBA">
      <w:pPr>
        <w:pStyle w:val="Bullet1G"/>
        <w:numPr>
          <w:ilvl w:val="0"/>
          <w:numId w:val="18"/>
        </w:numPr>
        <w:kinsoku/>
        <w:overflowPunct/>
        <w:autoSpaceDE/>
        <w:autoSpaceDN/>
        <w:adjustRightInd/>
        <w:snapToGrid/>
        <w:rPr>
          <w:lang w:val="fr-FR"/>
        </w:rPr>
      </w:pPr>
      <w:r>
        <w:rPr>
          <w:lang w:val="fr-FR"/>
        </w:rPr>
        <w:t xml:space="preserve">P240 </w:t>
      </w:r>
      <w:r w:rsidR="00D819E9">
        <w:rPr>
          <w:lang w:val="fr-FR"/>
        </w:rPr>
        <w:t xml:space="preserve">− </w:t>
      </w:r>
      <w:r>
        <w:rPr>
          <w:lang w:val="fr-FR"/>
        </w:rPr>
        <w:t>Mise à la terre et liaison équipotentielle du récipient et du matériel de réception.</w:t>
      </w:r>
    </w:p>
    <w:p w14:paraId="03644C7F" w14:textId="77777777" w:rsidR="00264CBA" w:rsidRPr="004977DA" w:rsidRDefault="00264CBA" w:rsidP="003227AA">
      <w:pPr>
        <w:pStyle w:val="SingleTxtG"/>
        <w:tabs>
          <w:tab w:val="left" w:pos="1701"/>
        </w:tabs>
        <w:ind w:firstLine="567"/>
        <w:rPr>
          <w:lang w:val="fr-FR"/>
        </w:rPr>
      </w:pPr>
      <w:r>
        <w:rPr>
          <w:lang w:val="fr-FR"/>
        </w:rPr>
        <w:t xml:space="preserve">Les membres du groupe de travail qui ont activement examiné cette question n’ont pas compris pourquoi ces conseils de prudence ne devraient pas s’appliquer aussi à la </w:t>
      </w:r>
      <w:r>
        <w:rPr>
          <w:lang w:val="fr-FR"/>
        </w:rPr>
        <w:lastRenderedPageBreak/>
        <w:t>classification actuellement appelée « explosifs instables », car ils semblent tout à fait pertinents pour ces explosifs également. Par conséquent, il est proposé d’appliquer ces conseils de prudence à toutes les classifications du nouveau chapitre</w:t>
      </w:r>
      <w:r w:rsidR="00937CA2">
        <w:rPr>
          <w:lang w:val="fr-FR"/>
        </w:rPr>
        <w:t xml:space="preserve"> </w:t>
      </w:r>
      <w:r>
        <w:rPr>
          <w:lang w:val="fr-FR"/>
        </w:rPr>
        <w:t>2.1, y compris aux explosifs de la catégorie 1.</w:t>
      </w:r>
    </w:p>
    <w:p w14:paraId="39D74C99" w14:textId="77777777" w:rsidR="00264CBA" w:rsidRPr="004977DA" w:rsidRDefault="00264CBA" w:rsidP="00264CBA">
      <w:pPr>
        <w:pStyle w:val="SingleTxtG"/>
        <w:rPr>
          <w:lang w:val="fr-FR"/>
        </w:rPr>
      </w:pPr>
      <w:r>
        <w:rPr>
          <w:lang w:val="fr-FR"/>
        </w:rPr>
        <w:t>9.</w:t>
      </w:r>
      <w:r>
        <w:rPr>
          <w:lang w:val="fr-FR"/>
        </w:rPr>
        <w:tab/>
        <w:t>Actuellement, le conseil de prudence suivant s’applique uniquement à la classification des « explosifs instables » :</w:t>
      </w:r>
    </w:p>
    <w:p w14:paraId="13A266B9" w14:textId="77777777" w:rsidR="00264CBA" w:rsidRPr="004977DA" w:rsidRDefault="00264CBA" w:rsidP="00264CBA">
      <w:pPr>
        <w:pStyle w:val="Bullet1G"/>
        <w:numPr>
          <w:ilvl w:val="0"/>
          <w:numId w:val="18"/>
        </w:numPr>
        <w:kinsoku/>
        <w:overflowPunct/>
        <w:autoSpaceDE/>
        <w:autoSpaceDN/>
        <w:adjustRightInd/>
        <w:snapToGrid/>
        <w:rPr>
          <w:lang w:val="fr-FR"/>
        </w:rPr>
      </w:pPr>
      <w:r>
        <w:rPr>
          <w:lang w:val="fr-FR"/>
        </w:rPr>
        <w:t xml:space="preserve">P203 </w:t>
      </w:r>
      <w:r w:rsidR="00937CA2">
        <w:rPr>
          <w:lang w:val="fr-FR"/>
        </w:rPr>
        <w:t xml:space="preserve">− </w:t>
      </w:r>
      <w:r>
        <w:rPr>
          <w:lang w:val="fr-FR"/>
        </w:rPr>
        <w:t>Se procurer, lire et appliquer toutes les instructions de sécurité avant utilisation.</w:t>
      </w:r>
    </w:p>
    <w:p w14:paraId="584B7237" w14:textId="77777777" w:rsidR="00264CBA" w:rsidRPr="004977DA" w:rsidRDefault="00264CBA" w:rsidP="003227AA">
      <w:pPr>
        <w:pStyle w:val="SingleTxtG"/>
        <w:tabs>
          <w:tab w:val="left" w:pos="1701"/>
        </w:tabs>
        <w:ind w:firstLine="567"/>
        <w:rPr>
          <w:lang w:val="fr-FR"/>
        </w:rPr>
      </w:pPr>
      <w:r>
        <w:rPr>
          <w:lang w:val="fr-FR"/>
        </w:rPr>
        <w:t xml:space="preserve">La plupart des membres du groupe de travail qui se sont penchés sur ce point ont jugé approprié d’appliquer ce conseil de prudence plus largement, car il est important, en règle générale, de lire et d’appliquer les instructions de sécurité avant de manipuler des explosifs. Par conséquent, il est proposé d’appliquer le conseil de prudence P203 à toutes les classifications du nouveau chapitre 2.1, à l’exception de la sous-catégorie 2C (matières faiblement dangereuses). </w:t>
      </w:r>
    </w:p>
    <w:p w14:paraId="61698BDC" w14:textId="77777777" w:rsidR="00264CBA" w:rsidRPr="004977DA" w:rsidRDefault="00264CBA" w:rsidP="00264CBA">
      <w:pPr>
        <w:pStyle w:val="SingleTxtG"/>
        <w:rPr>
          <w:lang w:val="fr-FR"/>
        </w:rPr>
      </w:pPr>
      <w:r>
        <w:rPr>
          <w:lang w:val="fr-FR"/>
        </w:rPr>
        <w:t>10.</w:t>
      </w:r>
      <w:r>
        <w:rPr>
          <w:lang w:val="fr-FR"/>
        </w:rPr>
        <w:tab/>
        <w:t>Quelques conseils de prudence forment les deux combinaisons différentes relatives à la lutte contre l’incendie qui s’appliquent actuellement aux explosifs :</w:t>
      </w:r>
    </w:p>
    <w:p w14:paraId="292755A2" w14:textId="77777777" w:rsidR="00264CBA" w:rsidRPr="004977DA" w:rsidRDefault="00264CBA" w:rsidP="00264CBA">
      <w:pPr>
        <w:pStyle w:val="Bullet1G"/>
        <w:numPr>
          <w:ilvl w:val="0"/>
          <w:numId w:val="18"/>
        </w:numPr>
        <w:kinsoku/>
        <w:overflowPunct/>
        <w:autoSpaceDE/>
        <w:autoSpaceDN/>
        <w:adjustRightInd/>
        <w:snapToGrid/>
        <w:rPr>
          <w:lang w:val="fr-FR"/>
        </w:rPr>
      </w:pPr>
      <w:r>
        <w:rPr>
          <w:lang w:val="fr-FR"/>
        </w:rPr>
        <w:t>P370 + P380 + P375 En cas d’incendie : Évacuer la zone. Combattre l’incendie à distance à cause du risque d’explosion.</w:t>
      </w:r>
    </w:p>
    <w:p w14:paraId="650CF21B" w14:textId="77777777" w:rsidR="00264CBA" w:rsidRPr="004977DA" w:rsidRDefault="00264CBA" w:rsidP="00264CBA">
      <w:pPr>
        <w:pStyle w:val="Bullet1G"/>
        <w:numPr>
          <w:ilvl w:val="0"/>
          <w:numId w:val="18"/>
        </w:numPr>
        <w:kinsoku/>
        <w:overflowPunct/>
        <w:autoSpaceDE/>
        <w:autoSpaceDN/>
        <w:adjustRightInd/>
        <w:snapToGrid/>
        <w:rPr>
          <w:lang w:val="fr-FR"/>
        </w:rPr>
      </w:pPr>
      <w:r>
        <w:rPr>
          <w:lang w:val="fr-FR"/>
        </w:rPr>
        <w:t>P370 + P372 + P380 + P373 En cas d’incendie : Risque d’explosion. Évacuer la zone. NE PAS combattre l’incendie lorsque le feu atteint les explosifs.</w:t>
      </w:r>
    </w:p>
    <w:p w14:paraId="3CB0CFDF" w14:textId="77777777" w:rsidR="00264CBA" w:rsidRPr="004977DA" w:rsidRDefault="00264CBA" w:rsidP="003227AA">
      <w:pPr>
        <w:pStyle w:val="SingleTxtG"/>
        <w:tabs>
          <w:tab w:val="left" w:pos="1701"/>
        </w:tabs>
        <w:ind w:firstLine="567"/>
        <w:rPr>
          <w:lang w:val="fr-FR"/>
        </w:rPr>
      </w:pPr>
      <w:r>
        <w:rPr>
          <w:lang w:val="fr-FR"/>
        </w:rPr>
        <w:t>La première combinaison s’applique uniquement aux explosifs affectés à la division 1.4, groupe de compatibilité S (division 1.4S), qui sont emballés pour le transport. Cette classification correspond à un faible danger qui ne rendrait pas difficile la lutte contre l’incendie et qui n’est pas associé à des effets dangereux à l’extérieur du colis</w:t>
      </w:r>
      <w:r>
        <w:rPr>
          <w:rStyle w:val="FootnoteReference"/>
          <w:lang w:val="fr-FR"/>
        </w:rPr>
        <w:footnoteReference w:id="6"/>
      </w:r>
      <w:r>
        <w:rPr>
          <w:lang w:val="fr-FR"/>
        </w:rPr>
        <w:t>. Selon les critères du nouveau chapitre 2.1, la sous-catégorie 2C contient uniquement les explosifs affectés à la division 1.4S dont le comportement présente un « faible danger » y compris dans l’emballage intérieur. Par conséquent, il est proposé d’appliquer la première combinaison de conseils de prudence (P370 + P380 + P375) à la sous-catégorie 2C et de supprimer les conditions d’utilisation. Il est proposé d’appliquer la deuxième combinaison de conseils de prudence (P370 + P372 + P380 + P373) à toutes les autres classifications</w:t>
      </w:r>
      <w:r>
        <w:rPr>
          <w:rStyle w:val="FootnoteReference"/>
          <w:lang w:val="fr-FR"/>
        </w:rPr>
        <w:footnoteReference w:id="7"/>
      </w:r>
      <w:r>
        <w:rPr>
          <w:lang w:val="fr-FR"/>
        </w:rPr>
        <w:t>.</w:t>
      </w:r>
    </w:p>
    <w:p w14:paraId="66238496" w14:textId="77777777" w:rsidR="00264CBA" w:rsidRPr="004977DA" w:rsidRDefault="00264CBA" w:rsidP="00264CBA">
      <w:pPr>
        <w:pStyle w:val="SingleTxtG"/>
        <w:rPr>
          <w:lang w:val="fr-FR"/>
        </w:rPr>
      </w:pPr>
      <w:r>
        <w:rPr>
          <w:lang w:val="fr-FR"/>
        </w:rPr>
        <w:t>11.</w:t>
      </w:r>
      <w:r>
        <w:rPr>
          <w:lang w:val="fr-FR"/>
        </w:rPr>
        <w:tab/>
        <w:t>L’annexe I du présent document contient un tableau récapitulant comment les conseils de prudence applicables aux classifications de l’actuel chapitre 2.1 sont transférés au système de classification du nouveau chapitre 2.1.</w:t>
      </w:r>
    </w:p>
    <w:p w14:paraId="7BA261E1" w14:textId="77777777" w:rsidR="00264CBA" w:rsidRPr="004977DA" w:rsidRDefault="00264CBA" w:rsidP="00264CBA">
      <w:pPr>
        <w:pStyle w:val="H1G"/>
        <w:rPr>
          <w:lang w:val="fr-FR"/>
        </w:rPr>
      </w:pPr>
      <w:r>
        <w:rPr>
          <w:lang w:val="fr-FR"/>
        </w:rPr>
        <w:tab/>
      </w:r>
      <w:r>
        <w:rPr>
          <w:lang w:val="fr-FR"/>
        </w:rPr>
        <w:tab/>
      </w:r>
      <w:r>
        <w:rPr>
          <w:bCs/>
          <w:lang w:val="fr-FR"/>
        </w:rPr>
        <w:t>Conseil P234 et nouveau conseil de prudence relatif à la division</w:t>
      </w:r>
    </w:p>
    <w:p w14:paraId="1F91EA74" w14:textId="77777777" w:rsidR="00264CBA" w:rsidRPr="004977DA" w:rsidRDefault="00264CBA" w:rsidP="00264CBA">
      <w:pPr>
        <w:pStyle w:val="SingleTxtG"/>
        <w:rPr>
          <w:lang w:val="fr-FR"/>
        </w:rPr>
      </w:pPr>
      <w:r>
        <w:rPr>
          <w:lang w:val="fr-FR"/>
        </w:rPr>
        <w:t>12.</w:t>
      </w:r>
      <w:r>
        <w:rPr>
          <w:lang w:val="fr-FR"/>
        </w:rPr>
        <w:tab/>
        <w:t>Le conseil de prudence P234 s’applique actuellement à toutes les classifications</w:t>
      </w:r>
      <w:r>
        <w:rPr>
          <w:rStyle w:val="FootnoteReference"/>
          <w:lang w:val="fr-FR"/>
        </w:rPr>
        <w:footnoteReference w:id="8"/>
      </w:r>
      <w:r>
        <w:rPr>
          <w:lang w:val="fr-FR"/>
        </w:rPr>
        <w:t>, à l’exception des « explosifs instables », c’est-à-dire à tous les explosifs affectés à une division :</w:t>
      </w:r>
    </w:p>
    <w:p w14:paraId="3BDC2567" w14:textId="77777777" w:rsidR="00264CBA" w:rsidRPr="004977DA" w:rsidRDefault="00264CBA" w:rsidP="00264CBA">
      <w:pPr>
        <w:pStyle w:val="Bullet1G"/>
        <w:numPr>
          <w:ilvl w:val="0"/>
          <w:numId w:val="18"/>
        </w:numPr>
        <w:kinsoku/>
        <w:overflowPunct/>
        <w:autoSpaceDE/>
        <w:autoSpaceDN/>
        <w:adjustRightInd/>
        <w:snapToGrid/>
        <w:rPr>
          <w:lang w:val="fr-FR"/>
        </w:rPr>
      </w:pPr>
      <w:r>
        <w:rPr>
          <w:lang w:val="fr-FR"/>
        </w:rPr>
        <w:t>P234 Conserver uniquement dans l’emballage d’origine.</w:t>
      </w:r>
    </w:p>
    <w:p w14:paraId="0793C247" w14:textId="77777777" w:rsidR="00264CBA" w:rsidRPr="004977DA" w:rsidRDefault="00264CBA" w:rsidP="003227AA">
      <w:pPr>
        <w:pStyle w:val="SingleTxtG"/>
        <w:tabs>
          <w:tab w:val="left" w:pos="1701"/>
        </w:tabs>
        <w:ind w:firstLine="567"/>
        <w:rPr>
          <w:lang w:val="fr-FR"/>
        </w:rPr>
      </w:pPr>
      <w:r>
        <w:rPr>
          <w:lang w:val="fr-FR"/>
        </w:rPr>
        <w:t>En ce qui concerne l’attribution de ce conseil de prudence dans le système de classification du nouveau chapitre 2.1, le plus simple serait de l’appliquer à toutes les sous-catégories de la catégorie 2</w:t>
      </w:r>
      <w:r>
        <w:rPr>
          <w:rStyle w:val="FootnoteReference"/>
          <w:lang w:val="fr-FR"/>
        </w:rPr>
        <w:footnoteReference w:id="9"/>
      </w:r>
      <w:r>
        <w:rPr>
          <w:lang w:val="fr-FR"/>
        </w:rPr>
        <w:t xml:space="preserve">. </w:t>
      </w:r>
    </w:p>
    <w:p w14:paraId="4A90D9CF" w14:textId="77777777" w:rsidR="00264CBA" w:rsidRPr="004977DA" w:rsidRDefault="00264CBA" w:rsidP="00264CBA">
      <w:pPr>
        <w:pStyle w:val="SingleTxtG"/>
        <w:rPr>
          <w:lang w:val="fr-FR"/>
        </w:rPr>
      </w:pPr>
      <w:r>
        <w:rPr>
          <w:lang w:val="fr-FR"/>
        </w:rPr>
        <w:t>13.</w:t>
      </w:r>
      <w:r>
        <w:rPr>
          <w:lang w:val="fr-FR"/>
        </w:rPr>
        <w:tab/>
        <w:t>Le groupe de travail a longuement débattu de la manière d’indiquer la division sur l’étiquette du SGH pour les explosifs classés dans la catégorie 2</w:t>
      </w:r>
      <w:r>
        <w:rPr>
          <w:rStyle w:val="FootnoteReference"/>
          <w:lang w:val="fr-FR"/>
        </w:rPr>
        <w:footnoteReference w:id="10"/>
      </w:r>
      <w:r>
        <w:rPr>
          <w:lang w:val="fr-FR"/>
        </w:rPr>
        <w:t xml:space="preserve">. Des membres du groupe </w:t>
      </w:r>
      <w:r>
        <w:rPr>
          <w:lang w:val="fr-FR"/>
        </w:rPr>
        <w:lastRenderedPageBreak/>
        <w:t>tiennent absolument à ce que cette information figure sur l’étiquette du SGH, car il est important de connaître la division pour l’application de la réglementation relative au stockage et aux autres aspects de la manutention d’explosifs (p. ex. permis). Dans le système de classification proposé dans le nouveau chapitre 2.1, les éléments de communication des dangers du SGH ne seront plus appliqués en fonction de la division, et il ne sera donc plus possible de déduire indirectement la division à partir des éléments de communication des dangers du SGH.</w:t>
      </w:r>
    </w:p>
    <w:p w14:paraId="3200C6FF" w14:textId="77777777" w:rsidR="00264CBA" w:rsidRPr="004977DA" w:rsidRDefault="00264CBA" w:rsidP="00264CBA">
      <w:pPr>
        <w:pStyle w:val="SingleTxtG"/>
        <w:rPr>
          <w:sz w:val="24"/>
          <w:szCs w:val="24"/>
          <w:lang w:val="fr-FR"/>
        </w:rPr>
      </w:pPr>
      <w:r>
        <w:rPr>
          <w:lang w:val="fr-FR"/>
        </w:rPr>
        <w:t>14.</w:t>
      </w:r>
      <w:r>
        <w:rPr>
          <w:lang w:val="fr-FR"/>
        </w:rPr>
        <w:tab/>
        <w:t xml:space="preserve">Au cours des débats à ce sujet, il a été récemment suggéré de modifier le conseil de prudence P234 de façon à mentionner la division, pour que celle-ci soit toujours indiquée lorsque le conseil P234 est utilisé. Toutefois, il a été observé que le conseil P234 s’applique également à beaucoup de classifications autres que celles des explosifs et qu’un nouveau conseil de prudence serait donc nécessaire pour ne pas interférer avec ces autres applications du conseil P234. </w:t>
      </w:r>
    </w:p>
    <w:p w14:paraId="62DEF495" w14:textId="77777777" w:rsidR="00264CBA" w:rsidRPr="004977DA" w:rsidRDefault="00264CBA" w:rsidP="00264CBA">
      <w:pPr>
        <w:pStyle w:val="SingleTxtG"/>
        <w:rPr>
          <w:lang w:val="fr-FR"/>
        </w:rPr>
      </w:pPr>
      <w:r>
        <w:rPr>
          <w:lang w:val="fr-FR"/>
        </w:rPr>
        <w:t>15.</w:t>
      </w:r>
      <w:r>
        <w:rPr>
          <w:lang w:val="fr-FR"/>
        </w:rPr>
        <w:tab/>
        <w:t>Certains membres du groupe de travail estiment que la division ne devrait pas être indiquée sur l’étiquette du SGH pour les explosifs affectés à la division 1.4S et classés dans la sous-catégorie 2A. En effet, les explosifs de la division 1.4 ne sont pas très dangereux dans la configuration de transport</w:t>
      </w:r>
      <w:r>
        <w:rPr>
          <w:rStyle w:val="FootnoteReference"/>
          <w:lang w:val="fr-FR"/>
        </w:rPr>
        <w:footnoteReference w:id="11"/>
      </w:r>
      <w:r>
        <w:rPr>
          <w:lang w:val="fr-FR"/>
        </w:rPr>
        <w:t>, alors que ceux de la sous-catégorie 2A sont très dangereux au niveau de l’emballage intérieur. C’est pourquoi ces membres du groupe considèrent qu’une étiquette du SGH comportant la mention « Division 1.4 » sur l’emballage intérieur prêterait à confusion. Toutefois, les autres membres du groupe ne partagent pas cette préoccupation.</w:t>
      </w:r>
    </w:p>
    <w:p w14:paraId="1E59F111" w14:textId="77777777" w:rsidR="00264CBA" w:rsidRPr="004977DA" w:rsidRDefault="00264CBA" w:rsidP="00264CBA">
      <w:pPr>
        <w:pStyle w:val="SingleTxtG"/>
        <w:rPr>
          <w:lang w:val="fr-FR"/>
        </w:rPr>
      </w:pPr>
      <w:r>
        <w:rPr>
          <w:lang w:val="fr-FR"/>
        </w:rPr>
        <w:t>16.</w:t>
      </w:r>
      <w:r>
        <w:rPr>
          <w:lang w:val="fr-FR"/>
        </w:rPr>
        <w:tab/>
        <w:t>De même, en ce qui concerne la mention de la division sur l’étiquette du SGH pour les explosifs classés dans la sous-catégorie 2B ou 2C, les avis sont partagés au sein du groupe de travail au moment de la rédaction de la présente proposition. Certains membres pensent que la division devrait être indiquée sur l’étiquette du SGH pour ces explosifs, car elle donne des renseignements supplémentaires adéquats également au niveau de l’emballage intérieur. D’autres estiment au contraire que ce n’est pas nécessaire, étant donné que les éléments de communication des dangers du SGH sont spécifiques à chaque classification et que la division peut donc être déduite indirectement de l’étiquette du SGH (comme c’est le cas avec les étiquettes du SGH actuelles).</w:t>
      </w:r>
    </w:p>
    <w:p w14:paraId="7B81D318" w14:textId="77777777" w:rsidR="00264CBA" w:rsidRPr="004977DA" w:rsidRDefault="00264CBA" w:rsidP="00264CBA">
      <w:pPr>
        <w:pStyle w:val="SingleTxtG"/>
        <w:rPr>
          <w:sz w:val="24"/>
          <w:szCs w:val="24"/>
          <w:lang w:val="fr-FR"/>
        </w:rPr>
      </w:pPr>
      <w:r>
        <w:rPr>
          <w:lang w:val="fr-FR"/>
        </w:rPr>
        <w:t>17.</w:t>
      </w:r>
      <w:r>
        <w:rPr>
          <w:lang w:val="fr-FR"/>
        </w:rPr>
        <w:tab/>
        <w:t xml:space="preserve">En outre, pour les classifications auxquelles un conseil de prudence indiquant la division doit normalement s’appliquer, le groupe de travail a déterminé que des exemptions étaient nécessaires. Par exemple, dans le cas d’un emballage portant une étiquette de mise en garde pour le transport, un tel conseil de prudence ne serait pas nécessaire car la division est indiquée sur cette étiquette de transport. Dans d’autres cas, la division pour le transport n’est pas connue au moment où l’étiquette du SGH est apposée sur l’emballage intérieur, car elle peut dépendre des différentes configurations de transport. </w:t>
      </w:r>
    </w:p>
    <w:p w14:paraId="3E8C2938" w14:textId="77777777" w:rsidR="00264CBA" w:rsidRPr="004977DA" w:rsidRDefault="00264CBA" w:rsidP="00264CBA">
      <w:pPr>
        <w:pStyle w:val="SingleTxtG"/>
        <w:rPr>
          <w:lang w:val="fr-FR"/>
        </w:rPr>
      </w:pPr>
      <w:r>
        <w:rPr>
          <w:lang w:val="fr-FR"/>
        </w:rPr>
        <w:t>18.</w:t>
      </w:r>
      <w:r>
        <w:rPr>
          <w:lang w:val="fr-FR"/>
        </w:rPr>
        <w:tab/>
        <w:t>Pour répondre aux besoins décrits, il est proposé d’ajouter un nouveau conseil de prudence indiquant uniquement la division pour le transport, qui pourrait porter le numéro P236 :</w:t>
      </w:r>
    </w:p>
    <w:p w14:paraId="22161998" w14:textId="77777777" w:rsidR="00264CBA" w:rsidRPr="004977DA" w:rsidRDefault="00264CBA" w:rsidP="00264CBA">
      <w:pPr>
        <w:pStyle w:val="Bullet1G"/>
        <w:numPr>
          <w:ilvl w:val="0"/>
          <w:numId w:val="18"/>
        </w:numPr>
        <w:kinsoku/>
        <w:overflowPunct/>
        <w:autoSpaceDE/>
        <w:autoSpaceDN/>
        <w:adjustRightInd/>
        <w:snapToGrid/>
        <w:rPr>
          <w:lang w:val="fr-FR"/>
        </w:rPr>
      </w:pPr>
      <w:r>
        <w:rPr>
          <w:lang w:val="fr-FR"/>
        </w:rPr>
        <w:t>P236 Division … dans la configuration de transport.</w:t>
      </w:r>
    </w:p>
    <w:p w14:paraId="44E0A44D" w14:textId="77777777" w:rsidR="00264CBA" w:rsidRPr="004977DA" w:rsidRDefault="00264CBA" w:rsidP="00FD6AFD">
      <w:pPr>
        <w:pStyle w:val="SingleTxtG"/>
        <w:tabs>
          <w:tab w:val="left" w:pos="1701"/>
        </w:tabs>
        <w:ind w:firstLine="567"/>
        <w:rPr>
          <w:lang w:val="fr-FR"/>
        </w:rPr>
      </w:pPr>
      <w:r>
        <w:rPr>
          <w:lang w:val="fr-FR"/>
        </w:rPr>
        <w:t>Ce conseil de prudence pourra être associé au conseil P234 actuel, qui restera inchangé, pour former la combinaison suivante :</w:t>
      </w:r>
    </w:p>
    <w:p w14:paraId="790BEDC5" w14:textId="77777777" w:rsidR="00264CBA" w:rsidRPr="004977DA" w:rsidRDefault="00264CBA" w:rsidP="00264CBA">
      <w:pPr>
        <w:pStyle w:val="Bullet1G"/>
        <w:numPr>
          <w:ilvl w:val="0"/>
          <w:numId w:val="18"/>
        </w:numPr>
        <w:kinsoku/>
        <w:overflowPunct/>
        <w:autoSpaceDE/>
        <w:autoSpaceDN/>
        <w:adjustRightInd/>
        <w:snapToGrid/>
        <w:rPr>
          <w:lang w:val="fr-FR"/>
        </w:rPr>
      </w:pPr>
      <w:r>
        <w:rPr>
          <w:lang w:val="fr-FR"/>
        </w:rPr>
        <w:t>P234 + P236 Conserver uniquement dans l’emballage d’origine. Division … dans la configuration de transport.</w:t>
      </w:r>
    </w:p>
    <w:p w14:paraId="59AD8990" w14:textId="77777777" w:rsidR="00264CBA" w:rsidRPr="004977DA" w:rsidRDefault="00264CBA" w:rsidP="00FD6AFD">
      <w:pPr>
        <w:pStyle w:val="SingleTxtG"/>
        <w:tabs>
          <w:tab w:val="left" w:pos="1701"/>
        </w:tabs>
        <w:ind w:firstLine="567"/>
        <w:rPr>
          <w:lang w:val="fr-FR"/>
        </w:rPr>
      </w:pPr>
      <w:r>
        <w:rPr>
          <w:lang w:val="fr-FR"/>
        </w:rPr>
        <w:t>Ainsi, on pourra attribuer aux explosifs le conseil de prudence P234 ou la combinaison P234 + P236.</w:t>
      </w:r>
    </w:p>
    <w:p w14:paraId="718341D6" w14:textId="77777777" w:rsidR="00264CBA" w:rsidRPr="004977DA" w:rsidRDefault="00264CBA" w:rsidP="00FD6AFD">
      <w:pPr>
        <w:pStyle w:val="SingleTxtG"/>
        <w:tabs>
          <w:tab w:val="left" w:pos="1701"/>
        </w:tabs>
        <w:ind w:firstLine="567"/>
        <w:rPr>
          <w:lang w:val="fr-FR"/>
        </w:rPr>
      </w:pPr>
      <w:r>
        <w:rPr>
          <w:lang w:val="fr-FR"/>
        </w:rPr>
        <w:t>S’agissant de la mention « … », les conditions normales d’utilisation généralement employées dans le SGH pourront probablement être appliquées :</w:t>
      </w:r>
    </w:p>
    <w:p w14:paraId="5381977E" w14:textId="77777777" w:rsidR="00264CBA" w:rsidRPr="004977DA" w:rsidRDefault="00264CBA" w:rsidP="00264CBA">
      <w:pPr>
        <w:pStyle w:val="SingleTxtG"/>
        <w:rPr>
          <w:i/>
          <w:iCs/>
          <w:lang w:val="fr-FR"/>
        </w:rPr>
      </w:pPr>
      <w:r>
        <w:rPr>
          <w:i/>
          <w:iCs/>
          <w:lang w:val="fr-FR"/>
        </w:rPr>
        <w:t>« Il revient au fabricant/fournisseur ou à l’autorité compétente d’indiquer la division pour le transport. »</w:t>
      </w:r>
    </w:p>
    <w:p w14:paraId="2D9D9437" w14:textId="77777777" w:rsidR="00264CBA" w:rsidRPr="004977DA" w:rsidRDefault="00264CBA" w:rsidP="00264CBA">
      <w:pPr>
        <w:pStyle w:val="HChG"/>
        <w:rPr>
          <w:lang w:val="fr-FR"/>
        </w:rPr>
      </w:pPr>
      <w:r>
        <w:rPr>
          <w:lang w:val="fr-FR"/>
        </w:rPr>
        <w:lastRenderedPageBreak/>
        <w:tab/>
      </w:r>
      <w:r>
        <w:rPr>
          <w:lang w:val="fr-FR"/>
        </w:rPr>
        <w:tab/>
        <w:t>Proposition</w:t>
      </w:r>
    </w:p>
    <w:p w14:paraId="114BDAD9" w14:textId="77777777" w:rsidR="00264CBA" w:rsidRPr="004977DA" w:rsidRDefault="00264CBA" w:rsidP="00264CBA">
      <w:pPr>
        <w:pStyle w:val="SingleTxtG"/>
        <w:rPr>
          <w:lang w:val="fr-FR"/>
        </w:rPr>
      </w:pPr>
      <w:r>
        <w:rPr>
          <w:lang w:val="fr-FR"/>
        </w:rPr>
        <w:t>19.</w:t>
      </w:r>
      <w:r>
        <w:rPr>
          <w:lang w:val="fr-FR"/>
        </w:rPr>
        <w:tab/>
        <w:t>Sous réserve que le nouveau chapitre 2.1 soit adopté, il est proposé d’apporter les modifications décrites dans le présent document aux conseils de prudence actuellement appliqués aux explosifs. L’annexe II contient la liste des modifications à apporter pour ce faire.</w:t>
      </w:r>
    </w:p>
    <w:p w14:paraId="26177AA5" w14:textId="77777777" w:rsidR="00264CBA" w:rsidRPr="004977DA" w:rsidRDefault="00264CBA" w:rsidP="00264CBA">
      <w:pPr>
        <w:pStyle w:val="H1G"/>
        <w:rPr>
          <w:lang w:val="fr-FR"/>
        </w:rPr>
      </w:pPr>
      <w:r>
        <w:rPr>
          <w:lang w:val="fr-FR"/>
        </w:rPr>
        <w:tab/>
      </w:r>
      <w:r>
        <w:rPr>
          <w:lang w:val="fr-FR"/>
        </w:rPr>
        <w:tab/>
        <w:t>Autre proposition possible</w:t>
      </w:r>
    </w:p>
    <w:p w14:paraId="6DC8CE2D" w14:textId="77777777" w:rsidR="00264CBA" w:rsidRDefault="00264CBA" w:rsidP="00264CBA">
      <w:pPr>
        <w:pStyle w:val="SingleTxtG"/>
      </w:pPr>
      <w:r>
        <w:rPr>
          <w:lang w:val="fr-FR"/>
        </w:rPr>
        <w:t>20.</w:t>
      </w:r>
      <w:r>
        <w:rPr>
          <w:lang w:val="fr-FR"/>
        </w:rPr>
        <w:tab/>
        <w:t>En ce qui concerne un nouveau conseil de prudence pour indiquer la division sur l’étiquette du SGH, le groupe de travail devra poursuivre ses travaux afin de parvenir à un consensus sur l’application d’un tel conseil de prudence. Un document informel contenant une proposition sur ce point pourra être soumis.</w:t>
      </w:r>
    </w:p>
    <w:p w14:paraId="4B9A8411" w14:textId="77777777" w:rsidR="00264CBA" w:rsidRPr="004977DA" w:rsidRDefault="00264CBA" w:rsidP="00FD4065">
      <w:pPr>
        <w:pStyle w:val="HChG"/>
        <w:spacing w:before="0"/>
        <w:rPr>
          <w:lang w:val="fr-FR"/>
        </w:rPr>
      </w:pPr>
      <w:r>
        <w:br w:type="page"/>
      </w:r>
      <w:r>
        <w:rPr>
          <w:lang w:val="fr-FR"/>
        </w:rPr>
        <w:lastRenderedPageBreak/>
        <w:tab/>
      </w:r>
      <w:r>
        <w:rPr>
          <w:lang w:val="fr-FR"/>
        </w:rPr>
        <w:tab/>
      </w:r>
      <w:r>
        <w:rPr>
          <w:bCs/>
          <w:lang w:val="fr-FR"/>
        </w:rPr>
        <w:t>Annexe I</w:t>
      </w:r>
    </w:p>
    <w:p w14:paraId="01C9536D" w14:textId="77777777" w:rsidR="00264CBA" w:rsidRPr="004977DA" w:rsidRDefault="00264CBA" w:rsidP="00264CBA">
      <w:pPr>
        <w:pStyle w:val="HChG"/>
        <w:rPr>
          <w:lang w:val="fr-FR"/>
        </w:rPr>
      </w:pPr>
      <w:r>
        <w:rPr>
          <w:lang w:val="fr-FR"/>
        </w:rPr>
        <w:tab/>
      </w:r>
      <w:r>
        <w:rPr>
          <w:lang w:val="fr-FR"/>
        </w:rPr>
        <w:tab/>
      </w:r>
      <w:r>
        <w:rPr>
          <w:bCs/>
          <w:lang w:val="fr-FR"/>
        </w:rPr>
        <w:t xml:space="preserve">Tableau d’attribution des conseils de prudence existants </w:t>
      </w:r>
      <w:r w:rsidR="00FD6AFD">
        <w:rPr>
          <w:bCs/>
          <w:lang w:val="fr-FR"/>
        </w:rPr>
        <w:br/>
      </w:r>
      <w:r>
        <w:rPr>
          <w:bCs/>
          <w:lang w:val="fr-FR"/>
        </w:rPr>
        <w:t>pour les explosifs</w:t>
      </w:r>
    </w:p>
    <w:tbl>
      <w:tblPr>
        <w:tblStyle w:val="TableGrid"/>
        <w:tblW w:w="7650" w:type="dxa"/>
        <w:tblInd w:w="1129" w:type="dxa"/>
        <w:tblLayout w:type="fixed"/>
        <w:tblCellMar>
          <w:top w:w="57" w:type="dxa"/>
          <w:left w:w="57" w:type="dxa"/>
          <w:bottom w:w="57" w:type="dxa"/>
          <w:right w:w="57" w:type="dxa"/>
        </w:tblCellMar>
        <w:tblLook w:val="04A0" w:firstRow="1" w:lastRow="0" w:firstColumn="1" w:lastColumn="0" w:noHBand="0" w:noVBand="1"/>
      </w:tblPr>
      <w:tblGrid>
        <w:gridCol w:w="851"/>
        <w:gridCol w:w="991"/>
        <w:gridCol w:w="1133"/>
        <w:gridCol w:w="709"/>
        <w:gridCol w:w="709"/>
        <w:gridCol w:w="708"/>
        <w:gridCol w:w="850"/>
        <w:gridCol w:w="849"/>
        <w:gridCol w:w="850"/>
      </w:tblGrid>
      <w:tr w:rsidR="00264CBA" w:rsidRPr="00CA1B1B" w14:paraId="7796D7C9" w14:textId="77777777" w:rsidTr="00044354">
        <w:trPr>
          <w:trHeight w:val="144"/>
        </w:trPr>
        <w:tc>
          <w:tcPr>
            <w:tcW w:w="851" w:type="dxa"/>
            <w:tcBorders>
              <w:top w:val="single" w:sz="4" w:space="0" w:color="auto"/>
              <w:left w:val="single" w:sz="4" w:space="0" w:color="auto"/>
              <w:bottom w:val="single" w:sz="4" w:space="0" w:color="auto"/>
              <w:right w:val="single" w:sz="18" w:space="0" w:color="auto"/>
            </w:tcBorders>
            <w:vAlign w:val="center"/>
          </w:tcPr>
          <w:p w14:paraId="23922882" w14:textId="77777777" w:rsidR="00264CBA" w:rsidRPr="00CA1B1B" w:rsidRDefault="00264CBA" w:rsidP="00044354">
            <w:pPr>
              <w:spacing w:before="40" w:after="40" w:line="240" w:lineRule="auto"/>
              <w:rPr>
                <w:rFonts w:asciiTheme="majorBidi" w:hAnsiTheme="majorBidi" w:cstheme="majorBidi"/>
                <w:sz w:val="18"/>
                <w:szCs w:val="18"/>
                <w:lang w:val="fr-FR"/>
              </w:rPr>
            </w:pPr>
          </w:p>
        </w:tc>
        <w:tc>
          <w:tcPr>
            <w:tcW w:w="3542" w:type="dxa"/>
            <w:gridSpan w:val="4"/>
            <w:tcBorders>
              <w:top w:val="single" w:sz="4" w:space="0" w:color="auto"/>
              <w:left w:val="single" w:sz="18" w:space="0" w:color="auto"/>
              <w:bottom w:val="single" w:sz="4" w:space="0" w:color="auto"/>
              <w:right w:val="single" w:sz="18" w:space="0" w:color="auto"/>
            </w:tcBorders>
            <w:vAlign w:val="center"/>
            <w:hideMark/>
          </w:tcPr>
          <w:p w14:paraId="3928C7A4" w14:textId="77777777" w:rsidR="00264CBA" w:rsidRPr="00CA1B1B" w:rsidRDefault="00264CBA" w:rsidP="00044354">
            <w:pPr>
              <w:spacing w:before="40" w:after="40" w:line="240" w:lineRule="auto"/>
              <w:jc w:val="center"/>
              <w:rPr>
                <w:rFonts w:asciiTheme="majorBidi" w:hAnsiTheme="majorBidi" w:cstheme="majorBidi"/>
                <w:b/>
                <w:sz w:val="18"/>
                <w:szCs w:val="18"/>
              </w:rPr>
            </w:pPr>
            <w:r>
              <w:rPr>
                <w:b/>
                <w:bCs/>
                <w:lang w:val="fr-FR"/>
              </w:rPr>
              <w:t>Application actuelle</w:t>
            </w:r>
          </w:p>
        </w:tc>
        <w:tc>
          <w:tcPr>
            <w:tcW w:w="3257" w:type="dxa"/>
            <w:gridSpan w:val="4"/>
            <w:tcBorders>
              <w:top w:val="single" w:sz="4" w:space="0" w:color="auto"/>
              <w:left w:val="single" w:sz="18" w:space="0" w:color="auto"/>
              <w:bottom w:val="single" w:sz="4" w:space="0" w:color="auto"/>
              <w:right w:val="single" w:sz="4" w:space="0" w:color="auto"/>
            </w:tcBorders>
            <w:vAlign w:val="center"/>
            <w:hideMark/>
          </w:tcPr>
          <w:p w14:paraId="6C7FA2D6" w14:textId="77777777" w:rsidR="00264CBA" w:rsidRPr="00CA1B1B" w:rsidRDefault="00264CBA" w:rsidP="00044354">
            <w:pPr>
              <w:spacing w:before="40" w:after="40" w:line="240" w:lineRule="auto"/>
              <w:jc w:val="center"/>
              <w:rPr>
                <w:rFonts w:asciiTheme="majorBidi" w:hAnsiTheme="majorBidi" w:cstheme="majorBidi"/>
                <w:b/>
                <w:sz w:val="18"/>
                <w:szCs w:val="18"/>
              </w:rPr>
            </w:pPr>
            <w:r>
              <w:rPr>
                <w:b/>
                <w:bCs/>
                <w:lang w:val="fr-FR"/>
              </w:rPr>
              <w:t>Nouvelle application proposée</w:t>
            </w:r>
          </w:p>
        </w:tc>
      </w:tr>
      <w:tr w:rsidR="00264CBA" w:rsidRPr="00CA1B1B" w14:paraId="3B606C1D" w14:textId="77777777" w:rsidTr="00044354">
        <w:tc>
          <w:tcPr>
            <w:tcW w:w="851" w:type="dxa"/>
            <w:tcBorders>
              <w:top w:val="single" w:sz="4" w:space="0" w:color="auto"/>
              <w:left w:val="single" w:sz="4" w:space="0" w:color="auto"/>
              <w:bottom w:val="single" w:sz="18" w:space="0" w:color="auto"/>
              <w:right w:val="single" w:sz="18" w:space="0" w:color="auto"/>
            </w:tcBorders>
            <w:vAlign w:val="center"/>
          </w:tcPr>
          <w:p w14:paraId="70E13786" w14:textId="77777777" w:rsidR="00264CBA" w:rsidRPr="00CA1B1B" w:rsidRDefault="00264CBA" w:rsidP="00044354">
            <w:pPr>
              <w:spacing w:before="40" w:after="40" w:line="240" w:lineRule="auto"/>
              <w:rPr>
                <w:rFonts w:asciiTheme="majorBidi" w:hAnsiTheme="majorBidi" w:cstheme="majorBidi"/>
                <w:sz w:val="18"/>
                <w:szCs w:val="18"/>
                <w:lang w:val="fr-FR"/>
              </w:rPr>
            </w:pPr>
          </w:p>
        </w:tc>
        <w:tc>
          <w:tcPr>
            <w:tcW w:w="991" w:type="dxa"/>
            <w:tcBorders>
              <w:top w:val="single" w:sz="4" w:space="0" w:color="auto"/>
              <w:left w:val="single" w:sz="18" w:space="0" w:color="auto"/>
              <w:bottom w:val="single" w:sz="18" w:space="0" w:color="auto"/>
              <w:right w:val="single" w:sz="4" w:space="0" w:color="auto"/>
            </w:tcBorders>
            <w:hideMark/>
          </w:tcPr>
          <w:p w14:paraId="0B1BF31D"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Explosifs instables</w:t>
            </w:r>
          </w:p>
        </w:tc>
        <w:tc>
          <w:tcPr>
            <w:tcW w:w="1133" w:type="dxa"/>
            <w:tcBorders>
              <w:top w:val="single" w:sz="4" w:space="0" w:color="auto"/>
              <w:left w:val="single" w:sz="4" w:space="0" w:color="auto"/>
              <w:bottom w:val="single" w:sz="18" w:space="0" w:color="auto"/>
              <w:right w:val="single" w:sz="4" w:space="0" w:color="auto"/>
            </w:tcBorders>
            <w:hideMark/>
          </w:tcPr>
          <w:p w14:paraId="4A4A5482"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1.1, 1.2, 1.3 et 1.5</w:t>
            </w:r>
          </w:p>
        </w:tc>
        <w:tc>
          <w:tcPr>
            <w:tcW w:w="709" w:type="dxa"/>
            <w:tcBorders>
              <w:top w:val="single" w:sz="4" w:space="0" w:color="auto"/>
              <w:left w:val="single" w:sz="4" w:space="0" w:color="auto"/>
              <w:bottom w:val="single" w:sz="18" w:space="0" w:color="auto"/>
              <w:right w:val="single" w:sz="4" w:space="0" w:color="auto"/>
            </w:tcBorders>
            <w:hideMark/>
          </w:tcPr>
          <w:p w14:paraId="2098E92D"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1.4X*</w:t>
            </w:r>
          </w:p>
        </w:tc>
        <w:tc>
          <w:tcPr>
            <w:tcW w:w="709" w:type="dxa"/>
            <w:tcBorders>
              <w:top w:val="single" w:sz="4" w:space="0" w:color="auto"/>
              <w:left w:val="single" w:sz="4" w:space="0" w:color="auto"/>
              <w:bottom w:val="single" w:sz="18" w:space="0" w:color="auto"/>
              <w:right w:val="single" w:sz="18" w:space="0" w:color="auto"/>
            </w:tcBorders>
            <w:hideMark/>
          </w:tcPr>
          <w:p w14:paraId="2536370B"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1.4S</w:t>
            </w:r>
          </w:p>
        </w:tc>
        <w:tc>
          <w:tcPr>
            <w:tcW w:w="708" w:type="dxa"/>
            <w:tcBorders>
              <w:top w:val="single" w:sz="4" w:space="0" w:color="auto"/>
              <w:left w:val="single" w:sz="18" w:space="0" w:color="auto"/>
              <w:bottom w:val="single" w:sz="18" w:space="0" w:color="auto"/>
              <w:right w:val="single" w:sz="4" w:space="0" w:color="auto"/>
            </w:tcBorders>
            <w:hideMark/>
          </w:tcPr>
          <w:p w14:paraId="2BEA76B7"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1</w:t>
            </w:r>
          </w:p>
        </w:tc>
        <w:tc>
          <w:tcPr>
            <w:tcW w:w="850" w:type="dxa"/>
            <w:tcBorders>
              <w:top w:val="single" w:sz="4" w:space="0" w:color="auto"/>
              <w:left w:val="single" w:sz="4" w:space="0" w:color="auto"/>
              <w:bottom w:val="single" w:sz="18" w:space="0" w:color="auto"/>
              <w:right w:val="single" w:sz="4" w:space="0" w:color="auto"/>
            </w:tcBorders>
            <w:hideMark/>
          </w:tcPr>
          <w:p w14:paraId="5CD91C87"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2A</w:t>
            </w:r>
          </w:p>
        </w:tc>
        <w:tc>
          <w:tcPr>
            <w:tcW w:w="849" w:type="dxa"/>
            <w:tcBorders>
              <w:top w:val="single" w:sz="4" w:space="0" w:color="auto"/>
              <w:left w:val="single" w:sz="4" w:space="0" w:color="auto"/>
              <w:bottom w:val="single" w:sz="18" w:space="0" w:color="auto"/>
              <w:right w:val="single" w:sz="4" w:space="0" w:color="auto"/>
            </w:tcBorders>
            <w:hideMark/>
          </w:tcPr>
          <w:p w14:paraId="10283CEA"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2B</w:t>
            </w:r>
          </w:p>
        </w:tc>
        <w:tc>
          <w:tcPr>
            <w:tcW w:w="850" w:type="dxa"/>
            <w:tcBorders>
              <w:top w:val="single" w:sz="4" w:space="0" w:color="auto"/>
              <w:left w:val="single" w:sz="4" w:space="0" w:color="auto"/>
              <w:bottom w:val="single" w:sz="18" w:space="0" w:color="auto"/>
              <w:right w:val="single" w:sz="4" w:space="0" w:color="auto"/>
            </w:tcBorders>
            <w:hideMark/>
          </w:tcPr>
          <w:p w14:paraId="72B596A0"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2C</w:t>
            </w:r>
          </w:p>
        </w:tc>
      </w:tr>
      <w:tr w:rsidR="00264CBA" w:rsidRPr="00CA1B1B" w14:paraId="56007906" w14:textId="77777777" w:rsidTr="00044354">
        <w:trPr>
          <w:trHeight w:val="18"/>
        </w:trPr>
        <w:tc>
          <w:tcPr>
            <w:tcW w:w="851" w:type="dxa"/>
            <w:tcBorders>
              <w:top w:val="single" w:sz="18" w:space="0" w:color="auto"/>
              <w:left w:val="single" w:sz="4" w:space="0" w:color="auto"/>
              <w:bottom w:val="single" w:sz="4" w:space="0" w:color="auto"/>
              <w:right w:val="single" w:sz="18" w:space="0" w:color="auto"/>
            </w:tcBorders>
            <w:vAlign w:val="center"/>
            <w:hideMark/>
          </w:tcPr>
          <w:p w14:paraId="7D207544"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P203</w:t>
            </w:r>
          </w:p>
        </w:tc>
        <w:tc>
          <w:tcPr>
            <w:tcW w:w="991" w:type="dxa"/>
            <w:tcBorders>
              <w:top w:val="single" w:sz="18" w:space="0" w:color="auto"/>
              <w:left w:val="single" w:sz="18" w:space="0" w:color="auto"/>
              <w:bottom w:val="single" w:sz="4" w:space="0" w:color="auto"/>
              <w:right w:val="single" w:sz="4" w:space="0" w:color="auto"/>
            </w:tcBorders>
            <w:vAlign w:val="center"/>
            <w:hideMark/>
          </w:tcPr>
          <w:p w14:paraId="613F9EA6"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1133" w:type="dxa"/>
            <w:tcBorders>
              <w:top w:val="single" w:sz="18" w:space="0" w:color="auto"/>
              <w:left w:val="single" w:sz="4" w:space="0" w:color="auto"/>
              <w:bottom w:val="single" w:sz="4" w:space="0" w:color="auto"/>
              <w:right w:val="single" w:sz="4" w:space="0" w:color="auto"/>
            </w:tcBorders>
            <w:vAlign w:val="center"/>
          </w:tcPr>
          <w:p w14:paraId="60B62457"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709" w:type="dxa"/>
            <w:tcBorders>
              <w:top w:val="single" w:sz="18" w:space="0" w:color="auto"/>
              <w:left w:val="single" w:sz="4" w:space="0" w:color="auto"/>
              <w:bottom w:val="single" w:sz="4" w:space="0" w:color="auto"/>
              <w:right w:val="single" w:sz="4" w:space="0" w:color="auto"/>
            </w:tcBorders>
            <w:vAlign w:val="center"/>
          </w:tcPr>
          <w:p w14:paraId="469CF5DF"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709" w:type="dxa"/>
            <w:tcBorders>
              <w:top w:val="single" w:sz="18" w:space="0" w:color="auto"/>
              <w:left w:val="single" w:sz="4" w:space="0" w:color="auto"/>
              <w:bottom w:val="single" w:sz="4" w:space="0" w:color="auto"/>
              <w:right w:val="single" w:sz="18" w:space="0" w:color="auto"/>
            </w:tcBorders>
            <w:vAlign w:val="center"/>
          </w:tcPr>
          <w:p w14:paraId="0E9144CE"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708" w:type="dxa"/>
            <w:tcBorders>
              <w:top w:val="single" w:sz="18" w:space="0" w:color="auto"/>
              <w:left w:val="single" w:sz="18" w:space="0" w:color="auto"/>
              <w:bottom w:val="single" w:sz="4" w:space="0" w:color="auto"/>
              <w:right w:val="single" w:sz="4" w:space="0" w:color="auto"/>
            </w:tcBorders>
            <w:vAlign w:val="center"/>
            <w:hideMark/>
          </w:tcPr>
          <w:p w14:paraId="76094FAD"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18" w:space="0" w:color="auto"/>
              <w:left w:val="single" w:sz="4" w:space="0" w:color="auto"/>
              <w:bottom w:val="single" w:sz="4" w:space="0" w:color="auto"/>
              <w:right w:val="single" w:sz="4" w:space="0" w:color="auto"/>
            </w:tcBorders>
            <w:vAlign w:val="center"/>
            <w:hideMark/>
          </w:tcPr>
          <w:p w14:paraId="5E428C91"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X</w:t>
            </w:r>
          </w:p>
        </w:tc>
        <w:tc>
          <w:tcPr>
            <w:tcW w:w="849" w:type="dxa"/>
            <w:tcBorders>
              <w:top w:val="single" w:sz="18" w:space="0" w:color="auto"/>
              <w:left w:val="single" w:sz="4" w:space="0" w:color="auto"/>
              <w:bottom w:val="single" w:sz="4" w:space="0" w:color="auto"/>
              <w:right w:val="single" w:sz="4" w:space="0" w:color="auto"/>
            </w:tcBorders>
            <w:vAlign w:val="center"/>
            <w:hideMark/>
          </w:tcPr>
          <w:p w14:paraId="3A178618"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18" w:space="0" w:color="auto"/>
              <w:left w:val="single" w:sz="4" w:space="0" w:color="auto"/>
              <w:bottom w:val="single" w:sz="4" w:space="0" w:color="auto"/>
              <w:right w:val="single" w:sz="4" w:space="0" w:color="auto"/>
            </w:tcBorders>
            <w:vAlign w:val="center"/>
          </w:tcPr>
          <w:p w14:paraId="33802461"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r>
      <w:tr w:rsidR="00264CBA" w:rsidRPr="00CA1B1B" w14:paraId="60A68C6F" w14:textId="77777777" w:rsidTr="00044354">
        <w:tc>
          <w:tcPr>
            <w:tcW w:w="851" w:type="dxa"/>
            <w:tcBorders>
              <w:top w:val="single" w:sz="4" w:space="0" w:color="auto"/>
              <w:left w:val="single" w:sz="4" w:space="0" w:color="auto"/>
              <w:bottom w:val="single" w:sz="4" w:space="0" w:color="auto"/>
              <w:right w:val="single" w:sz="18" w:space="0" w:color="auto"/>
            </w:tcBorders>
            <w:vAlign w:val="center"/>
            <w:hideMark/>
          </w:tcPr>
          <w:p w14:paraId="6B2FC893"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P210</w:t>
            </w:r>
          </w:p>
        </w:tc>
        <w:tc>
          <w:tcPr>
            <w:tcW w:w="991" w:type="dxa"/>
            <w:tcBorders>
              <w:top w:val="single" w:sz="4" w:space="0" w:color="auto"/>
              <w:left w:val="single" w:sz="18" w:space="0" w:color="auto"/>
              <w:bottom w:val="single" w:sz="4" w:space="0" w:color="auto"/>
              <w:right w:val="single" w:sz="4" w:space="0" w:color="auto"/>
            </w:tcBorders>
            <w:vAlign w:val="center"/>
          </w:tcPr>
          <w:p w14:paraId="232E90BC"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1133" w:type="dxa"/>
            <w:tcBorders>
              <w:top w:val="single" w:sz="4" w:space="0" w:color="auto"/>
              <w:left w:val="single" w:sz="4" w:space="0" w:color="auto"/>
              <w:bottom w:val="single" w:sz="4" w:space="0" w:color="auto"/>
              <w:right w:val="single" w:sz="4" w:space="0" w:color="auto"/>
            </w:tcBorders>
            <w:vAlign w:val="center"/>
            <w:hideMark/>
          </w:tcPr>
          <w:p w14:paraId="4C735456"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77517D"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18" w:space="0" w:color="auto"/>
            </w:tcBorders>
            <w:vAlign w:val="center"/>
            <w:hideMark/>
          </w:tcPr>
          <w:p w14:paraId="1F7E17FB"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8" w:type="dxa"/>
            <w:tcBorders>
              <w:top w:val="single" w:sz="4" w:space="0" w:color="auto"/>
              <w:left w:val="single" w:sz="18" w:space="0" w:color="auto"/>
              <w:bottom w:val="single" w:sz="4" w:space="0" w:color="auto"/>
              <w:right w:val="single" w:sz="4" w:space="0" w:color="auto"/>
            </w:tcBorders>
            <w:vAlign w:val="center"/>
            <w:hideMark/>
          </w:tcPr>
          <w:p w14:paraId="436ABD7E"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F46549"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14:paraId="6ADE8B8A"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9C2E3B"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r>
      <w:tr w:rsidR="00264CBA" w:rsidRPr="00CA1B1B" w14:paraId="15600F1A" w14:textId="77777777" w:rsidTr="00044354">
        <w:tc>
          <w:tcPr>
            <w:tcW w:w="851" w:type="dxa"/>
            <w:tcBorders>
              <w:top w:val="single" w:sz="4" w:space="0" w:color="auto"/>
              <w:left w:val="single" w:sz="4" w:space="0" w:color="auto"/>
              <w:bottom w:val="single" w:sz="4" w:space="0" w:color="auto"/>
              <w:right w:val="single" w:sz="18" w:space="0" w:color="auto"/>
            </w:tcBorders>
            <w:vAlign w:val="center"/>
            <w:hideMark/>
          </w:tcPr>
          <w:p w14:paraId="70667A07"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P230</w:t>
            </w:r>
          </w:p>
        </w:tc>
        <w:tc>
          <w:tcPr>
            <w:tcW w:w="991" w:type="dxa"/>
            <w:tcBorders>
              <w:top w:val="single" w:sz="4" w:space="0" w:color="auto"/>
              <w:left w:val="single" w:sz="18" w:space="0" w:color="auto"/>
              <w:bottom w:val="single" w:sz="4" w:space="0" w:color="auto"/>
              <w:right w:val="single" w:sz="4" w:space="0" w:color="auto"/>
            </w:tcBorders>
            <w:vAlign w:val="center"/>
          </w:tcPr>
          <w:p w14:paraId="26645A7A"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1133" w:type="dxa"/>
            <w:tcBorders>
              <w:top w:val="single" w:sz="4" w:space="0" w:color="auto"/>
              <w:left w:val="single" w:sz="4" w:space="0" w:color="auto"/>
              <w:bottom w:val="single" w:sz="4" w:space="0" w:color="auto"/>
              <w:right w:val="single" w:sz="4" w:space="0" w:color="auto"/>
            </w:tcBorders>
            <w:vAlign w:val="center"/>
            <w:hideMark/>
          </w:tcPr>
          <w:p w14:paraId="72EFBE94"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6F1FCF"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18" w:space="0" w:color="auto"/>
            </w:tcBorders>
            <w:vAlign w:val="center"/>
            <w:hideMark/>
          </w:tcPr>
          <w:p w14:paraId="2C2445B5"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8" w:type="dxa"/>
            <w:tcBorders>
              <w:top w:val="single" w:sz="4" w:space="0" w:color="auto"/>
              <w:left w:val="single" w:sz="18" w:space="0" w:color="auto"/>
              <w:bottom w:val="single" w:sz="4" w:space="0" w:color="auto"/>
              <w:right w:val="single" w:sz="4" w:space="0" w:color="auto"/>
            </w:tcBorders>
            <w:vAlign w:val="center"/>
            <w:hideMark/>
          </w:tcPr>
          <w:p w14:paraId="0692EDD3"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BA6C8D"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14:paraId="03E34035"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22E2B5"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r>
      <w:tr w:rsidR="00264CBA" w:rsidRPr="00CA1B1B" w14:paraId="6DDBBFF6" w14:textId="77777777" w:rsidTr="00044354">
        <w:tc>
          <w:tcPr>
            <w:tcW w:w="851" w:type="dxa"/>
            <w:tcBorders>
              <w:top w:val="single" w:sz="4" w:space="0" w:color="auto"/>
              <w:left w:val="single" w:sz="4" w:space="0" w:color="auto"/>
              <w:bottom w:val="single" w:sz="4" w:space="0" w:color="auto"/>
              <w:right w:val="single" w:sz="18" w:space="0" w:color="auto"/>
            </w:tcBorders>
            <w:vAlign w:val="center"/>
            <w:hideMark/>
          </w:tcPr>
          <w:p w14:paraId="213007A7"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P234</w:t>
            </w:r>
          </w:p>
        </w:tc>
        <w:tc>
          <w:tcPr>
            <w:tcW w:w="991" w:type="dxa"/>
            <w:tcBorders>
              <w:top w:val="single" w:sz="4" w:space="0" w:color="auto"/>
              <w:left w:val="single" w:sz="18" w:space="0" w:color="auto"/>
              <w:bottom w:val="single" w:sz="4" w:space="0" w:color="auto"/>
              <w:right w:val="single" w:sz="4" w:space="0" w:color="auto"/>
            </w:tcBorders>
            <w:vAlign w:val="center"/>
          </w:tcPr>
          <w:p w14:paraId="4AA255C7"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1133" w:type="dxa"/>
            <w:tcBorders>
              <w:top w:val="single" w:sz="4" w:space="0" w:color="auto"/>
              <w:left w:val="single" w:sz="4" w:space="0" w:color="auto"/>
              <w:bottom w:val="single" w:sz="4" w:space="0" w:color="auto"/>
              <w:right w:val="single" w:sz="4" w:space="0" w:color="auto"/>
            </w:tcBorders>
            <w:vAlign w:val="center"/>
            <w:hideMark/>
          </w:tcPr>
          <w:p w14:paraId="50C19167"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F3FBA7"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18" w:space="0" w:color="auto"/>
            </w:tcBorders>
            <w:vAlign w:val="center"/>
            <w:hideMark/>
          </w:tcPr>
          <w:p w14:paraId="270A0A57"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8" w:type="dxa"/>
            <w:tcBorders>
              <w:top w:val="single" w:sz="4" w:space="0" w:color="auto"/>
              <w:left w:val="single" w:sz="18" w:space="0" w:color="auto"/>
              <w:bottom w:val="single" w:sz="4" w:space="0" w:color="auto"/>
              <w:right w:val="single" w:sz="4" w:space="0" w:color="auto"/>
            </w:tcBorders>
            <w:vAlign w:val="center"/>
          </w:tcPr>
          <w:p w14:paraId="473B68D2"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D31297D"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14:paraId="72117B25"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AE395F"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r>
      <w:tr w:rsidR="00264CBA" w:rsidRPr="00CA1B1B" w14:paraId="0B7D136B" w14:textId="77777777" w:rsidTr="00044354">
        <w:tc>
          <w:tcPr>
            <w:tcW w:w="851" w:type="dxa"/>
            <w:tcBorders>
              <w:top w:val="single" w:sz="4" w:space="0" w:color="auto"/>
              <w:left w:val="single" w:sz="4" w:space="0" w:color="auto"/>
              <w:bottom w:val="single" w:sz="4" w:space="0" w:color="auto"/>
              <w:right w:val="single" w:sz="18" w:space="0" w:color="auto"/>
            </w:tcBorders>
            <w:vAlign w:val="center"/>
            <w:hideMark/>
          </w:tcPr>
          <w:p w14:paraId="22602107"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P240</w:t>
            </w:r>
          </w:p>
        </w:tc>
        <w:tc>
          <w:tcPr>
            <w:tcW w:w="991" w:type="dxa"/>
            <w:tcBorders>
              <w:top w:val="single" w:sz="4" w:space="0" w:color="auto"/>
              <w:left w:val="single" w:sz="18" w:space="0" w:color="auto"/>
              <w:bottom w:val="single" w:sz="4" w:space="0" w:color="auto"/>
              <w:right w:val="single" w:sz="4" w:space="0" w:color="auto"/>
            </w:tcBorders>
            <w:vAlign w:val="center"/>
          </w:tcPr>
          <w:p w14:paraId="5CDFC94E"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1133" w:type="dxa"/>
            <w:tcBorders>
              <w:top w:val="single" w:sz="4" w:space="0" w:color="auto"/>
              <w:left w:val="single" w:sz="4" w:space="0" w:color="auto"/>
              <w:bottom w:val="single" w:sz="4" w:space="0" w:color="auto"/>
              <w:right w:val="single" w:sz="4" w:space="0" w:color="auto"/>
            </w:tcBorders>
            <w:vAlign w:val="center"/>
            <w:hideMark/>
          </w:tcPr>
          <w:p w14:paraId="103AA548"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E37CDF"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18" w:space="0" w:color="auto"/>
            </w:tcBorders>
            <w:vAlign w:val="center"/>
            <w:hideMark/>
          </w:tcPr>
          <w:p w14:paraId="163A35F4"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8" w:type="dxa"/>
            <w:tcBorders>
              <w:top w:val="single" w:sz="4" w:space="0" w:color="auto"/>
              <w:left w:val="single" w:sz="18" w:space="0" w:color="auto"/>
              <w:bottom w:val="single" w:sz="4" w:space="0" w:color="auto"/>
              <w:right w:val="single" w:sz="4" w:space="0" w:color="auto"/>
            </w:tcBorders>
            <w:vAlign w:val="center"/>
            <w:hideMark/>
          </w:tcPr>
          <w:p w14:paraId="52349B4B"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367B4A"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14:paraId="1024A711"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692A0134"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r>
      <w:tr w:rsidR="00264CBA" w:rsidRPr="00CA1B1B" w14:paraId="5B51D1E4" w14:textId="77777777" w:rsidTr="00044354">
        <w:tc>
          <w:tcPr>
            <w:tcW w:w="851" w:type="dxa"/>
            <w:tcBorders>
              <w:top w:val="single" w:sz="4" w:space="0" w:color="auto"/>
              <w:left w:val="single" w:sz="4" w:space="0" w:color="auto"/>
              <w:bottom w:val="single" w:sz="4" w:space="0" w:color="auto"/>
              <w:right w:val="single" w:sz="18" w:space="0" w:color="auto"/>
            </w:tcBorders>
            <w:vAlign w:val="center"/>
            <w:hideMark/>
          </w:tcPr>
          <w:p w14:paraId="585E9615"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P250</w:t>
            </w:r>
          </w:p>
        </w:tc>
        <w:tc>
          <w:tcPr>
            <w:tcW w:w="991" w:type="dxa"/>
            <w:tcBorders>
              <w:top w:val="single" w:sz="4" w:space="0" w:color="auto"/>
              <w:left w:val="single" w:sz="18" w:space="0" w:color="auto"/>
              <w:bottom w:val="single" w:sz="4" w:space="0" w:color="auto"/>
              <w:right w:val="single" w:sz="4" w:space="0" w:color="auto"/>
            </w:tcBorders>
            <w:vAlign w:val="center"/>
            <w:hideMark/>
          </w:tcPr>
          <w:p w14:paraId="3FB095E5"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4734C1A"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3B8074"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18" w:space="0" w:color="auto"/>
            </w:tcBorders>
            <w:vAlign w:val="center"/>
            <w:hideMark/>
          </w:tcPr>
          <w:p w14:paraId="33BB911F"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8" w:type="dxa"/>
            <w:tcBorders>
              <w:top w:val="single" w:sz="4" w:space="0" w:color="auto"/>
              <w:left w:val="single" w:sz="18" w:space="0" w:color="auto"/>
              <w:bottom w:val="single" w:sz="4" w:space="0" w:color="auto"/>
              <w:right w:val="single" w:sz="4" w:space="0" w:color="auto"/>
            </w:tcBorders>
            <w:vAlign w:val="center"/>
            <w:hideMark/>
          </w:tcPr>
          <w:p w14:paraId="3DBB27D5"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F3DA7D"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14:paraId="5911CB85"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B98C8E"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r>
      <w:tr w:rsidR="00264CBA" w:rsidRPr="00CA1B1B" w14:paraId="7DA33CDF" w14:textId="77777777" w:rsidTr="00044354">
        <w:tc>
          <w:tcPr>
            <w:tcW w:w="851" w:type="dxa"/>
            <w:tcBorders>
              <w:top w:val="single" w:sz="4" w:space="0" w:color="auto"/>
              <w:left w:val="single" w:sz="4" w:space="0" w:color="auto"/>
              <w:bottom w:val="single" w:sz="18" w:space="0" w:color="auto"/>
              <w:right w:val="single" w:sz="18" w:space="0" w:color="auto"/>
            </w:tcBorders>
            <w:vAlign w:val="center"/>
            <w:hideMark/>
          </w:tcPr>
          <w:p w14:paraId="6CEDFB68"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P280</w:t>
            </w:r>
          </w:p>
        </w:tc>
        <w:tc>
          <w:tcPr>
            <w:tcW w:w="991" w:type="dxa"/>
            <w:tcBorders>
              <w:top w:val="single" w:sz="4" w:space="0" w:color="auto"/>
              <w:left w:val="single" w:sz="18" w:space="0" w:color="auto"/>
              <w:bottom w:val="single" w:sz="18" w:space="0" w:color="auto"/>
              <w:right w:val="single" w:sz="4" w:space="0" w:color="auto"/>
            </w:tcBorders>
            <w:vAlign w:val="center"/>
            <w:hideMark/>
          </w:tcPr>
          <w:p w14:paraId="00D2ADFC"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1133" w:type="dxa"/>
            <w:tcBorders>
              <w:top w:val="single" w:sz="4" w:space="0" w:color="auto"/>
              <w:left w:val="single" w:sz="4" w:space="0" w:color="auto"/>
              <w:bottom w:val="single" w:sz="18" w:space="0" w:color="auto"/>
              <w:right w:val="single" w:sz="4" w:space="0" w:color="auto"/>
            </w:tcBorders>
            <w:vAlign w:val="center"/>
            <w:hideMark/>
          </w:tcPr>
          <w:p w14:paraId="2D6950EC"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18" w:space="0" w:color="auto"/>
              <w:right w:val="single" w:sz="4" w:space="0" w:color="auto"/>
            </w:tcBorders>
            <w:vAlign w:val="center"/>
            <w:hideMark/>
          </w:tcPr>
          <w:p w14:paraId="3C52464D"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18" w:space="0" w:color="auto"/>
              <w:right w:val="single" w:sz="18" w:space="0" w:color="auto"/>
            </w:tcBorders>
            <w:vAlign w:val="center"/>
            <w:hideMark/>
          </w:tcPr>
          <w:p w14:paraId="3B5FD1C6"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8" w:type="dxa"/>
            <w:tcBorders>
              <w:top w:val="single" w:sz="4" w:space="0" w:color="auto"/>
              <w:left w:val="single" w:sz="18" w:space="0" w:color="auto"/>
              <w:bottom w:val="single" w:sz="18" w:space="0" w:color="auto"/>
              <w:right w:val="single" w:sz="4" w:space="0" w:color="auto"/>
            </w:tcBorders>
            <w:vAlign w:val="center"/>
            <w:hideMark/>
          </w:tcPr>
          <w:p w14:paraId="65FF7A56"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18" w:space="0" w:color="auto"/>
              <w:right w:val="single" w:sz="4" w:space="0" w:color="auto"/>
            </w:tcBorders>
            <w:vAlign w:val="center"/>
            <w:hideMark/>
          </w:tcPr>
          <w:p w14:paraId="1505142E"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X</w:t>
            </w:r>
          </w:p>
        </w:tc>
        <w:tc>
          <w:tcPr>
            <w:tcW w:w="849" w:type="dxa"/>
            <w:tcBorders>
              <w:top w:val="single" w:sz="4" w:space="0" w:color="auto"/>
              <w:left w:val="single" w:sz="4" w:space="0" w:color="auto"/>
              <w:bottom w:val="single" w:sz="18" w:space="0" w:color="auto"/>
              <w:right w:val="single" w:sz="4" w:space="0" w:color="auto"/>
            </w:tcBorders>
            <w:vAlign w:val="center"/>
            <w:hideMark/>
          </w:tcPr>
          <w:p w14:paraId="7EE3E181"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18" w:space="0" w:color="auto"/>
              <w:right w:val="single" w:sz="4" w:space="0" w:color="auto"/>
            </w:tcBorders>
            <w:vAlign w:val="center"/>
            <w:hideMark/>
          </w:tcPr>
          <w:p w14:paraId="074F05EE"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r>
      <w:tr w:rsidR="00264CBA" w:rsidRPr="00CA1B1B" w14:paraId="779C823B" w14:textId="77777777" w:rsidTr="00044354">
        <w:tc>
          <w:tcPr>
            <w:tcW w:w="851" w:type="dxa"/>
            <w:tcBorders>
              <w:top w:val="single" w:sz="18" w:space="0" w:color="auto"/>
              <w:left w:val="single" w:sz="4" w:space="0" w:color="auto"/>
              <w:bottom w:val="single" w:sz="4" w:space="0" w:color="auto"/>
              <w:right w:val="single" w:sz="18" w:space="0" w:color="auto"/>
            </w:tcBorders>
            <w:vAlign w:val="center"/>
            <w:hideMark/>
          </w:tcPr>
          <w:p w14:paraId="7A6326CD"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P370</w:t>
            </w:r>
          </w:p>
        </w:tc>
        <w:tc>
          <w:tcPr>
            <w:tcW w:w="991" w:type="dxa"/>
            <w:tcBorders>
              <w:top w:val="single" w:sz="18" w:space="0" w:color="auto"/>
              <w:left w:val="single" w:sz="18" w:space="0" w:color="auto"/>
              <w:bottom w:val="single" w:sz="4" w:space="0" w:color="auto"/>
              <w:right w:val="single" w:sz="4" w:space="0" w:color="auto"/>
            </w:tcBorders>
            <w:vAlign w:val="center"/>
            <w:hideMark/>
          </w:tcPr>
          <w:p w14:paraId="48D486F9"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1133" w:type="dxa"/>
            <w:tcBorders>
              <w:top w:val="single" w:sz="18" w:space="0" w:color="auto"/>
              <w:left w:val="single" w:sz="4" w:space="0" w:color="auto"/>
              <w:bottom w:val="single" w:sz="4" w:space="0" w:color="auto"/>
              <w:right w:val="single" w:sz="4" w:space="0" w:color="auto"/>
            </w:tcBorders>
            <w:vAlign w:val="center"/>
            <w:hideMark/>
          </w:tcPr>
          <w:p w14:paraId="1C4AEC14"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18" w:space="0" w:color="auto"/>
              <w:left w:val="single" w:sz="4" w:space="0" w:color="auto"/>
              <w:bottom w:val="single" w:sz="4" w:space="0" w:color="auto"/>
              <w:right w:val="single" w:sz="4" w:space="0" w:color="auto"/>
            </w:tcBorders>
            <w:vAlign w:val="center"/>
            <w:hideMark/>
          </w:tcPr>
          <w:p w14:paraId="014F8B25"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18" w:space="0" w:color="auto"/>
              <w:left w:val="single" w:sz="4" w:space="0" w:color="auto"/>
              <w:bottom w:val="single" w:sz="4" w:space="0" w:color="auto"/>
              <w:right w:val="single" w:sz="18" w:space="0" w:color="auto"/>
            </w:tcBorders>
            <w:vAlign w:val="center"/>
            <w:hideMark/>
          </w:tcPr>
          <w:p w14:paraId="6399AFAE"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8" w:type="dxa"/>
            <w:tcBorders>
              <w:top w:val="single" w:sz="18" w:space="0" w:color="auto"/>
              <w:left w:val="single" w:sz="18" w:space="0" w:color="auto"/>
              <w:bottom w:val="single" w:sz="4" w:space="0" w:color="auto"/>
              <w:right w:val="single" w:sz="4" w:space="0" w:color="auto"/>
            </w:tcBorders>
            <w:vAlign w:val="center"/>
            <w:hideMark/>
          </w:tcPr>
          <w:p w14:paraId="19F58A9E"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18" w:space="0" w:color="auto"/>
              <w:left w:val="single" w:sz="4" w:space="0" w:color="auto"/>
              <w:bottom w:val="single" w:sz="4" w:space="0" w:color="auto"/>
              <w:right w:val="single" w:sz="4" w:space="0" w:color="auto"/>
            </w:tcBorders>
            <w:vAlign w:val="center"/>
            <w:hideMark/>
          </w:tcPr>
          <w:p w14:paraId="7BD39D9F"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X</w:t>
            </w:r>
          </w:p>
        </w:tc>
        <w:tc>
          <w:tcPr>
            <w:tcW w:w="849" w:type="dxa"/>
            <w:tcBorders>
              <w:top w:val="single" w:sz="18" w:space="0" w:color="auto"/>
              <w:left w:val="single" w:sz="4" w:space="0" w:color="auto"/>
              <w:bottom w:val="single" w:sz="4" w:space="0" w:color="auto"/>
              <w:right w:val="single" w:sz="4" w:space="0" w:color="auto"/>
            </w:tcBorders>
            <w:vAlign w:val="center"/>
            <w:hideMark/>
          </w:tcPr>
          <w:p w14:paraId="0052CEE2"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18" w:space="0" w:color="auto"/>
              <w:left w:val="single" w:sz="4" w:space="0" w:color="auto"/>
              <w:bottom w:val="single" w:sz="4" w:space="0" w:color="auto"/>
              <w:right w:val="single" w:sz="4" w:space="0" w:color="auto"/>
            </w:tcBorders>
            <w:vAlign w:val="center"/>
            <w:hideMark/>
          </w:tcPr>
          <w:p w14:paraId="03D759CB"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r>
      <w:tr w:rsidR="00264CBA" w:rsidRPr="00CA1B1B" w14:paraId="0243DED8" w14:textId="77777777" w:rsidTr="00044354">
        <w:tc>
          <w:tcPr>
            <w:tcW w:w="851" w:type="dxa"/>
            <w:tcBorders>
              <w:top w:val="single" w:sz="4" w:space="0" w:color="auto"/>
              <w:left w:val="single" w:sz="4" w:space="0" w:color="auto"/>
              <w:bottom w:val="single" w:sz="4" w:space="0" w:color="auto"/>
              <w:right w:val="single" w:sz="18" w:space="0" w:color="auto"/>
            </w:tcBorders>
            <w:vAlign w:val="center"/>
            <w:hideMark/>
          </w:tcPr>
          <w:p w14:paraId="4A3D1691"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P372</w:t>
            </w:r>
          </w:p>
        </w:tc>
        <w:tc>
          <w:tcPr>
            <w:tcW w:w="991" w:type="dxa"/>
            <w:tcBorders>
              <w:top w:val="single" w:sz="4" w:space="0" w:color="auto"/>
              <w:left w:val="single" w:sz="18" w:space="0" w:color="auto"/>
              <w:bottom w:val="single" w:sz="4" w:space="0" w:color="auto"/>
              <w:right w:val="single" w:sz="4" w:space="0" w:color="auto"/>
            </w:tcBorders>
            <w:vAlign w:val="center"/>
            <w:hideMark/>
          </w:tcPr>
          <w:p w14:paraId="24979969"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6E517BA"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CC1874"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18" w:space="0" w:color="auto"/>
            </w:tcBorders>
            <w:vAlign w:val="center"/>
          </w:tcPr>
          <w:p w14:paraId="19D30AD6"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708" w:type="dxa"/>
            <w:tcBorders>
              <w:top w:val="single" w:sz="4" w:space="0" w:color="auto"/>
              <w:left w:val="single" w:sz="18" w:space="0" w:color="auto"/>
              <w:bottom w:val="single" w:sz="4" w:space="0" w:color="auto"/>
              <w:right w:val="single" w:sz="4" w:space="0" w:color="auto"/>
            </w:tcBorders>
            <w:vAlign w:val="center"/>
            <w:hideMark/>
          </w:tcPr>
          <w:p w14:paraId="50536E69"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BF949A"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14:paraId="6FB4A558"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tcPr>
          <w:p w14:paraId="0038132A"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r>
      <w:tr w:rsidR="00264CBA" w:rsidRPr="00CA1B1B" w14:paraId="3DFF175A" w14:textId="77777777" w:rsidTr="00044354">
        <w:tc>
          <w:tcPr>
            <w:tcW w:w="851" w:type="dxa"/>
            <w:tcBorders>
              <w:top w:val="single" w:sz="4" w:space="0" w:color="auto"/>
              <w:left w:val="single" w:sz="4" w:space="0" w:color="auto"/>
              <w:bottom w:val="single" w:sz="4" w:space="0" w:color="auto"/>
              <w:right w:val="single" w:sz="18" w:space="0" w:color="auto"/>
            </w:tcBorders>
            <w:vAlign w:val="center"/>
            <w:hideMark/>
          </w:tcPr>
          <w:p w14:paraId="00C8BADF"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P373</w:t>
            </w:r>
          </w:p>
        </w:tc>
        <w:tc>
          <w:tcPr>
            <w:tcW w:w="991" w:type="dxa"/>
            <w:tcBorders>
              <w:top w:val="single" w:sz="4" w:space="0" w:color="auto"/>
              <w:left w:val="single" w:sz="18" w:space="0" w:color="auto"/>
              <w:bottom w:val="single" w:sz="4" w:space="0" w:color="auto"/>
              <w:right w:val="single" w:sz="4" w:space="0" w:color="auto"/>
            </w:tcBorders>
            <w:vAlign w:val="center"/>
            <w:hideMark/>
          </w:tcPr>
          <w:p w14:paraId="2FB5B9EB"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9AA39CE"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789131"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18" w:space="0" w:color="auto"/>
            </w:tcBorders>
            <w:vAlign w:val="center"/>
          </w:tcPr>
          <w:p w14:paraId="2666DA39"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708" w:type="dxa"/>
            <w:tcBorders>
              <w:top w:val="single" w:sz="4" w:space="0" w:color="auto"/>
              <w:left w:val="single" w:sz="18" w:space="0" w:color="auto"/>
              <w:bottom w:val="single" w:sz="4" w:space="0" w:color="auto"/>
              <w:right w:val="single" w:sz="4" w:space="0" w:color="auto"/>
            </w:tcBorders>
            <w:vAlign w:val="center"/>
            <w:hideMark/>
          </w:tcPr>
          <w:p w14:paraId="52CE72E1"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1A0817"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14:paraId="62B538D7"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tcPr>
          <w:p w14:paraId="5D526BD1"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r>
      <w:tr w:rsidR="00264CBA" w:rsidRPr="00CA1B1B" w14:paraId="6A0B4F7A" w14:textId="77777777" w:rsidTr="00044354">
        <w:tc>
          <w:tcPr>
            <w:tcW w:w="851" w:type="dxa"/>
            <w:tcBorders>
              <w:top w:val="single" w:sz="4" w:space="0" w:color="auto"/>
              <w:left w:val="single" w:sz="4" w:space="0" w:color="auto"/>
              <w:bottom w:val="single" w:sz="4" w:space="0" w:color="auto"/>
              <w:right w:val="single" w:sz="18" w:space="0" w:color="auto"/>
            </w:tcBorders>
            <w:vAlign w:val="center"/>
            <w:hideMark/>
          </w:tcPr>
          <w:p w14:paraId="7E2FBD25"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P375</w:t>
            </w:r>
          </w:p>
        </w:tc>
        <w:tc>
          <w:tcPr>
            <w:tcW w:w="991" w:type="dxa"/>
            <w:tcBorders>
              <w:top w:val="single" w:sz="4" w:space="0" w:color="auto"/>
              <w:left w:val="single" w:sz="18" w:space="0" w:color="auto"/>
              <w:bottom w:val="single" w:sz="4" w:space="0" w:color="auto"/>
              <w:right w:val="single" w:sz="4" w:space="0" w:color="auto"/>
            </w:tcBorders>
            <w:vAlign w:val="center"/>
          </w:tcPr>
          <w:p w14:paraId="08783266"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1133" w:type="dxa"/>
            <w:tcBorders>
              <w:top w:val="single" w:sz="4" w:space="0" w:color="auto"/>
              <w:left w:val="single" w:sz="4" w:space="0" w:color="auto"/>
              <w:bottom w:val="single" w:sz="4" w:space="0" w:color="auto"/>
              <w:right w:val="single" w:sz="4" w:space="0" w:color="auto"/>
            </w:tcBorders>
            <w:vAlign w:val="center"/>
          </w:tcPr>
          <w:p w14:paraId="06323392"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14:paraId="4EF12A93"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709" w:type="dxa"/>
            <w:tcBorders>
              <w:top w:val="single" w:sz="4" w:space="0" w:color="auto"/>
              <w:left w:val="single" w:sz="4" w:space="0" w:color="auto"/>
              <w:bottom w:val="single" w:sz="4" w:space="0" w:color="auto"/>
              <w:right w:val="single" w:sz="18" w:space="0" w:color="auto"/>
            </w:tcBorders>
            <w:vAlign w:val="center"/>
            <w:hideMark/>
          </w:tcPr>
          <w:p w14:paraId="14FB2EA2"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8" w:type="dxa"/>
            <w:tcBorders>
              <w:top w:val="single" w:sz="4" w:space="0" w:color="auto"/>
              <w:left w:val="single" w:sz="18" w:space="0" w:color="auto"/>
              <w:bottom w:val="single" w:sz="4" w:space="0" w:color="auto"/>
              <w:right w:val="single" w:sz="4" w:space="0" w:color="auto"/>
            </w:tcBorders>
            <w:vAlign w:val="center"/>
          </w:tcPr>
          <w:p w14:paraId="0338BF8B"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850" w:type="dxa"/>
            <w:tcBorders>
              <w:top w:val="single" w:sz="4" w:space="0" w:color="auto"/>
              <w:left w:val="single" w:sz="4" w:space="0" w:color="auto"/>
              <w:bottom w:val="single" w:sz="4" w:space="0" w:color="auto"/>
              <w:right w:val="single" w:sz="4" w:space="0" w:color="auto"/>
            </w:tcBorders>
            <w:vAlign w:val="center"/>
          </w:tcPr>
          <w:p w14:paraId="3318DDEF" w14:textId="77777777" w:rsidR="00264CBA" w:rsidRPr="00CA1B1B" w:rsidRDefault="00264CBA" w:rsidP="00044354">
            <w:pPr>
              <w:spacing w:before="40" w:after="40" w:line="240" w:lineRule="auto"/>
              <w:ind w:right="-21"/>
              <w:jc w:val="center"/>
              <w:rPr>
                <w:rFonts w:asciiTheme="majorBidi" w:hAnsiTheme="majorBidi" w:cstheme="majorBidi"/>
                <w:sz w:val="18"/>
                <w:szCs w:val="18"/>
                <w:lang w:val="fr-FR"/>
              </w:rPr>
            </w:pPr>
          </w:p>
        </w:tc>
        <w:tc>
          <w:tcPr>
            <w:tcW w:w="849" w:type="dxa"/>
            <w:tcBorders>
              <w:top w:val="single" w:sz="4" w:space="0" w:color="auto"/>
              <w:left w:val="single" w:sz="4" w:space="0" w:color="auto"/>
              <w:bottom w:val="single" w:sz="4" w:space="0" w:color="auto"/>
              <w:right w:val="single" w:sz="4" w:space="0" w:color="auto"/>
            </w:tcBorders>
            <w:vAlign w:val="center"/>
          </w:tcPr>
          <w:p w14:paraId="5C06FAA2"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2C9FD69"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r>
      <w:tr w:rsidR="00264CBA" w:rsidRPr="00CA1B1B" w14:paraId="3CA57681" w14:textId="77777777" w:rsidTr="00044354">
        <w:tc>
          <w:tcPr>
            <w:tcW w:w="851" w:type="dxa"/>
            <w:tcBorders>
              <w:top w:val="single" w:sz="4" w:space="0" w:color="auto"/>
              <w:left w:val="single" w:sz="4" w:space="0" w:color="auto"/>
              <w:bottom w:val="single" w:sz="4" w:space="0" w:color="auto"/>
              <w:right w:val="single" w:sz="18" w:space="0" w:color="auto"/>
            </w:tcBorders>
            <w:vAlign w:val="center"/>
            <w:hideMark/>
          </w:tcPr>
          <w:p w14:paraId="4EF4ED36"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P380</w:t>
            </w:r>
          </w:p>
        </w:tc>
        <w:tc>
          <w:tcPr>
            <w:tcW w:w="991" w:type="dxa"/>
            <w:tcBorders>
              <w:top w:val="single" w:sz="4" w:space="0" w:color="auto"/>
              <w:left w:val="single" w:sz="18" w:space="0" w:color="auto"/>
              <w:bottom w:val="single" w:sz="4" w:space="0" w:color="auto"/>
              <w:right w:val="single" w:sz="4" w:space="0" w:color="auto"/>
            </w:tcBorders>
            <w:vAlign w:val="center"/>
            <w:hideMark/>
          </w:tcPr>
          <w:p w14:paraId="253D0E0E"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250F5F8"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F8FE7D"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4" w:space="0" w:color="auto"/>
              <w:right w:val="single" w:sz="18" w:space="0" w:color="auto"/>
            </w:tcBorders>
            <w:vAlign w:val="center"/>
            <w:hideMark/>
          </w:tcPr>
          <w:p w14:paraId="7947E19D"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8" w:type="dxa"/>
            <w:tcBorders>
              <w:top w:val="single" w:sz="4" w:space="0" w:color="auto"/>
              <w:left w:val="single" w:sz="18" w:space="0" w:color="auto"/>
              <w:bottom w:val="single" w:sz="4" w:space="0" w:color="auto"/>
              <w:right w:val="single" w:sz="4" w:space="0" w:color="auto"/>
            </w:tcBorders>
            <w:vAlign w:val="center"/>
            <w:hideMark/>
          </w:tcPr>
          <w:p w14:paraId="55A74CEE"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3F1AE9"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14:paraId="25F804F5"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E2FA34"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r>
      <w:tr w:rsidR="00264CBA" w:rsidRPr="00CA1B1B" w14:paraId="02A27385" w14:textId="77777777" w:rsidTr="00044354">
        <w:tc>
          <w:tcPr>
            <w:tcW w:w="851" w:type="dxa"/>
            <w:tcBorders>
              <w:top w:val="single" w:sz="4" w:space="0" w:color="auto"/>
              <w:left w:val="single" w:sz="4" w:space="0" w:color="auto"/>
              <w:bottom w:val="single" w:sz="4" w:space="0" w:color="auto"/>
              <w:right w:val="single" w:sz="18" w:space="0" w:color="auto"/>
            </w:tcBorders>
            <w:vAlign w:val="center"/>
            <w:hideMark/>
          </w:tcPr>
          <w:p w14:paraId="32C015FF"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P370 + P380 + P375</w:t>
            </w:r>
          </w:p>
        </w:tc>
        <w:tc>
          <w:tcPr>
            <w:tcW w:w="991" w:type="dxa"/>
            <w:tcBorders>
              <w:top w:val="single" w:sz="4" w:space="0" w:color="auto"/>
              <w:left w:val="single" w:sz="18" w:space="0" w:color="auto"/>
              <w:bottom w:val="single" w:sz="4" w:space="0" w:color="auto"/>
              <w:right w:val="single" w:sz="4" w:space="0" w:color="auto"/>
            </w:tcBorders>
            <w:vAlign w:val="center"/>
          </w:tcPr>
          <w:p w14:paraId="0E189708"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1133" w:type="dxa"/>
            <w:tcBorders>
              <w:top w:val="single" w:sz="4" w:space="0" w:color="auto"/>
              <w:left w:val="single" w:sz="4" w:space="0" w:color="auto"/>
              <w:bottom w:val="single" w:sz="4" w:space="0" w:color="auto"/>
              <w:right w:val="single" w:sz="4" w:space="0" w:color="auto"/>
            </w:tcBorders>
            <w:vAlign w:val="center"/>
          </w:tcPr>
          <w:p w14:paraId="6066B4A4"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14:paraId="5F2CF442"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709" w:type="dxa"/>
            <w:tcBorders>
              <w:top w:val="single" w:sz="4" w:space="0" w:color="auto"/>
              <w:left w:val="single" w:sz="4" w:space="0" w:color="auto"/>
              <w:bottom w:val="single" w:sz="4" w:space="0" w:color="auto"/>
              <w:right w:val="single" w:sz="18" w:space="0" w:color="auto"/>
            </w:tcBorders>
            <w:vAlign w:val="center"/>
            <w:hideMark/>
          </w:tcPr>
          <w:p w14:paraId="5AA36B68"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8" w:type="dxa"/>
            <w:tcBorders>
              <w:top w:val="single" w:sz="4" w:space="0" w:color="auto"/>
              <w:left w:val="single" w:sz="18" w:space="0" w:color="auto"/>
              <w:bottom w:val="single" w:sz="4" w:space="0" w:color="auto"/>
              <w:right w:val="single" w:sz="4" w:space="0" w:color="auto"/>
            </w:tcBorders>
            <w:vAlign w:val="center"/>
          </w:tcPr>
          <w:p w14:paraId="4A5C500B"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850" w:type="dxa"/>
            <w:tcBorders>
              <w:top w:val="single" w:sz="4" w:space="0" w:color="auto"/>
              <w:left w:val="single" w:sz="4" w:space="0" w:color="auto"/>
              <w:bottom w:val="single" w:sz="4" w:space="0" w:color="auto"/>
              <w:right w:val="single" w:sz="4" w:space="0" w:color="auto"/>
            </w:tcBorders>
            <w:vAlign w:val="center"/>
          </w:tcPr>
          <w:p w14:paraId="527798FA" w14:textId="77777777" w:rsidR="00264CBA" w:rsidRPr="00CA1B1B" w:rsidRDefault="00264CBA" w:rsidP="00044354">
            <w:pPr>
              <w:spacing w:before="40" w:after="40" w:line="240" w:lineRule="auto"/>
              <w:ind w:right="-21"/>
              <w:jc w:val="center"/>
              <w:rPr>
                <w:rFonts w:asciiTheme="majorBidi" w:hAnsiTheme="majorBidi" w:cstheme="majorBidi"/>
                <w:sz w:val="18"/>
                <w:szCs w:val="18"/>
                <w:lang w:val="fr-FR"/>
              </w:rPr>
            </w:pPr>
          </w:p>
        </w:tc>
        <w:tc>
          <w:tcPr>
            <w:tcW w:w="849" w:type="dxa"/>
            <w:tcBorders>
              <w:top w:val="single" w:sz="4" w:space="0" w:color="auto"/>
              <w:left w:val="single" w:sz="4" w:space="0" w:color="auto"/>
              <w:bottom w:val="single" w:sz="4" w:space="0" w:color="auto"/>
              <w:right w:val="single" w:sz="4" w:space="0" w:color="auto"/>
            </w:tcBorders>
            <w:vAlign w:val="center"/>
          </w:tcPr>
          <w:p w14:paraId="513486A3"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71DF08E"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r>
      <w:tr w:rsidR="00264CBA" w:rsidRPr="00CA1B1B" w14:paraId="7B9508EE" w14:textId="77777777" w:rsidTr="00044354">
        <w:tc>
          <w:tcPr>
            <w:tcW w:w="851" w:type="dxa"/>
            <w:tcBorders>
              <w:top w:val="single" w:sz="4" w:space="0" w:color="auto"/>
              <w:left w:val="single" w:sz="4" w:space="0" w:color="auto"/>
              <w:bottom w:val="single" w:sz="18" w:space="0" w:color="auto"/>
              <w:right w:val="single" w:sz="18" w:space="0" w:color="auto"/>
            </w:tcBorders>
            <w:vAlign w:val="center"/>
            <w:hideMark/>
          </w:tcPr>
          <w:p w14:paraId="2D36796D"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P370 + P372 + P380 + P373</w:t>
            </w:r>
          </w:p>
        </w:tc>
        <w:tc>
          <w:tcPr>
            <w:tcW w:w="991" w:type="dxa"/>
            <w:tcBorders>
              <w:top w:val="single" w:sz="4" w:space="0" w:color="auto"/>
              <w:left w:val="single" w:sz="18" w:space="0" w:color="auto"/>
              <w:bottom w:val="single" w:sz="18" w:space="0" w:color="auto"/>
              <w:right w:val="single" w:sz="4" w:space="0" w:color="auto"/>
            </w:tcBorders>
            <w:vAlign w:val="center"/>
            <w:hideMark/>
          </w:tcPr>
          <w:p w14:paraId="1DDD28B6"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1133" w:type="dxa"/>
            <w:tcBorders>
              <w:top w:val="single" w:sz="4" w:space="0" w:color="auto"/>
              <w:left w:val="single" w:sz="4" w:space="0" w:color="auto"/>
              <w:bottom w:val="single" w:sz="18" w:space="0" w:color="auto"/>
              <w:right w:val="single" w:sz="4" w:space="0" w:color="auto"/>
            </w:tcBorders>
            <w:vAlign w:val="center"/>
            <w:hideMark/>
          </w:tcPr>
          <w:p w14:paraId="486F9DFE"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18" w:space="0" w:color="auto"/>
              <w:right w:val="single" w:sz="4" w:space="0" w:color="auto"/>
            </w:tcBorders>
            <w:vAlign w:val="center"/>
            <w:hideMark/>
          </w:tcPr>
          <w:p w14:paraId="7D0CE4DF"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4" w:space="0" w:color="auto"/>
              <w:left w:val="single" w:sz="4" w:space="0" w:color="auto"/>
              <w:bottom w:val="single" w:sz="18" w:space="0" w:color="auto"/>
              <w:right w:val="single" w:sz="18" w:space="0" w:color="auto"/>
            </w:tcBorders>
            <w:vAlign w:val="center"/>
          </w:tcPr>
          <w:p w14:paraId="72B549C7"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c>
          <w:tcPr>
            <w:tcW w:w="708" w:type="dxa"/>
            <w:tcBorders>
              <w:top w:val="single" w:sz="4" w:space="0" w:color="auto"/>
              <w:left w:val="single" w:sz="18" w:space="0" w:color="auto"/>
              <w:bottom w:val="single" w:sz="18" w:space="0" w:color="auto"/>
              <w:right w:val="single" w:sz="4" w:space="0" w:color="auto"/>
            </w:tcBorders>
            <w:vAlign w:val="center"/>
            <w:hideMark/>
          </w:tcPr>
          <w:p w14:paraId="2FDC406B"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18" w:space="0" w:color="auto"/>
              <w:right w:val="single" w:sz="4" w:space="0" w:color="auto"/>
            </w:tcBorders>
            <w:vAlign w:val="center"/>
            <w:hideMark/>
          </w:tcPr>
          <w:p w14:paraId="2FA01CB8"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X</w:t>
            </w:r>
          </w:p>
        </w:tc>
        <w:tc>
          <w:tcPr>
            <w:tcW w:w="849" w:type="dxa"/>
            <w:tcBorders>
              <w:top w:val="single" w:sz="4" w:space="0" w:color="auto"/>
              <w:left w:val="single" w:sz="4" w:space="0" w:color="auto"/>
              <w:bottom w:val="single" w:sz="18" w:space="0" w:color="auto"/>
              <w:right w:val="single" w:sz="4" w:space="0" w:color="auto"/>
            </w:tcBorders>
            <w:vAlign w:val="center"/>
            <w:hideMark/>
          </w:tcPr>
          <w:p w14:paraId="2C7A7C23"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4" w:space="0" w:color="auto"/>
              <w:left w:val="single" w:sz="4" w:space="0" w:color="auto"/>
              <w:bottom w:val="single" w:sz="18" w:space="0" w:color="auto"/>
              <w:right w:val="single" w:sz="4" w:space="0" w:color="auto"/>
            </w:tcBorders>
            <w:vAlign w:val="center"/>
          </w:tcPr>
          <w:p w14:paraId="71F91484" w14:textId="77777777" w:rsidR="00264CBA" w:rsidRPr="00CA1B1B" w:rsidRDefault="00264CBA" w:rsidP="00044354">
            <w:pPr>
              <w:spacing w:before="40" w:after="40" w:line="240" w:lineRule="auto"/>
              <w:jc w:val="center"/>
              <w:rPr>
                <w:rFonts w:asciiTheme="majorBidi" w:hAnsiTheme="majorBidi" w:cstheme="majorBidi"/>
                <w:sz w:val="18"/>
                <w:szCs w:val="18"/>
                <w:lang w:val="fr-FR"/>
              </w:rPr>
            </w:pPr>
          </w:p>
        </w:tc>
      </w:tr>
      <w:tr w:rsidR="00264CBA" w:rsidRPr="00CA1B1B" w14:paraId="41E17B0C" w14:textId="77777777" w:rsidTr="00044354">
        <w:tc>
          <w:tcPr>
            <w:tcW w:w="851" w:type="dxa"/>
            <w:tcBorders>
              <w:top w:val="single" w:sz="18" w:space="0" w:color="auto"/>
              <w:left w:val="single" w:sz="4" w:space="0" w:color="auto"/>
              <w:bottom w:val="single" w:sz="18" w:space="0" w:color="auto"/>
              <w:right w:val="single" w:sz="18" w:space="0" w:color="auto"/>
            </w:tcBorders>
            <w:vAlign w:val="center"/>
            <w:hideMark/>
          </w:tcPr>
          <w:p w14:paraId="1F8491C4"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P401</w:t>
            </w:r>
          </w:p>
        </w:tc>
        <w:tc>
          <w:tcPr>
            <w:tcW w:w="991" w:type="dxa"/>
            <w:tcBorders>
              <w:top w:val="single" w:sz="18" w:space="0" w:color="auto"/>
              <w:left w:val="single" w:sz="18" w:space="0" w:color="auto"/>
              <w:bottom w:val="single" w:sz="18" w:space="0" w:color="auto"/>
              <w:right w:val="single" w:sz="4" w:space="0" w:color="auto"/>
            </w:tcBorders>
            <w:vAlign w:val="center"/>
            <w:hideMark/>
          </w:tcPr>
          <w:p w14:paraId="3BD8D70F"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1133" w:type="dxa"/>
            <w:tcBorders>
              <w:top w:val="single" w:sz="18" w:space="0" w:color="auto"/>
              <w:left w:val="single" w:sz="4" w:space="0" w:color="auto"/>
              <w:bottom w:val="single" w:sz="18" w:space="0" w:color="auto"/>
              <w:right w:val="single" w:sz="4" w:space="0" w:color="auto"/>
            </w:tcBorders>
            <w:vAlign w:val="center"/>
            <w:hideMark/>
          </w:tcPr>
          <w:p w14:paraId="08BF1F89"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18" w:space="0" w:color="auto"/>
              <w:left w:val="single" w:sz="4" w:space="0" w:color="auto"/>
              <w:bottom w:val="single" w:sz="18" w:space="0" w:color="auto"/>
              <w:right w:val="single" w:sz="4" w:space="0" w:color="auto"/>
            </w:tcBorders>
            <w:vAlign w:val="center"/>
            <w:hideMark/>
          </w:tcPr>
          <w:p w14:paraId="27299061"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18" w:space="0" w:color="auto"/>
              <w:left w:val="single" w:sz="4" w:space="0" w:color="auto"/>
              <w:bottom w:val="single" w:sz="18" w:space="0" w:color="auto"/>
              <w:right w:val="single" w:sz="18" w:space="0" w:color="auto"/>
            </w:tcBorders>
            <w:vAlign w:val="center"/>
            <w:hideMark/>
          </w:tcPr>
          <w:p w14:paraId="0094A944"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8" w:type="dxa"/>
            <w:tcBorders>
              <w:top w:val="single" w:sz="18" w:space="0" w:color="auto"/>
              <w:left w:val="single" w:sz="18" w:space="0" w:color="auto"/>
              <w:bottom w:val="single" w:sz="18" w:space="0" w:color="auto"/>
              <w:right w:val="single" w:sz="4" w:space="0" w:color="auto"/>
            </w:tcBorders>
            <w:vAlign w:val="center"/>
            <w:hideMark/>
          </w:tcPr>
          <w:p w14:paraId="622E48E1"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18" w:space="0" w:color="auto"/>
              <w:left w:val="single" w:sz="4" w:space="0" w:color="auto"/>
              <w:bottom w:val="single" w:sz="18" w:space="0" w:color="auto"/>
              <w:right w:val="single" w:sz="4" w:space="0" w:color="auto"/>
            </w:tcBorders>
            <w:vAlign w:val="center"/>
            <w:hideMark/>
          </w:tcPr>
          <w:p w14:paraId="24AEBBE7"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X</w:t>
            </w:r>
          </w:p>
        </w:tc>
        <w:tc>
          <w:tcPr>
            <w:tcW w:w="849" w:type="dxa"/>
            <w:tcBorders>
              <w:top w:val="single" w:sz="18" w:space="0" w:color="auto"/>
              <w:left w:val="single" w:sz="4" w:space="0" w:color="auto"/>
              <w:bottom w:val="single" w:sz="18" w:space="0" w:color="auto"/>
              <w:right w:val="single" w:sz="4" w:space="0" w:color="auto"/>
            </w:tcBorders>
            <w:vAlign w:val="center"/>
            <w:hideMark/>
          </w:tcPr>
          <w:p w14:paraId="5E6B5BE4"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18" w:space="0" w:color="auto"/>
              <w:left w:val="single" w:sz="4" w:space="0" w:color="auto"/>
              <w:bottom w:val="single" w:sz="18" w:space="0" w:color="auto"/>
              <w:right w:val="single" w:sz="4" w:space="0" w:color="auto"/>
            </w:tcBorders>
            <w:vAlign w:val="center"/>
            <w:hideMark/>
          </w:tcPr>
          <w:p w14:paraId="57B124E6"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r>
      <w:tr w:rsidR="00264CBA" w:rsidRPr="00CA1B1B" w14:paraId="24685932" w14:textId="77777777" w:rsidTr="00044354">
        <w:tc>
          <w:tcPr>
            <w:tcW w:w="851" w:type="dxa"/>
            <w:tcBorders>
              <w:top w:val="single" w:sz="18" w:space="0" w:color="auto"/>
              <w:left w:val="single" w:sz="4" w:space="0" w:color="auto"/>
              <w:bottom w:val="single" w:sz="4" w:space="0" w:color="auto"/>
              <w:right w:val="single" w:sz="18" w:space="0" w:color="auto"/>
            </w:tcBorders>
            <w:vAlign w:val="center"/>
            <w:hideMark/>
          </w:tcPr>
          <w:p w14:paraId="023A5FFE" w14:textId="77777777" w:rsidR="00264CBA" w:rsidRPr="00CA1B1B" w:rsidRDefault="00264CBA" w:rsidP="00044354">
            <w:pPr>
              <w:spacing w:before="40" w:after="40" w:line="240" w:lineRule="auto"/>
              <w:rPr>
                <w:rFonts w:asciiTheme="majorBidi" w:hAnsiTheme="majorBidi" w:cstheme="majorBidi"/>
                <w:b/>
                <w:sz w:val="18"/>
                <w:szCs w:val="18"/>
              </w:rPr>
            </w:pPr>
            <w:r>
              <w:rPr>
                <w:b/>
                <w:bCs/>
                <w:lang w:val="fr-FR"/>
              </w:rPr>
              <w:t>P503</w:t>
            </w:r>
          </w:p>
        </w:tc>
        <w:tc>
          <w:tcPr>
            <w:tcW w:w="991" w:type="dxa"/>
            <w:tcBorders>
              <w:top w:val="single" w:sz="18" w:space="0" w:color="auto"/>
              <w:left w:val="single" w:sz="18" w:space="0" w:color="auto"/>
              <w:bottom w:val="single" w:sz="4" w:space="0" w:color="auto"/>
              <w:right w:val="single" w:sz="4" w:space="0" w:color="auto"/>
            </w:tcBorders>
            <w:vAlign w:val="center"/>
            <w:hideMark/>
          </w:tcPr>
          <w:p w14:paraId="14814494"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1133" w:type="dxa"/>
            <w:tcBorders>
              <w:top w:val="single" w:sz="18" w:space="0" w:color="auto"/>
              <w:left w:val="single" w:sz="4" w:space="0" w:color="auto"/>
              <w:bottom w:val="single" w:sz="4" w:space="0" w:color="auto"/>
              <w:right w:val="single" w:sz="4" w:space="0" w:color="auto"/>
            </w:tcBorders>
            <w:vAlign w:val="center"/>
            <w:hideMark/>
          </w:tcPr>
          <w:p w14:paraId="3E30A92D"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18" w:space="0" w:color="auto"/>
              <w:left w:val="single" w:sz="4" w:space="0" w:color="auto"/>
              <w:bottom w:val="single" w:sz="4" w:space="0" w:color="auto"/>
              <w:right w:val="single" w:sz="4" w:space="0" w:color="auto"/>
            </w:tcBorders>
            <w:vAlign w:val="center"/>
            <w:hideMark/>
          </w:tcPr>
          <w:p w14:paraId="6BD6F1CC"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9" w:type="dxa"/>
            <w:tcBorders>
              <w:top w:val="single" w:sz="18" w:space="0" w:color="auto"/>
              <w:left w:val="single" w:sz="4" w:space="0" w:color="auto"/>
              <w:bottom w:val="single" w:sz="4" w:space="0" w:color="auto"/>
              <w:right w:val="single" w:sz="18" w:space="0" w:color="auto"/>
            </w:tcBorders>
            <w:vAlign w:val="center"/>
            <w:hideMark/>
          </w:tcPr>
          <w:p w14:paraId="3006FFC5"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708" w:type="dxa"/>
            <w:tcBorders>
              <w:top w:val="single" w:sz="18" w:space="0" w:color="auto"/>
              <w:left w:val="single" w:sz="18" w:space="0" w:color="auto"/>
              <w:bottom w:val="single" w:sz="4" w:space="0" w:color="auto"/>
              <w:right w:val="single" w:sz="4" w:space="0" w:color="auto"/>
            </w:tcBorders>
            <w:vAlign w:val="center"/>
            <w:hideMark/>
          </w:tcPr>
          <w:p w14:paraId="178EE855"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18" w:space="0" w:color="auto"/>
              <w:left w:val="single" w:sz="4" w:space="0" w:color="auto"/>
              <w:bottom w:val="single" w:sz="4" w:space="0" w:color="auto"/>
              <w:right w:val="single" w:sz="4" w:space="0" w:color="auto"/>
            </w:tcBorders>
            <w:vAlign w:val="center"/>
            <w:hideMark/>
          </w:tcPr>
          <w:p w14:paraId="6073CE75" w14:textId="77777777" w:rsidR="00264CBA" w:rsidRPr="00CA1B1B" w:rsidRDefault="00264CBA" w:rsidP="00044354">
            <w:pPr>
              <w:spacing w:before="40" w:after="40" w:line="240" w:lineRule="auto"/>
              <w:ind w:right="-21"/>
              <w:jc w:val="center"/>
              <w:rPr>
                <w:rFonts w:asciiTheme="majorBidi" w:hAnsiTheme="majorBidi" w:cstheme="majorBidi"/>
                <w:sz w:val="18"/>
                <w:szCs w:val="18"/>
              </w:rPr>
            </w:pPr>
            <w:r>
              <w:rPr>
                <w:lang w:val="fr-FR"/>
              </w:rPr>
              <w:t>X</w:t>
            </w:r>
          </w:p>
        </w:tc>
        <w:tc>
          <w:tcPr>
            <w:tcW w:w="849" w:type="dxa"/>
            <w:tcBorders>
              <w:top w:val="single" w:sz="18" w:space="0" w:color="auto"/>
              <w:left w:val="single" w:sz="4" w:space="0" w:color="auto"/>
              <w:bottom w:val="single" w:sz="4" w:space="0" w:color="auto"/>
              <w:right w:val="single" w:sz="4" w:space="0" w:color="auto"/>
            </w:tcBorders>
            <w:vAlign w:val="center"/>
            <w:hideMark/>
          </w:tcPr>
          <w:p w14:paraId="55C44694"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c>
          <w:tcPr>
            <w:tcW w:w="850" w:type="dxa"/>
            <w:tcBorders>
              <w:top w:val="single" w:sz="18" w:space="0" w:color="auto"/>
              <w:left w:val="single" w:sz="4" w:space="0" w:color="auto"/>
              <w:bottom w:val="single" w:sz="4" w:space="0" w:color="auto"/>
              <w:right w:val="single" w:sz="4" w:space="0" w:color="auto"/>
            </w:tcBorders>
            <w:vAlign w:val="center"/>
            <w:hideMark/>
          </w:tcPr>
          <w:p w14:paraId="65D48111" w14:textId="77777777" w:rsidR="00264CBA" w:rsidRPr="00CA1B1B" w:rsidRDefault="00264CBA" w:rsidP="00044354">
            <w:pPr>
              <w:spacing w:before="40" w:after="40" w:line="240" w:lineRule="auto"/>
              <w:jc w:val="center"/>
              <w:rPr>
                <w:rFonts w:asciiTheme="majorBidi" w:hAnsiTheme="majorBidi" w:cstheme="majorBidi"/>
                <w:sz w:val="18"/>
                <w:szCs w:val="18"/>
              </w:rPr>
            </w:pPr>
            <w:r>
              <w:rPr>
                <w:lang w:val="fr-FR"/>
              </w:rPr>
              <w:t>X</w:t>
            </w:r>
          </w:p>
        </w:tc>
      </w:tr>
    </w:tbl>
    <w:p w14:paraId="52329BD8" w14:textId="77777777" w:rsidR="00264CBA" w:rsidRPr="00FD4065" w:rsidRDefault="00264CBA" w:rsidP="00FD4065">
      <w:pPr>
        <w:suppressAutoHyphens w:val="0"/>
        <w:spacing w:before="120" w:line="240" w:lineRule="auto"/>
        <w:ind w:firstLine="737"/>
        <w:rPr>
          <w:b/>
          <w:sz w:val="24"/>
          <w:lang w:val="fr-FR"/>
        </w:rPr>
      </w:pPr>
      <w:r>
        <w:rPr>
          <w:lang w:val="fr-FR"/>
        </w:rPr>
        <w:tab/>
        <w:t xml:space="preserve">* </w:t>
      </w:r>
      <w:r w:rsidRPr="00FD6AFD">
        <w:rPr>
          <w:sz w:val="18"/>
          <w:szCs w:val="18"/>
          <w:lang w:val="fr-FR"/>
        </w:rPr>
        <w:t>« X » indique un groupe de compatibilité autre que S.</w:t>
      </w:r>
    </w:p>
    <w:p w14:paraId="7A918EA6" w14:textId="77777777" w:rsidR="00264CBA" w:rsidRPr="004977DA" w:rsidRDefault="00FD4065" w:rsidP="00FD4065">
      <w:pPr>
        <w:pStyle w:val="HChG"/>
        <w:spacing w:before="0"/>
        <w:rPr>
          <w:lang w:val="fr-FR"/>
        </w:rPr>
      </w:pPr>
      <w:r>
        <w:rPr>
          <w:lang w:val="fr-FR"/>
        </w:rPr>
        <w:br w:type="page"/>
      </w:r>
      <w:r w:rsidR="00264CBA">
        <w:rPr>
          <w:lang w:val="fr-FR"/>
        </w:rPr>
        <w:lastRenderedPageBreak/>
        <w:tab/>
      </w:r>
      <w:r w:rsidR="00264CBA">
        <w:rPr>
          <w:lang w:val="fr-FR"/>
        </w:rPr>
        <w:tab/>
      </w:r>
      <w:r w:rsidR="00264CBA">
        <w:rPr>
          <w:bCs/>
          <w:lang w:val="fr-FR"/>
        </w:rPr>
        <w:t>Annexe II</w:t>
      </w:r>
    </w:p>
    <w:p w14:paraId="3D1A66B3" w14:textId="77777777" w:rsidR="00264CBA" w:rsidRPr="004977DA" w:rsidRDefault="00264CBA" w:rsidP="00264CBA">
      <w:pPr>
        <w:pStyle w:val="HChG"/>
        <w:rPr>
          <w:lang w:val="fr-FR"/>
        </w:rPr>
      </w:pPr>
      <w:r>
        <w:rPr>
          <w:lang w:val="fr-FR"/>
        </w:rPr>
        <w:tab/>
      </w:r>
      <w:r>
        <w:rPr>
          <w:lang w:val="fr-FR"/>
        </w:rPr>
        <w:tab/>
      </w:r>
      <w:r>
        <w:rPr>
          <w:bCs/>
          <w:lang w:val="fr-FR"/>
        </w:rPr>
        <w:t>Liste des modifications à apporter à la section 2 de l’annexe 3 du SGH</w:t>
      </w:r>
    </w:p>
    <w:p w14:paraId="38E2A630" w14:textId="77777777" w:rsidR="00264CBA" w:rsidRPr="004977DA" w:rsidRDefault="00264CBA" w:rsidP="00264CBA">
      <w:pPr>
        <w:pStyle w:val="H1G"/>
        <w:rPr>
          <w:lang w:val="fr-FR"/>
        </w:rPr>
      </w:pPr>
      <w:r>
        <w:rPr>
          <w:lang w:val="fr-FR"/>
        </w:rPr>
        <w:tab/>
      </w:r>
      <w:r>
        <w:rPr>
          <w:lang w:val="fr-FR"/>
        </w:rPr>
        <w:tab/>
      </w:r>
      <w:r>
        <w:rPr>
          <w:bCs/>
          <w:lang w:val="fr-FR"/>
        </w:rPr>
        <w:t>Modifications dans le tableau A3.2.2</w:t>
      </w:r>
    </w:p>
    <w:p w14:paraId="6A0E4C03" w14:textId="77777777" w:rsidR="00264CBA" w:rsidRPr="004977DA" w:rsidRDefault="00264CBA" w:rsidP="00264CBA">
      <w:pPr>
        <w:pStyle w:val="Bullet1G"/>
        <w:numPr>
          <w:ilvl w:val="0"/>
          <w:numId w:val="17"/>
        </w:numPr>
        <w:rPr>
          <w:lang w:val="fr-FR"/>
        </w:rPr>
      </w:pPr>
      <w:r>
        <w:rPr>
          <w:lang w:val="fr-FR"/>
        </w:rPr>
        <w:t>P203 : remplacer « Explosif instable » par « 1, 2A, 2B » dans la colonne 4.</w:t>
      </w:r>
    </w:p>
    <w:p w14:paraId="4187015B" w14:textId="77777777" w:rsidR="00264CBA" w:rsidRPr="004977DA" w:rsidRDefault="00264CBA" w:rsidP="00264CBA">
      <w:pPr>
        <w:pStyle w:val="Bullet1G"/>
        <w:numPr>
          <w:ilvl w:val="0"/>
          <w:numId w:val="17"/>
        </w:numPr>
        <w:rPr>
          <w:lang w:val="fr-FR"/>
        </w:rPr>
      </w:pPr>
      <w:r>
        <w:rPr>
          <w:lang w:val="fr-FR"/>
        </w:rPr>
        <w:t>P210 : remplacer « Divisions 1.1, 1.2, 1.3, 1.4, 1.5 » par « 1, 2A, 2B, 2C » dans la colonne 4.</w:t>
      </w:r>
    </w:p>
    <w:p w14:paraId="734BD9F8" w14:textId="77777777" w:rsidR="00264CBA" w:rsidRPr="004977DA" w:rsidRDefault="00264CBA" w:rsidP="00264CBA">
      <w:pPr>
        <w:pStyle w:val="Bullet1G"/>
        <w:numPr>
          <w:ilvl w:val="0"/>
          <w:numId w:val="17"/>
        </w:numPr>
        <w:rPr>
          <w:lang w:val="fr-FR"/>
        </w:rPr>
      </w:pPr>
      <w:r>
        <w:rPr>
          <w:lang w:val="fr-FR"/>
        </w:rPr>
        <w:t>P230 : remplacer « Divisions 1.1, 1.2, 1.3, 1.5 » par « 1, 2A, 2B, 2C » dans la colonne 4.</w:t>
      </w:r>
    </w:p>
    <w:p w14:paraId="3FF5FE19" w14:textId="77777777" w:rsidR="00264CBA" w:rsidRPr="004977DA" w:rsidRDefault="00264CBA" w:rsidP="00264CBA">
      <w:pPr>
        <w:pStyle w:val="Bullet1G"/>
        <w:numPr>
          <w:ilvl w:val="0"/>
          <w:numId w:val="17"/>
        </w:numPr>
        <w:rPr>
          <w:lang w:val="fr-FR"/>
        </w:rPr>
      </w:pPr>
      <w:r>
        <w:rPr>
          <w:lang w:val="fr-FR"/>
        </w:rPr>
        <w:t>P234 : remplacer « Divisions 1.1, 1.2, 1.3, 1.4, 1.5 » par « 2A, 2B, 2C » dans la colonne 4.</w:t>
      </w:r>
    </w:p>
    <w:p w14:paraId="5B21DA6D" w14:textId="77777777" w:rsidR="00264CBA" w:rsidRPr="004977DA" w:rsidRDefault="00264CBA" w:rsidP="00264CBA">
      <w:pPr>
        <w:pStyle w:val="Bullet1G"/>
        <w:numPr>
          <w:ilvl w:val="0"/>
          <w:numId w:val="17"/>
        </w:numPr>
        <w:rPr>
          <w:lang w:val="fr-FR"/>
        </w:rPr>
      </w:pPr>
      <w:r>
        <w:rPr>
          <w:lang w:val="fr-FR"/>
        </w:rPr>
        <w:t>P240 : remplacer « Divisions 1.1, 1.2, 1.3, 1.4, 1.5 » par « 1, 2A, 2B, 2C » dans la colonne 4.</w:t>
      </w:r>
    </w:p>
    <w:p w14:paraId="3CC55D2B" w14:textId="77777777" w:rsidR="00264CBA" w:rsidRPr="004977DA" w:rsidRDefault="00264CBA" w:rsidP="00264CBA">
      <w:pPr>
        <w:pStyle w:val="Bullet1G"/>
        <w:numPr>
          <w:ilvl w:val="0"/>
          <w:numId w:val="17"/>
        </w:numPr>
        <w:rPr>
          <w:lang w:val="fr-FR"/>
        </w:rPr>
      </w:pPr>
      <w:r>
        <w:rPr>
          <w:lang w:val="fr-FR"/>
        </w:rPr>
        <w:t>P250 : remplacer « Explosifs instables et divisions 1.1, 1.2, 1.3, 1.4, 1.5 » par « 1, 2A, 2B, 2C » dans la colonne 4.</w:t>
      </w:r>
    </w:p>
    <w:p w14:paraId="7A93FEBA" w14:textId="77777777" w:rsidR="00264CBA" w:rsidRPr="004977DA" w:rsidRDefault="00264CBA" w:rsidP="00264CBA">
      <w:pPr>
        <w:pStyle w:val="Bullet1G"/>
        <w:numPr>
          <w:ilvl w:val="0"/>
          <w:numId w:val="17"/>
        </w:numPr>
        <w:rPr>
          <w:lang w:val="fr-FR"/>
        </w:rPr>
      </w:pPr>
      <w:r>
        <w:rPr>
          <w:lang w:val="fr-FR"/>
        </w:rPr>
        <w:t>P280 : remplacer « Explosifs instables et divisions 1.1, 1.2, 1.3, 1.4, 1.5 » par « 1, 2A, 2B, 2C » dans la colonne 4.</w:t>
      </w:r>
    </w:p>
    <w:p w14:paraId="1AA02A0C" w14:textId="77777777" w:rsidR="00264CBA" w:rsidRPr="004977DA" w:rsidRDefault="00264CBA" w:rsidP="00264CBA">
      <w:pPr>
        <w:pStyle w:val="H1G"/>
        <w:rPr>
          <w:lang w:val="fr-FR"/>
        </w:rPr>
      </w:pPr>
      <w:r>
        <w:rPr>
          <w:lang w:val="fr-FR"/>
        </w:rPr>
        <w:tab/>
      </w:r>
      <w:r>
        <w:rPr>
          <w:lang w:val="fr-FR"/>
        </w:rPr>
        <w:tab/>
      </w:r>
      <w:r>
        <w:rPr>
          <w:bCs/>
          <w:lang w:val="fr-FR"/>
        </w:rPr>
        <w:t>Modifications dans le tableau A3.2.3</w:t>
      </w:r>
    </w:p>
    <w:p w14:paraId="0D79C73C" w14:textId="77777777" w:rsidR="00264CBA" w:rsidRPr="004977DA" w:rsidRDefault="00264CBA" w:rsidP="00264CBA">
      <w:pPr>
        <w:pStyle w:val="Bullet1G"/>
        <w:numPr>
          <w:ilvl w:val="0"/>
          <w:numId w:val="17"/>
        </w:numPr>
        <w:rPr>
          <w:lang w:val="fr-FR"/>
        </w:rPr>
      </w:pPr>
      <w:r>
        <w:rPr>
          <w:lang w:val="fr-FR"/>
        </w:rPr>
        <w:t>P370 : remplacer « Explosifs instables et divisions 1.1, 1.2, 1.3, 1.4, 1.5 » par « 1, 2A, 2B, 2C ».</w:t>
      </w:r>
    </w:p>
    <w:p w14:paraId="13DCF71B" w14:textId="77777777" w:rsidR="00264CBA" w:rsidRPr="004977DA" w:rsidRDefault="00264CBA" w:rsidP="00264CBA">
      <w:pPr>
        <w:pStyle w:val="Bullet1G"/>
        <w:numPr>
          <w:ilvl w:val="0"/>
          <w:numId w:val="17"/>
        </w:numPr>
        <w:rPr>
          <w:lang w:val="fr-FR"/>
        </w:rPr>
      </w:pPr>
      <w:r>
        <w:rPr>
          <w:lang w:val="fr-FR"/>
        </w:rPr>
        <w:t>P372 : remplacer « Explosifs instables et divisions 1.1, 1.2, 1.3, 1.5 » par « 1, 2A, 2B » dans la colonne 4 et supprimer « </w:t>
      </w:r>
      <w:r>
        <w:rPr>
          <w:i/>
          <w:iCs/>
          <w:lang w:val="fr-FR"/>
        </w:rPr>
        <w:t>− Sauf pour les matières et objets explosibles de la division 1.4 (groupe de compatibilité S) emballés pour le transport.</w:t>
      </w:r>
      <w:r>
        <w:rPr>
          <w:lang w:val="fr-FR"/>
        </w:rPr>
        <w:t xml:space="preserve"> » dans la colonne 5. </w:t>
      </w:r>
    </w:p>
    <w:p w14:paraId="1F008407" w14:textId="77777777" w:rsidR="00264CBA" w:rsidRPr="004977DA" w:rsidRDefault="00264CBA" w:rsidP="00264CBA">
      <w:pPr>
        <w:pStyle w:val="Bullet1G"/>
        <w:numPr>
          <w:ilvl w:val="0"/>
          <w:numId w:val="17"/>
        </w:numPr>
        <w:rPr>
          <w:lang w:val="fr-FR"/>
        </w:rPr>
      </w:pPr>
      <w:r>
        <w:rPr>
          <w:lang w:val="fr-FR"/>
        </w:rPr>
        <w:t>P373 : remplacer « Explosifs instables et divisions 1.1, 1.2, 1.3, 1.5 » par « 1, 2A, 2B » dans la colonne 4 et supprimer « </w:t>
      </w:r>
      <w:r>
        <w:rPr>
          <w:i/>
          <w:iCs/>
          <w:lang w:val="fr-FR"/>
        </w:rPr>
        <w:t>− Sauf pour les matières et objets explosibles de la division 1.4 (groupe de compatibilité S) emballés pour le transport.</w:t>
      </w:r>
      <w:r>
        <w:rPr>
          <w:lang w:val="fr-FR"/>
        </w:rPr>
        <w:t xml:space="preserve"> » dans la colonne 5. </w:t>
      </w:r>
    </w:p>
    <w:p w14:paraId="71D5C360" w14:textId="77777777" w:rsidR="00264CBA" w:rsidRPr="004977DA" w:rsidRDefault="00264CBA" w:rsidP="00264CBA">
      <w:pPr>
        <w:pStyle w:val="Bullet1G"/>
        <w:numPr>
          <w:ilvl w:val="0"/>
          <w:numId w:val="17"/>
        </w:numPr>
        <w:rPr>
          <w:lang w:val="fr-FR"/>
        </w:rPr>
      </w:pPr>
      <w:r>
        <w:rPr>
          <w:lang w:val="fr-FR"/>
        </w:rPr>
        <w:t>P375 : remplacer « Division 1.4 » par « 2C » dans la colonne 4 et supprimer « </w:t>
      </w:r>
      <w:r>
        <w:rPr>
          <w:i/>
          <w:iCs/>
          <w:lang w:val="fr-FR"/>
        </w:rPr>
        <w:t>− Pour les matières et objets explosibles de la division 1.4 (groupe de compatibilité S) emballés pour le transport.</w:t>
      </w:r>
      <w:r>
        <w:rPr>
          <w:lang w:val="fr-FR"/>
        </w:rPr>
        <w:t xml:space="preserve"> » dans la colonne 5. </w:t>
      </w:r>
    </w:p>
    <w:p w14:paraId="30B53AFA" w14:textId="77777777" w:rsidR="00264CBA" w:rsidRPr="004977DA" w:rsidRDefault="00264CBA" w:rsidP="00264CBA">
      <w:pPr>
        <w:pStyle w:val="Bullet1G"/>
        <w:numPr>
          <w:ilvl w:val="0"/>
          <w:numId w:val="17"/>
        </w:numPr>
        <w:rPr>
          <w:lang w:val="fr-FR"/>
        </w:rPr>
      </w:pPr>
      <w:r>
        <w:rPr>
          <w:lang w:val="fr-FR"/>
        </w:rPr>
        <w:t>P380 : remplacer « Explosifs instables et divisions 1.1, 1.2, 1.3, 1.4, 1.5 » par « 1, 2A, 2B, 2C » dans la colonne 4.</w:t>
      </w:r>
    </w:p>
    <w:p w14:paraId="33A46176" w14:textId="77777777" w:rsidR="00264CBA" w:rsidRPr="004977DA" w:rsidRDefault="00264CBA" w:rsidP="00264CBA">
      <w:pPr>
        <w:pStyle w:val="Bullet1G"/>
        <w:numPr>
          <w:ilvl w:val="0"/>
          <w:numId w:val="17"/>
        </w:numPr>
        <w:rPr>
          <w:lang w:val="fr-FR"/>
        </w:rPr>
      </w:pPr>
      <w:r>
        <w:rPr>
          <w:lang w:val="fr-FR"/>
        </w:rPr>
        <w:t>P370 + P380 + P375 : remplacer « Division 1.4 » par « 2C » dans la colonne 4 et supprimer « </w:t>
      </w:r>
      <w:r>
        <w:rPr>
          <w:i/>
          <w:iCs/>
          <w:lang w:val="fr-FR"/>
        </w:rPr>
        <w:t>− Pour les matières et objets explosibles de la division 1.4 (groupe de compatibilité S) emballés pour le transport.</w:t>
      </w:r>
      <w:r>
        <w:rPr>
          <w:lang w:val="fr-FR"/>
        </w:rPr>
        <w:t xml:space="preserve"> » dans la colonne 5. </w:t>
      </w:r>
    </w:p>
    <w:p w14:paraId="443BC123" w14:textId="77777777" w:rsidR="00264CBA" w:rsidRPr="004977DA" w:rsidRDefault="00264CBA" w:rsidP="00264CBA">
      <w:pPr>
        <w:pStyle w:val="Bullet1G"/>
        <w:numPr>
          <w:ilvl w:val="0"/>
          <w:numId w:val="17"/>
        </w:numPr>
        <w:rPr>
          <w:lang w:val="fr-FR"/>
        </w:rPr>
      </w:pPr>
      <w:r>
        <w:rPr>
          <w:lang w:val="fr-FR"/>
        </w:rPr>
        <w:t>P370 + P372 + P380 + P373 : remplacer « Explosifs instables et divisions 1.1, 1.2, 1.3, 1.5 » par « 1, 2A, 2B », supprimer « Division 1.4 » dans la colonne 4 et supprimer « </w:t>
      </w:r>
      <w:r>
        <w:rPr>
          <w:i/>
          <w:iCs/>
          <w:lang w:val="fr-FR"/>
        </w:rPr>
        <w:t>− Sauf pour les matières et objets explosibles de la division 1.4 (groupe de compatibilité S) emballés pour le transport.</w:t>
      </w:r>
      <w:r>
        <w:rPr>
          <w:lang w:val="fr-FR"/>
        </w:rPr>
        <w:t xml:space="preserve"> » dans la colonne 5. </w:t>
      </w:r>
    </w:p>
    <w:p w14:paraId="436D2A51" w14:textId="77777777" w:rsidR="00264CBA" w:rsidRPr="004977DA" w:rsidRDefault="00264CBA" w:rsidP="00264CBA">
      <w:pPr>
        <w:pStyle w:val="H1G"/>
        <w:rPr>
          <w:lang w:val="fr-FR"/>
        </w:rPr>
      </w:pPr>
      <w:r>
        <w:rPr>
          <w:lang w:val="fr-FR"/>
        </w:rPr>
        <w:tab/>
      </w:r>
      <w:r>
        <w:rPr>
          <w:lang w:val="fr-FR"/>
        </w:rPr>
        <w:tab/>
      </w:r>
      <w:r>
        <w:rPr>
          <w:bCs/>
          <w:lang w:val="fr-FR"/>
        </w:rPr>
        <w:t>Modifications dans le tableau A3.2.4</w:t>
      </w:r>
    </w:p>
    <w:p w14:paraId="4DFD2DA8" w14:textId="77777777" w:rsidR="00264CBA" w:rsidRPr="004977DA" w:rsidRDefault="00264CBA" w:rsidP="00264CBA">
      <w:pPr>
        <w:pStyle w:val="Bullet1G"/>
        <w:numPr>
          <w:ilvl w:val="0"/>
          <w:numId w:val="17"/>
        </w:numPr>
        <w:rPr>
          <w:lang w:val="fr-FR"/>
        </w:rPr>
      </w:pPr>
      <w:r>
        <w:rPr>
          <w:lang w:val="fr-FR"/>
        </w:rPr>
        <w:t>P401 : remplacer « Explosifs instables et divisions 1.1, 1.2, 1.3, 1.4, 1.5 » par « 1, 2A, 2B, 2C » dans la colonne 4.</w:t>
      </w:r>
    </w:p>
    <w:p w14:paraId="04CD63C5" w14:textId="77777777" w:rsidR="00264CBA" w:rsidRPr="004977DA" w:rsidRDefault="00264CBA" w:rsidP="00264CBA">
      <w:pPr>
        <w:pStyle w:val="H1G"/>
        <w:spacing w:before="240" w:after="120"/>
        <w:rPr>
          <w:lang w:val="fr-FR"/>
        </w:rPr>
      </w:pPr>
      <w:r>
        <w:rPr>
          <w:lang w:val="fr-FR"/>
        </w:rPr>
        <w:lastRenderedPageBreak/>
        <w:tab/>
      </w:r>
      <w:r>
        <w:rPr>
          <w:lang w:val="fr-FR"/>
        </w:rPr>
        <w:tab/>
      </w:r>
      <w:r>
        <w:rPr>
          <w:bCs/>
          <w:lang w:val="fr-FR"/>
        </w:rPr>
        <w:t>Modifications dans le tableau A3.2.5</w:t>
      </w:r>
    </w:p>
    <w:p w14:paraId="567938F5" w14:textId="77777777" w:rsidR="00264CBA" w:rsidRPr="004977DA" w:rsidRDefault="00264CBA" w:rsidP="00264CBA">
      <w:pPr>
        <w:pStyle w:val="Bullet1G"/>
        <w:numPr>
          <w:ilvl w:val="0"/>
          <w:numId w:val="17"/>
        </w:numPr>
        <w:rPr>
          <w:lang w:val="fr-FR"/>
        </w:rPr>
      </w:pPr>
      <w:r>
        <w:rPr>
          <w:lang w:val="fr-FR"/>
        </w:rPr>
        <w:t>P503 : remplacer « Explosifs instables et divisions 1.1, 1.2, 1.3, 1.4, 1.5 » par « 1, 2A, 2B, 2C » dans la colonne 4.</w:t>
      </w:r>
    </w:p>
    <w:p w14:paraId="038AF848" w14:textId="77777777" w:rsidR="00446FE5" w:rsidRPr="00264CBA" w:rsidRDefault="00264CBA" w:rsidP="00264CBA">
      <w:pPr>
        <w:pStyle w:val="SingleTxtG"/>
        <w:spacing w:before="240" w:after="0"/>
        <w:jc w:val="center"/>
        <w:rPr>
          <w:u w:val="single"/>
        </w:rPr>
      </w:pPr>
      <w:r>
        <w:rPr>
          <w:u w:val="single"/>
          <w:lang w:val="fr-FR"/>
        </w:rPr>
        <w:tab/>
      </w:r>
      <w:r>
        <w:rPr>
          <w:u w:val="single"/>
          <w:lang w:val="fr-FR"/>
        </w:rPr>
        <w:tab/>
      </w:r>
      <w:r>
        <w:rPr>
          <w:u w:val="single"/>
          <w:lang w:val="fr-FR"/>
        </w:rPr>
        <w:tab/>
      </w:r>
    </w:p>
    <w:sectPr w:rsidR="00446FE5" w:rsidRPr="00264CBA" w:rsidSect="00264CBA">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65291" w14:textId="77777777" w:rsidR="00EE749E" w:rsidRDefault="00EE749E" w:rsidP="00F95C08">
      <w:pPr>
        <w:spacing w:line="240" w:lineRule="auto"/>
      </w:pPr>
    </w:p>
  </w:endnote>
  <w:endnote w:type="continuationSeparator" w:id="0">
    <w:p w14:paraId="22714448" w14:textId="77777777" w:rsidR="00EE749E" w:rsidRPr="00AC3823" w:rsidRDefault="00EE749E" w:rsidP="00AC3823">
      <w:pPr>
        <w:pStyle w:val="Footer"/>
      </w:pPr>
    </w:p>
  </w:endnote>
  <w:endnote w:type="continuationNotice" w:id="1">
    <w:p w14:paraId="5A48ECE1" w14:textId="77777777" w:rsidR="00EE749E" w:rsidRDefault="00EE74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1A03" w14:textId="77777777" w:rsidR="00264CBA" w:rsidRPr="00264CBA" w:rsidRDefault="00264CBA" w:rsidP="00264CBA">
    <w:pPr>
      <w:pStyle w:val="Footer"/>
      <w:tabs>
        <w:tab w:val="right" w:pos="9638"/>
      </w:tabs>
    </w:pPr>
    <w:r w:rsidRPr="00264CBA">
      <w:rPr>
        <w:b/>
        <w:sz w:val="18"/>
      </w:rPr>
      <w:fldChar w:fldCharType="begin"/>
    </w:r>
    <w:r w:rsidRPr="00264CBA">
      <w:rPr>
        <w:b/>
        <w:sz w:val="18"/>
      </w:rPr>
      <w:instrText xml:space="preserve"> PAGE  \* MERGEFORMAT </w:instrText>
    </w:r>
    <w:r w:rsidRPr="00264CBA">
      <w:rPr>
        <w:b/>
        <w:sz w:val="18"/>
      </w:rPr>
      <w:fldChar w:fldCharType="separate"/>
    </w:r>
    <w:r w:rsidRPr="00264CBA">
      <w:rPr>
        <w:b/>
        <w:noProof/>
        <w:sz w:val="18"/>
      </w:rPr>
      <w:t>2</w:t>
    </w:r>
    <w:r w:rsidRPr="00264CBA">
      <w:rPr>
        <w:b/>
        <w:sz w:val="18"/>
      </w:rPr>
      <w:fldChar w:fldCharType="end"/>
    </w:r>
    <w:r>
      <w:rPr>
        <w:b/>
        <w:sz w:val="18"/>
      </w:rPr>
      <w:tab/>
    </w:r>
    <w:r>
      <w:t>GE.20-05314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9901" w14:textId="77777777" w:rsidR="00264CBA" w:rsidRPr="00264CBA" w:rsidRDefault="00264CBA" w:rsidP="00264CBA">
    <w:pPr>
      <w:pStyle w:val="Footer"/>
      <w:tabs>
        <w:tab w:val="right" w:pos="9638"/>
      </w:tabs>
      <w:rPr>
        <w:b/>
        <w:sz w:val="18"/>
      </w:rPr>
    </w:pPr>
    <w:r>
      <w:t>GE.20-05314</w:t>
    </w:r>
    <w:r>
      <w:tab/>
    </w:r>
    <w:r w:rsidRPr="00264CBA">
      <w:rPr>
        <w:b/>
        <w:sz w:val="18"/>
      </w:rPr>
      <w:fldChar w:fldCharType="begin"/>
    </w:r>
    <w:r w:rsidRPr="00264CBA">
      <w:rPr>
        <w:b/>
        <w:sz w:val="18"/>
      </w:rPr>
      <w:instrText xml:space="preserve"> PAGE  \* MERGEFORMAT </w:instrText>
    </w:r>
    <w:r w:rsidRPr="00264CBA">
      <w:rPr>
        <w:b/>
        <w:sz w:val="18"/>
      </w:rPr>
      <w:fldChar w:fldCharType="separate"/>
    </w:r>
    <w:r w:rsidRPr="00264CBA">
      <w:rPr>
        <w:b/>
        <w:noProof/>
        <w:sz w:val="18"/>
      </w:rPr>
      <w:t>3</w:t>
    </w:r>
    <w:r w:rsidRPr="00264C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A86BA" w14:textId="77777777" w:rsidR="0068456F" w:rsidRPr="00264CBA" w:rsidRDefault="00264CBA" w:rsidP="00264CBA">
    <w:pPr>
      <w:pStyle w:val="Footer"/>
      <w:spacing w:before="120"/>
      <w:rPr>
        <w:sz w:val="20"/>
      </w:rPr>
    </w:pPr>
    <w:r>
      <w:rPr>
        <w:sz w:val="20"/>
      </w:rPr>
      <w:t>GE.</w:t>
    </w:r>
    <w:r w:rsidR="0068456F">
      <w:rPr>
        <w:noProof/>
        <w:lang w:eastAsia="fr-CH"/>
      </w:rPr>
      <w:drawing>
        <wp:anchor distT="0" distB="0" distL="114300" distR="114300" simplePos="0" relativeHeight="251660800" behindDoc="0" locked="0" layoutInCell="1" allowOverlap="0" wp14:anchorId="1065BE9C" wp14:editId="2A4E167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20-05314  (F)</w:t>
    </w:r>
    <w:r w:rsidR="00BF45AA">
      <w:rPr>
        <w:sz w:val="20"/>
      </w:rPr>
      <w:t xml:space="preserve">    121020    131020</w:t>
    </w:r>
    <w:r>
      <w:rPr>
        <w:sz w:val="20"/>
      </w:rPr>
      <w:br/>
    </w:r>
    <w:r w:rsidRPr="00264CBA">
      <w:rPr>
        <w:rFonts w:ascii="C39T30Lfz" w:hAnsi="C39T30Lfz"/>
        <w:sz w:val="56"/>
      </w:rPr>
      <w:t>*2005314*</w:t>
    </w:r>
    <w:r>
      <w:rPr>
        <w:noProof/>
        <w:sz w:val="20"/>
      </w:rPr>
      <w:drawing>
        <wp:anchor distT="0" distB="0" distL="114300" distR="114300" simplePos="0" relativeHeight="251660288" behindDoc="0" locked="0" layoutInCell="1" allowOverlap="1" wp14:anchorId="10C11BD1" wp14:editId="5B54DE1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89D0F" w14:textId="77777777" w:rsidR="00EE749E" w:rsidRPr="00AC3823" w:rsidRDefault="00EE749E" w:rsidP="00AC3823">
      <w:pPr>
        <w:pStyle w:val="Footer"/>
        <w:tabs>
          <w:tab w:val="right" w:pos="2155"/>
        </w:tabs>
        <w:spacing w:after="80" w:line="240" w:lineRule="atLeast"/>
        <w:ind w:left="680"/>
        <w:rPr>
          <w:u w:val="single"/>
        </w:rPr>
      </w:pPr>
      <w:r>
        <w:rPr>
          <w:u w:val="single"/>
        </w:rPr>
        <w:tab/>
      </w:r>
    </w:p>
  </w:footnote>
  <w:footnote w:type="continuationSeparator" w:id="0">
    <w:p w14:paraId="047DE529" w14:textId="77777777" w:rsidR="00EE749E" w:rsidRPr="00AC3823" w:rsidRDefault="00EE749E" w:rsidP="00AC3823">
      <w:pPr>
        <w:pStyle w:val="Footer"/>
        <w:tabs>
          <w:tab w:val="right" w:pos="2155"/>
        </w:tabs>
        <w:spacing w:after="80" w:line="240" w:lineRule="atLeast"/>
        <w:ind w:left="680"/>
        <w:rPr>
          <w:u w:val="single"/>
        </w:rPr>
      </w:pPr>
      <w:r>
        <w:rPr>
          <w:u w:val="single"/>
        </w:rPr>
        <w:tab/>
      </w:r>
    </w:p>
  </w:footnote>
  <w:footnote w:type="continuationNotice" w:id="1">
    <w:p w14:paraId="12B65EA0" w14:textId="77777777" w:rsidR="00EE749E" w:rsidRPr="00AC3823" w:rsidRDefault="00EE749E">
      <w:pPr>
        <w:spacing w:line="240" w:lineRule="auto"/>
        <w:rPr>
          <w:sz w:val="2"/>
          <w:szCs w:val="2"/>
        </w:rPr>
      </w:pPr>
    </w:p>
  </w:footnote>
  <w:footnote w:id="2">
    <w:p w14:paraId="61D81468" w14:textId="77777777" w:rsidR="00264CBA" w:rsidRPr="0060064D" w:rsidRDefault="00BF45AA" w:rsidP="00BF45AA">
      <w:pPr>
        <w:pStyle w:val="FootnoteText"/>
        <w:rPr>
          <w:lang w:val="fr-FR"/>
        </w:rPr>
      </w:pPr>
      <w:r>
        <w:rPr>
          <w:lang w:val="fr-FR"/>
        </w:rPr>
        <w:tab/>
      </w:r>
      <w:r w:rsidR="00264CBA">
        <w:rPr>
          <w:lang w:val="fr-FR"/>
        </w:rPr>
        <w:t>*</w:t>
      </w:r>
      <w:r w:rsidR="00264CBA">
        <w:rPr>
          <w:lang w:val="fr-FR"/>
        </w:rPr>
        <w:tab/>
      </w:r>
      <w:r w:rsidR="00264CBA" w:rsidRPr="0060064D">
        <w:rPr>
          <w:lang w:val="fr-FR"/>
        </w:rPr>
        <w:t>Sous-programme 2 du budget-programme pour 2020 (A/74/6 (Sect.</w:t>
      </w:r>
      <w:r>
        <w:rPr>
          <w:lang w:val="fr-FR"/>
        </w:rPr>
        <w:t> </w:t>
      </w:r>
      <w:r w:rsidR="00264CBA" w:rsidRPr="0060064D">
        <w:rPr>
          <w:lang w:val="fr-FR"/>
        </w:rPr>
        <w:t>20)) et informations complémentaires.</w:t>
      </w:r>
    </w:p>
  </w:footnote>
  <w:footnote w:id="3">
    <w:p w14:paraId="3993B8A4" w14:textId="77777777" w:rsidR="00264CBA" w:rsidRPr="004977DA" w:rsidRDefault="00264CBA" w:rsidP="00264CBA">
      <w:pPr>
        <w:pStyle w:val="FootnoteText"/>
        <w:rPr>
          <w:lang w:val="fr-FR"/>
        </w:rPr>
      </w:pPr>
      <w:r>
        <w:rPr>
          <w:lang w:val="fr-FR"/>
        </w:rPr>
        <w:tab/>
      </w:r>
      <w:r>
        <w:rPr>
          <w:rStyle w:val="FootnoteReference"/>
          <w:lang w:val="fr-FR"/>
        </w:rPr>
        <w:footnoteRef/>
      </w:r>
      <w:r>
        <w:rPr>
          <w:lang w:val="fr-FR"/>
        </w:rPr>
        <w:t xml:space="preserve"> </w:t>
      </w:r>
      <w:r>
        <w:rPr>
          <w:lang w:val="fr-FR"/>
        </w:rPr>
        <w:tab/>
        <w:t>UN/SCEGHS/36/INF.43 Rev.1.</w:t>
      </w:r>
    </w:p>
  </w:footnote>
  <w:footnote w:id="4">
    <w:p w14:paraId="731F43C4" w14:textId="77777777" w:rsidR="00264CBA" w:rsidRPr="004977DA" w:rsidRDefault="00264CBA" w:rsidP="00264CBA">
      <w:pPr>
        <w:pStyle w:val="FootnoteText"/>
        <w:rPr>
          <w:lang w:val="fr-FR"/>
        </w:rPr>
      </w:pPr>
      <w:r>
        <w:rPr>
          <w:lang w:val="fr-FR"/>
        </w:rPr>
        <w:tab/>
      </w:r>
      <w:r>
        <w:rPr>
          <w:rStyle w:val="FootnoteReference"/>
          <w:lang w:val="fr-FR"/>
        </w:rPr>
        <w:footnoteRef/>
      </w:r>
      <w:r>
        <w:rPr>
          <w:lang w:val="fr-FR"/>
        </w:rPr>
        <w:t xml:space="preserve"> </w:t>
      </w:r>
      <w:r>
        <w:rPr>
          <w:lang w:val="fr-FR"/>
        </w:rPr>
        <w:tab/>
        <w:t>À l’exception des explosifs affectés à la division</w:t>
      </w:r>
      <w:r w:rsidR="00937CA2">
        <w:rPr>
          <w:lang w:val="fr-FR"/>
        </w:rPr>
        <w:t xml:space="preserve"> </w:t>
      </w:r>
      <w:r>
        <w:rPr>
          <w:lang w:val="fr-FR"/>
        </w:rPr>
        <w:t>1.6, comme expliqué au paragraphe</w:t>
      </w:r>
      <w:r w:rsidR="00937CA2">
        <w:rPr>
          <w:lang w:val="fr-FR"/>
        </w:rPr>
        <w:t xml:space="preserve"> </w:t>
      </w:r>
      <w:r>
        <w:rPr>
          <w:lang w:val="fr-FR"/>
        </w:rPr>
        <w:t>6.</w:t>
      </w:r>
    </w:p>
  </w:footnote>
  <w:footnote w:id="5">
    <w:p w14:paraId="1177AE64" w14:textId="77777777" w:rsidR="00264CBA" w:rsidRPr="004977DA" w:rsidRDefault="00264CBA" w:rsidP="00264CBA">
      <w:pPr>
        <w:pStyle w:val="FootnoteText"/>
        <w:rPr>
          <w:lang w:val="fr-FR"/>
        </w:rPr>
      </w:pPr>
      <w:r>
        <w:rPr>
          <w:lang w:val="fr-FR"/>
        </w:rPr>
        <w:tab/>
      </w:r>
      <w:r>
        <w:rPr>
          <w:rStyle w:val="FootnoteReference"/>
          <w:lang w:val="fr-FR"/>
        </w:rPr>
        <w:footnoteRef/>
      </w:r>
      <w:r>
        <w:rPr>
          <w:lang w:val="fr-FR"/>
        </w:rPr>
        <w:t xml:space="preserve"> </w:t>
      </w:r>
      <w:r>
        <w:rPr>
          <w:lang w:val="fr-FR"/>
        </w:rPr>
        <w:tab/>
        <w:t>À l’exception des explosifs affectés à la division 1.6, comme expliqué au paragraphe 6.</w:t>
      </w:r>
    </w:p>
  </w:footnote>
  <w:footnote w:id="6">
    <w:p w14:paraId="3769F34B" w14:textId="77777777" w:rsidR="00264CBA" w:rsidRPr="004977DA" w:rsidRDefault="00264CBA" w:rsidP="00264CBA">
      <w:pPr>
        <w:pStyle w:val="FootnoteText"/>
        <w:rPr>
          <w:lang w:val="fr-FR"/>
        </w:rPr>
      </w:pPr>
      <w:r>
        <w:rPr>
          <w:lang w:val="fr-FR"/>
        </w:rPr>
        <w:tab/>
      </w:r>
      <w:r>
        <w:rPr>
          <w:rStyle w:val="FootnoteReference"/>
          <w:lang w:val="fr-FR"/>
        </w:rPr>
        <w:footnoteRef/>
      </w:r>
      <w:r>
        <w:rPr>
          <w:lang w:val="fr-FR"/>
        </w:rPr>
        <w:t xml:space="preserve"> </w:t>
      </w:r>
      <w:r>
        <w:rPr>
          <w:lang w:val="fr-FR"/>
        </w:rPr>
        <w:tab/>
        <w:t>Voir la figure 2.1.3 de l’actuel chapitre 2.1 du SGH (</w:t>
      </w:r>
      <w:r w:rsidR="00245250">
        <w:rPr>
          <w:lang w:val="fr-FR"/>
        </w:rPr>
        <w:t>8</w:t>
      </w:r>
      <w:r w:rsidR="00245250" w:rsidRPr="00245250">
        <w:rPr>
          <w:vertAlign w:val="superscript"/>
          <w:lang w:val="fr-FR"/>
        </w:rPr>
        <w:t>e</w:t>
      </w:r>
      <w:r w:rsidR="00245250">
        <w:rPr>
          <w:lang w:val="fr-FR"/>
        </w:rPr>
        <w:t> éd.</w:t>
      </w:r>
      <w:r>
        <w:rPr>
          <w:lang w:val="fr-FR"/>
        </w:rPr>
        <w:t xml:space="preserve"> révisée).</w:t>
      </w:r>
    </w:p>
  </w:footnote>
  <w:footnote w:id="7">
    <w:p w14:paraId="76A74A3A" w14:textId="77777777" w:rsidR="00264CBA" w:rsidRPr="004977DA" w:rsidRDefault="00264CBA" w:rsidP="00264CBA">
      <w:pPr>
        <w:pStyle w:val="FootnoteText"/>
        <w:rPr>
          <w:lang w:val="fr-FR"/>
        </w:rPr>
      </w:pPr>
      <w:r>
        <w:rPr>
          <w:lang w:val="fr-FR"/>
        </w:rPr>
        <w:tab/>
      </w:r>
      <w:r>
        <w:rPr>
          <w:rStyle w:val="FootnoteReference"/>
          <w:lang w:val="fr-FR"/>
        </w:rPr>
        <w:footnoteRef/>
      </w:r>
      <w:r>
        <w:rPr>
          <w:lang w:val="fr-FR"/>
        </w:rPr>
        <w:t xml:space="preserve"> </w:t>
      </w:r>
      <w:r>
        <w:rPr>
          <w:lang w:val="fr-FR"/>
        </w:rPr>
        <w:tab/>
        <w:t>Y compris les explosifs affectés à la division 1.4S qui ne remplissent pas les conditions pour être classés dans la sous-catégorie 2C.</w:t>
      </w:r>
    </w:p>
  </w:footnote>
  <w:footnote w:id="8">
    <w:p w14:paraId="0AD785F0" w14:textId="77777777" w:rsidR="00264CBA" w:rsidRPr="004977DA" w:rsidRDefault="00264CBA" w:rsidP="00264CBA">
      <w:pPr>
        <w:pStyle w:val="FootnoteText"/>
        <w:rPr>
          <w:lang w:val="fr-FR"/>
        </w:rPr>
      </w:pPr>
      <w:r>
        <w:rPr>
          <w:lang w:val="fr-FR"/>
        </w:rPr>
        <w:tab/>
      </w:r>
      <w:r>
        <w:rPr>
          <w:rStyle w:val="FootnoteReference"/>
          <w:lang w:val="fr-FR"/>
        </w:rPr>
        <w:footnoteRef/>
      </w:r>
      <w:r>
        <w:rPr>
          <w:lang w:val="fr-FR"/>
        </w:rPr>
        <w:t xml:space="preserve"> </w:t>
      </w:r>
      <w:r>
        <w:rPr>
          <w:lang w:val="fr-FR"/>
        </w:rPr>
        <w:tab/>
        <w:t>À l’exception des explosifs affectés à la division 1.6, comme expliqué au paragraphe 6.</w:t>
      </w:r>
    </w:p>
  </w:footnote>
  <w:footnote w:id="9">
    <w:p w14:paraId="093A0D33" w14:textId="77777777" w:rsidR="00264CBA" w:rsidRPr="004977DA" w:rsidRDefault="00264CBA" w:rsidP="00264CBA">
      <w:pPr>
        <w:pStyle w:val="FootnoteText"/>
        <w:rPr>
          <w:lang w:val="fr-FR"/>
        </w:rPr>
      </w:pPr>
      <w:r>
        <w:rPr>
          <w:lang w:val="fr-FR"/>
        </w:rPr>
        <w:tab/>
      </w:r>
      <w:r>
        <w:rPr>
          <w:rStyle w:val="FootnoteReference"/>
          <w:lang w:val="fr-FR"/>
        </w:rPr>
        <w:footnoteRef/>
      </w:r>
      <w:r>
        <w:rPr>
          <w:lang w:val="fr-FR"/>
        </w:rPr>
        <w:t xml:space="preserve"> </w:t>
      </w:r>
      <w:r>
        <w:rPr>
          <w:lang w:val="fr-FR"/>
        </w:rPr>
        <w:tab/>
        <w:t>Le conseil de prudence P234 ne peut pas être attribué aux explosifs de la catégorie 1, car cette classification comprend des explosifs qui n’ont généralement pas d’« emballage d’origine ».</w:t>
      </w:r>
    </w:p>
  </w:footnote>
  <w:footnote w:id="10">
    <w:p w14:paraId="13191C2C" w14:textId="77777777" w:rsidR="00264CBA" w:rsidRPr="004977DA" w:rsidRDefault="00264CBA" w:rsidP="00264CBA">
      <w:pPr>
        <w:pStyle w:val="FootnoteText"/>
        <w:rPr>
          <w:lang w:val="fr-FR"/>
        </w:rPr>
      </w:pPr>
      <w:r>
        <w:rPr>
          <w:lang w:val="fr-FR"/>
        </w:rPr>
        <w:tab/>
      </w:r>
      <w:r>
        <w:rPr>
          <w:rStyle w:val="FootnoteReference"/>
          <w:lang w:val="fr-FR"/>
        </w:rPr>
        <w:footnoteRef/>
      </w:r>
      <w:r>
        <w:rPr>
          <w:lang w:val="fr-FR"/>
        </w:rPr>
        <w:t xml:space="preserve"> </w:t>
      </w:r>
      <w:r>
        <w:rPr>
          <w:lang w:val="fr-FR"/>
        </w:rPr>
        <w:tab/>
        <w:t xml:space="preserve">Voir le document UN/SCETDG/56/INF.8 </w:t>
      </w:r>
      <w:r w:rsidR="00245250">
        <w:rPr>
          <w:lang w:val="fr-FR"/>
        </w:rPr>
        <w:t>−</w:t>
      </w:r>
      <w:r>
        <w:rPr>
          <w:lang w:val="fr-FR"/>
        </w:rPr>
        <w:t xml:space="preserve"> UN/SCEGHS/38/INF.6 qui fait le point sur ce sujet.</w:t>
      </w:r>
    </w:p>
  </w:footnote>
  <w:footnote w:id="11">
    <w:p w14:paraId="455A71C4" w14:textId="77777777" w:rsidR="00264CBA" w:rsidRPr="004977DA" w:rsidRDefault="00264CBA" w:rsidP="00264CBA">
      <w:pPr>
        <w:pStyle w:val="FootnoteText"/>
        <w:rPr>
          <w:lang w:val="fr-FR"/>
        </w:rPr>
      </w:pPr>
      <w:r>
        <w:rPr>
          <w:lang w:val="fr-FR"/>
        </w:rPr>
        <w:tab/>
      </w:r>
      <w:r>
        <w:rPr>
          <w:rStyle w:val="FootnoteReference"/>
          <w:lang w:val="fr-FR"/>
        </w:rPr>
        <w:footnoteRef/>
      </w:r>
      <w:r>
        <w:rPr>
          <w:lang w:val="fr-FR"/>
        </w:rPr>
        <w:tab/>
        <w:t>Voir la description de la division 1.4 dans le chapitre 2.1 du Règlement type.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FC94" w14:textId="77777777" w:rsidR="00264CBA" w:rsidRPr="00264CBA" w:rsidRDefault="00264CBA">
    <w:pPr>
      <w:pStyle w:val="Header"/>
      <w:rPr>
        <w:lang w:val="en-US"/>
      </w:rPr>
    </w:pPr>
    <w:r>
      <w:fldChar w:fldCharType="begin"/>
    </w:r>
    <w:r w:rsidRPr="00264CBA">
      <w:rPr>
        <w:lang w:val="en-US"/>
      </w:rPr>
      <w:instrText xml:space="preserve"> TITLE  \* MERGEFORMAT </w:instrText>
    </w:r>
    <w:r>
      <w:fldChar w:fldCharType="separate"/>
    </w:r>
    <w:r w:rsidRPr="00264CBA">
      <w:rPr>
        <w:lang w:val="en-US"/>
      </w:rPr>
      <w:t>ST/SG/AC.10/C.3/2020/23</w:t>
    </w:r>
    <w:r>
      <w:fldChar w:fldCharType="end"/>
    </w:r>
    <w:r w:rsidRPr="00264CBA">
      <w:rPr>
        <w:lang w:val="en-US"/>
      </w:rPr>
      <w:br/>
    </w:r>
    <w:r>
      <w:fldChar w:fldCharType="begin"/>
    </w:r>
    <w:r w:rsidRPr="00264CBA">
      <w:rPr>
        <w:lang w:val="en-US"/>
      </w:rPr>
      <w:instrText xml:space="preserve"> KEYWORDS  \* MERGEFORMAT </w:instrText>
    </w:r>
    <w:r>
      <w:fldChar w:fldCharType="separate"/>
    </w:r>
    <w:r w:rsidRPr="00264CBA">
      <w:rPr>
        <w:lang w:val="en-US"/>
      </w:rPr>
      <w:t>ST/SG/AC.10/C.4/2020/8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05900" w14:textId="77777777" w:rsidR="00264CBA" w:rsidRPr="00264CBA" w:rsidRDefault="00264CBA" w:rsidP="00264CBA">
    <w:pPr>
      <w:pStyle w:val="Header"/>
      <w:jc w:val="right"/>
      <w:rPr>
        <w:lang w:val="en-US"/>
      </w:rPr>
    </w:pPr>
    <w:r>
      <w:fldChar w:fldCharType="begin"/>
    </w:r>
    <w:r w:rsidRPr="00264CBA">
      <w:rPr>
        <w:lang w:val="en-US"/>
      </w:rPr>
      <w:instrText xml:space="preserve"> TITLE  \* MERGEFORMAT </w:instrText>
    </w:r>
    <w:r>
      <w:fldChar w:fldCharType="separate"/>
    </w:r>
    <w:r w:rsidRPr="00264CBA">
      <w:rPr>
        <w:lang w:val="en-US"/>
      </w:rPr>
      <w:t>ST/SG/AC.10/C.3/2020/23</w:t>
    </w:r>
    <w:r>
      <w:fldChar w:fldCharType="end"/>
    </w:r>
    <w:r w:rsidRPr="00264CBA">
      <w:rPr>
        <w:lang w:val="en-US"/>
      </w:rPr>
      <w:br/>
    </w:r>
    <w:r>
      <w:fldChar w:fldCharType="begin"/>
    </w:r>
    <w:r w:rsidRPr="00264CBA">
      <w:rPr>
        <w:lang w:val="en-US"/>
      </w:rPr>
      <w:instrText xml:space="preserve"> KEYWORDS  \* MERGEFORMAT </w:instrText>
    </w:r>
    <w:r>
      <w:fldChar w:fldCharType="separate"/>
    </w:r>
    <w:r w:rsidRPr="00264CBA">
      <w:rPr>
        <w:lang w:val="en-US"/>
      </w:rPr>
      <w:t>ST/SG/AC.10/C.4/2020/8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0"/>
    <w:lvlOverride w:ilvl="0">
      <w:lvl w:ilvl="0" w:tplc="9008FA9E">
        <w:start w:val="1"/>
        <w:numFmt w:val="bullet"/>
        <w:lvlText w:val="•"/>
        <w:lvlJc w:val="left"/>
        <w:pPr>
          <w:tabs>
            <w:tab w:val="num" w:pos="1701"/>
          </w:tabs>
          <w:ind w:left="1701" w:hanging="170"/>
        </w:pPr>
        <w:rPr>
          <w:rFonts w:ascii="Times New Roman" w:hAnsi="Times New Roman" w:cs="Times New Roman" w:hint="default"/>
        </w:rPr>
      </w:lvl>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E"/>
    <w:rsid w:val="00017F94"/>
    <w:rsid w:val="00023842"/>
    <w:rsid w:val="000305D3"/>
    <w:rsid w:val="000334F9"/>
    <w:rsid w:val="0007796D"/>
    <w:rsid w:val="000B7790"/>
    <w:rsid w:val="00111F2F"/>
    <w:rsid w:val="00132EA9"/>
    <w:rsid w:val="0014365E"/>
    <w:rsid w:val="00176178"/>
    <w:rsid w:val="001F525A"/>
    <w:rsid w:val="00223272"/>
    <w:rsid w:val="002264EA"/>
    <w:rsid w:val="00245250"/>
    <w:rsid w:val="0024779E"/>
    <w:rsid w:val="00264CBA"/>
    <w:rsid w:val="00283190"/>
    <w:rsid w:val="002832AC"/>
    <w:rsid w:val="002D7C93"/>
    <w:rsid w:val="003227AA"/>
    <w:rsid w:val="00441C3B"/>
    <w:rsid w:val="00446FE5"/>
    <w:rsid w:val="00452396"/>
    <w:rsid w:val="004E468C"/>
    <w:rsid w:val="005505B7"/>
    <w:rsid w:val="00573BE5"/>
    <w:rsid w:val="00584DC4"/>
    <w:rsid w:val="00586ED3"/>
    <w:rsid w:val="00596AA9"/>
    <w:rsid w:val="0068456F"/>
    <w:rsid w:val="0071601D"/>
    <w:rsid w:val="007A62E6"/>
    <w:rsid w:val="0080684C"/>
    <w:rsid w:val="00871C75"/>
    <w:rsid w:val="008776DC"/>
    <w:rsid w:val="008B40CD"/>
    <w:rsid w:val="00937CA2"/>
    <w:rsid w:val="009705C8"/>
    <w:rsid w:val="009905EE"/>
    <w:rsid w:val="009B38A6"/>
    <w:rsid w:val="009C1CF4"/>
    <w:rsid w:val="00A30353"/>
    <w:rsid w:val="00AC3823"/>
    <w:rsid w:val="00AE323C"/>
    <w:rsid w:val="00B00181"/>
    <w:rsid w:val="00B00B0D"/>
    <w:rsid w:val="00B765F7"/>
    <w:rsid w:val="00BA0CA9"/>
    <w:rsid w:val="00BF45AA"/>
    <w:rsid w:val="00C02897"/>
    <w:rsid w:val="00D3439C"/>
    <w:rsid w:val="00D819E9"/>
    <w:rsid w:val="00DB1831"/>
    <w:rsid w:val="00DD3BFD"/>
    <w:rsid w:val="00DF6678"/>
    <w:rsid w:val="00EE749E"/>
    <w:rsid w:val="00EF2E22"/>
    <w:rsid w:val="00F01738"/>
    <w:rsid w:val="00F15B34"/>
    <w:rsid w:val="00F660DF"/>
    <w:rsid w:val="00F730C8"/>
    <w:rsid w:val="00F95C08"/>
    <w:rsid w:val="00FD4065"/>
    <w:rsid w:val="00FD6AF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FF17E"/>
  <w15:docId w15:val="{CD215380-55AB-49C2-B81C-58230F6C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264CBA"/>
    <w:rPr>
      <w:rFonts w:ascii="Times New Roman" w:eastAsiaTheme="minorHAnsi" w:hAnsi="Times New Roman" w:cs="Times New Roman"/>
      <w:b/>
      <w:sz w:val="28"/>
      <w:szCs w:val="20"/>
      <w:lang w:eastAsia="en-US"/>
    </w:rPr>
  </w:style>
  <w:style w:type="character" w:customStyle="1" w:styleId="H1GChar">
    <w:name w:val="_ H_1_G Char"/>
    <w:link w:val="H1G"/>
    <w:locked/>
    <w:rsid w:val="00264CBA"/>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264CB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F83CC5-2F77-43C3-94B6-2DE7658AB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54E99C-95CA-43C0-8047-3E9936199979}">
  <ds:schemaRefs>
    <ds:schemaRef ds:uri="http://schemas.microsoft.com/sharepoint/v3/contenttype/forms"/>
  </ds:schemaRefs>
</ds:datastoreItem>
</file>

<file path=customXml/itemProps3.xml><?xml version="1.0" encoding="utf-8"?>
<ds:datastoreItem xmlns:ds="http://schemas.openxmlformats.org/officeDocument/2006/customXml" ds:itemID="{6098A913-FDFB-4356-9AA6-40BE2AFB8E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2461</Words>
  <Characters>14029</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ST/SG/AC.10/C.3/2020/23</vt:lpstr>
    </vt:vector>
  </TitlesOfParts>
  <Company>DCM</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ST/SG/AC.10/C.3/2020/23</dc:title>
  <dc:creator>Fabienne CRELIER</dc:creator>
  <cp:keywords>ST/SG/AC.10/C.4/2020/8</cp:keywords>
  <cp:lastModifiedBy>Laurence Berthet</cp:lastModifiedBy>
  <cp:revision>2</cp:revision>
  <cp:lastPrinted>2014-05-14T10:59:00Z</cp:lastPrinted>
  <dcterms:created xsi:type="dcterms:W3CDTF">2020-10-14T10:45:00Z</dcterms:created>
  <dcterms:modified xsi:type="dcterms:W3CDTF">2020-10-14T10:45:00Z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