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4ECFDC0" w14:textId="77777777" w:rsidTr="006476E1">
        <w:trPr>
          <w:trHeight w:val="851"/>
        </w:trPr>
        <w:tc>
          <w:tcPr>
            <w:tcW w:w="1259" w:type="dxa"/>
            <w:tcBorders>
              <w:top w:val="nil"/>
              <w:left w:val="nil"/>
              <w:bottom w:val="single" w:sz="4" w:space="0" w:color="auto"/>
              <w:right w:val="nil"/>
            </w:tcBorders>
          </w:tcPr>
          <w:p w14:paraId="5637D92A" w14:textId="77777777" w:rsidR="00E52109" w:rsidRPr="002A32CB" w:rsidRDefault="00E52109" w:rsidP="004858F5"/>
        </w:tc>
        <w:tc>
          <w:tcPr>
            <w:tcW w:w="2236" w:type="dxa"/>
            <w:tcBorders>
              <w:top w:val="nil"/>
              <w:left w:val="nil"/>
              <w:bottom w:val="single" w:sz="4" w:space="0" w:color="auto"/>
              <w:right w:val="nil"/>
            </w:tcBorders>
            <w:vAlign w:val="bottom"/>
          </w:tcPr>
          <w:p w14:paraId="3792FB4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BF60B0" w14:textId="77777777" w:rsidR="009C7E15" w:rsidRDefault="009C7E15" w:rsidP="009C7E15">
            <w:pPr>
              <w:suppressAutoHyphens w:val="0"/>
              <w:jc w:val="right"/>
            </w:pPr>
            <w:r w:rsidRPr="009C7E15">
              <w:rPr>
                <w:sz w:val="40"/>
              </w:rPr>
              <w:t>ST</w:t>
            </w:r>
            <w:r>
              <w:t>/SG/AC.10/C.3/2020/23/Add.1−</w:t>
            </w:r>
            <w:r w:rsidRPr="009C7E15">
              <w:rPr>
                <w:sz w:val="40"/>
              </w:rPr>
              <w:t>ST</w:t>
            </w:r>
            <w:r>
              <w:t>/SG/AC.10/C.4/2020/8/Add.1</w:t>
            </w:r>
          </w:p>
        </w:tc>
      </w:tr>
      <w:tr w:rsidR="00E52109" w14:paraId="35F1127E" w14:textId="77777777" w:rsidTr="006476E1">
        <w:trPr>
          <w:trHeight w:val="2835"/>
        </w:trPr>
        <w:tc>
          <w:tcPr>
            <w:tcW w:w="1259" w:type="dxa"/>
            <w:tcBorders>
              <w:top w:val="single" w:sz="4" w:space="0" w:color="auto"/>
              <w:left w:val="nil"/>
              <w:bottom w:val="single" w:sz="12" w:space="0" w:color="auto"/>
              <w:right w:val="nil"/>
            </w:tcBorders>
          </w:tcPr>
          <w:p w14:paraId="42CFA955" w14:textId="77777777" w:rsidR="00E52109" w:rsidRDefault="00E52109" w:rsidP="006476E1">
            <w:pPr>
              <w:spacing w:before="120"/>
              <w:jc w:val="center"/>
            </w:pPr>
            <w:r>
              <w:rPr>
                <w:noProof/>
                <w:lang w:val="fr-CH" w:eastAsia="fr-CH"/>
              </w:rPr>
              <w:drawing>
                <wp:inline distT="0" distB="0" distL="0" distR="0" wp14:anchorId="049DF02A" wp14:editId="3A13320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A0020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C7A08A8" w14:textId="77777777" w:rsidR="00D94B05" w:rsidRDefault="009C7E15" w:rsidP="009C7E15">
            <w:pPr>
              <w:suppressAutoHyphens w:val="0"/>
              <w:spacing w:before="240" w:line="240" w:lineRule="exact"/>
            </w:pPr>
            <w:r>
              <w:t>Distr.: General</w:t>
            </w:r>
          </w:p>
          <w:p w14:paraId="10AAC729" w14:textId="442518A7" w:rsidR="009C7E15" w:rsidRDefault="00D43D86" w:rsidP="009C7E15">
            <w:pPr>
              <w:suppressAutoHyphens w:val="0"/>
              <w:spacing w:line="240" w:lineRule="exact"/>
            </w:pPr>
            <w:r>
              <w:t>3</w:t>
            </w:r>
            <w:r w:rsidR="009C7E15">
              <w:t xml:space="preserve"> September 2020</w:t>
            </w:r>
          </w:p>
          <w:p w14:paraId="02A7373B" w14:textId="77777777" w:rsidR="009C7E15" w:rsidRDefault="009C7E15" w:rsidP="009C7E15">
            <w:pPr>
              <w:suppressAutoHyphens w:val="0"/>
              <w:spacing w:line="240" w:lineRule="exact"/>
            </w:pPr>
          </w:p>
          <w:p w14:paraId="63FE82E9" w14:textId="77777777" w:rsidR="009C7E15" w:rsidRDefault="009C7E15" w:rsidP="009C7E15">
            <w:pPr>
              <w:suppressAutoHyphens w:val="0"/>
              <w:spacing w:line="240" w:lineRule="exact"/>
            </w:pPr>
            <w:r>
              <w:t>Original: English</w:t>
            </w:r>
          </w:p>
        </w:tc>
      </w:tr>
    </w:tbl>
    <w:p w14:paraId="7C5F4130" w14:textId="77777777" w:rsidR="009C7E15" w:rsidRPr="006500BA" w:rsidRDefault="009C7E1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9C7E15" w:rsidRPr="00302456" w14:paraId="2C3FA3A7" w14:textId="77777777" w:rsidTr="00846F7F">
        <w:tc>
          <w:tcPr>
            <w:tcW w:w="4644" w:type="dxa"/>
            <w:shd w:val="clear" w:color="auto" w:fill="auto"/>
          </w:tcPr>
          <w:p w14:paraId="6D54D156" w14:textId="77777777" w:rsidR="009C7E15" w:rsidRPr="00302456" w:rsidRDefault="009C7E15"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69EFB6AB" w14:textId="77777777" w:rsidR="009C7E15" w:rsidRPr="00302456" w:rsidRDefault="009C7E15" w:rsidP="00846F7F">
            <w:pPr>
              <w:spacing w:before="120"/>
              <w:rPr>
                <w:b/>
              </w:rPr>
            </w:pPr>
            <w:r w:rsidRPr="00302456">
              <w:rPr>
                <w:b/>
              </w:rPr>
              <w:t xml:space="preserve">Sub-Committee of Experts on the Globally Harmonized System of Classification and Labelling of Chemicals </w:t>
            </w:r>
          </w:p>
        </w:tc>
      </w:tr>
      <w:tr w:rsidR="009C7E15" w:rsidRPr="00302456" w14:paraId="2C66430A" w14:textId="77777777" w:rsidTr="00846F7F">
        <w:tc>
          <w:tcPr>
            <w:tcW w:w="4644" w:type="dxa"/>
            <w:shd w:val="clear" w:color="auto" w:fill="auto"/>
          </w:tcPr>
          <w:p w14:paraId="2075F5DE" w14:textId="721FDDF8" w:rsidR="009C7E15" w:rsidRPr="006B3BFD" w:rsidRDefault="0019601D" w:rsidP="00846F7F">
            <w:pPr>
              <w:spacing w:before="120"/>
              <w:rPr>
                <w:b/>
              </w:rPr>
            </w:pPr>
            <w:r w:rsidRPr="006B3BFD">
              <w:rPr>
                <w:b/>
              </w:rPr>
              <w:t xml:space="preserve">Fifty-seventh </w:t>
            </w:r>
            <w:r w:rsidR="009C7E15" w:rsidRPr="006B3BFD">
              <w:rPr>
                <w:b/>
              </w:rPr>
              <w:t>session</w:t>
            </w:r>
          </w:p>
        </w:tc>
        <w:tc>
          <w:tcPr>
            <w:tcW w:w="5103" w:type="dxa"/>
            <w:shd w:val="clear" w:color="auto" w:fill="auto"/>
          </w:tcPr>
          <w:p w14:paraId="686601F7" w14:textId="19580462" w:rsidR="009C7E15" w:rsidRPr="006B3BFD" w:rsidRDefault="006B3BFD" w:rsidP="00846F7F">
            <w:pPr>
              <w:spacing w:before="120"/>
              <w:rPr>
                <w:b/>
              </w:rPr>
            </w:pPr>
            <w:r w:rsidRPr="006B3BFD">
              <w:rPr>
                <w:b/>
              </w:rPr>
              <w:t>Thirty-ninth</w:t>
            </w:r>
            <w:r w:rsidR="009C7E15" w:rsidRPr="006B3BFD">
              <w:rPr>
                <w:b/>
              </w:rPr>
              <w:t xml:space="preserve"> session</w:t>
            </w:r>
          </w:p>
        </w:tc>
      </w:tr>
      <w:tr w:rsidR="009C7E15" w:rsidRPr="00302456" w14:paraId="24F3D75E" w14:textId="77777777" w:rsidTr="00846F7F">
        <w:tc>
          <w:tcPr>
            <w:tcW w:w="4644" w:type="dxa"/>
            <w:shd w:val="clear" w:color="auto" w:fill="auto"/>
          </w:tcPr>
          <w:p w14:paraId="6A269618" w14:textId="14CB8E72" w:rsidR="009C7E15" w:rsidRPr="006B3BFD" w:rsidRDefault="009C7E15" w:rsidP="00846F7F">
            <w:pPr>
              <w:rPr>
                <w:b/>
              </w:rPr>
            </w:pPr>
            <w:r w:rsidRPr="006B3BFD">
              <w:t xml:space="preserve">Geneva, </w:t>
            </w:r>
            <w:r w:rsidR="0019601D" w:rsidRPr="006B3BFD">
              <w:t>30 November-8 December 2020</w:t>
            </w:r>
            <w:r w:rsidRPr="006B3BFD">
              <w:t xml:space="preserve"> </w:t>
            </w:r>
          </w:p>
        </w:tc>
        <w:tc>
          <w:tcPr>
            <w:tcW w:w="5103" w:type="dxa"/>
            <w:shd w:val="clear" w:color="auto" w:fill="auto"/>
          </w:tcPr>
          <w:p w14:paraId="65591126" w14:textId="73F73623" w:rsidR="009C7E15" w:rsidRPr="006B3BFD" w:rsidRDefault="009C7E15" w:rsidP="00846F7F">
            <w:pPr>
              <w:rPr>
                <w:b/>
              </w:rPr>
            </w:pPr>
            <w:r w:rsidRPr="006B3BFD">
              <w:t xml:space="preserve">Geneva, </w:t>
            </w:r>
            <w:r w:rsidR="006B3BFD" w:rsidRPr="006B3BFD">
              <w:t>9-11 December 2020</w:t>
            </w:r>
            <w:r w:rsidRPr="006B3BFD">
              <w:t>…</w:t>
            </w:r>
          </w:p>
        </w:tc>
      </w:tr>
      <w:tr w:rsidR="009C7E15" w:rsidRPr="00302456" w14:paraId="2B6831F5" w14:textId="77777777" w:rsidTr="00846F7F">
        <w:tc>
          <w:tcPr>
            <w:tcW w:w="4644" w:type="dxa"/>
            <w:shd w:val="clear" w:color="auto" w:fill="auto"/>
          </w:tcPr>
          <w:p w14:paraId="65739C15" w14:textId="3C5FF67C" w:rsidR="009C7E15" w:rsidRPr="006B3BFD" w:rsidRDefault="009C7E15" w:rsidP="00846F7F">
            <w:r w:rsidRPr="006B3BFD">
              <w:t xml:space="preserve">Item </w:t>
            </w:r>
            <w:r w:rsidR="0019601D" w:rsidRPr="006B3BFD">
              <w:t>11 (a)</w:t>
            </w:r>
            <w:r w:rsidRPr="006B3BFD">
              <w:t xml:space="preserve"> of the provisional agenda</w:t>
            </w:r>
          </w:p>
          <w:p w14:paraId="60D96140" w14:textId="6BE19541" w:rsidR="0019601D" w:rsidRPr="008F5093" w:rsidRDefault="0019601D" w:rsidP="00846F7F">
            <w:pPr>
              <w:rPr>
                <w:b/>
                <w:bCs/>
              </w:rPr>
            </w:pPr>
            <w:r w:rsidRPr="008F5093">
              <w:rPr>
                <w:b/>
                <w:bCs/>
              </w:rPr>
              <w:t xml:space="preserve">Issues relating to the Globally Harmonized System </w:t>
            </w:r>
            <w:r w:rsidR="008F5093">
              <w:rPr>
                <w:b/>
                <w:bCs/>
              </w:rPr>
              <w:br/>
            </w:r>
            <w:r w:rsidRPr="008F5093">
              <w:rPr>
                <w:b/>
                <w:bCs/>
              </w:rPr>
              <w:t>of Classification and Labelling of Chemicals (GHS):</w:t>
            </w:r>
          </w:p>
          <w:p w14:paraId="3999EE97" w14:textId="0B1E71B3" w:rsidR="0019601D" w:rsidRPr="006B3BFD" w:rsidRDefault="009529AC" w:rsidP="00846F7F">
            <w:r>
              <w:rPr>
                <w:b/>
                <w:bCs/>
              </w:rPr>
              <w:t>r</w:t>
            </w:r>
            <w:r w:rsidR="0019601D" w:rsidRPr="008F5093">
              <w:rPr>
                <w:b/>
                <w:bCs/>
              </w:rPr>
              <w:t>eview of Chapter 2.1</w:t>
            </w:r>
          </w:p>
        </w:tc>
        <w:tc>
          <w:tcPr>
            <w:tcW w:w="5103" w:type="dxa"/>
            <w:shd w:val="clear" w:color="auto" w:fill="auto"/>
          </w:tcPr>
          <w:p w14:paraId="7FC324DF" w14:textId="77777777" w:rsidR="009C7E15" w:rsidRPr="006B3BFD" w:rsidRDefault="009C7E15" w:rsidP="00846F7F">
            <w:r w:rsidRPr="006B3BFD">
              <w:t xml:space="preserve">Item </w:t>
            </w:r>
            <w:r w:rsidR="006B3BFD" w:rsidRPr="006B3BFD">
              <w:t>3 (b)</w:t>
            </w:r>
            <w:r w:rsidRPr="006B3BFD">
              <w:t xml:space="preserve"> of the provisional agenda</w:t>
            </w:r>
          </w:p>
          <w:p w14:paraId="45C53207" w14:textId="77777777" w:rsidR="006B3BFD" w:rsidRPr="008F5093" w:rsidRDefault="006B3BFD" w:rsidP="00846F7F">
            <w:pPr>
              <w:rPr>
                <w:b/>
                <w:bCs/>
              </w:rPr>
            </w:pPr>
            <w:r w:rsidRPr="008F5093">
              <w:rPr>
                <w:b/>
                <w:bCs/>
              </w:rPr>
              <w:t>Classification criteria and related hazard communication:</w:t>
            </w:r>
          </w:p>
          <w:p w14:paraId="6162EE98" w14:textId="596E90A3" w:rsidR="006B3BFD" w:rsidRPr="006B3BFD" w:rsidRDefault="009529AC" w:rsidP="00846F7F">
            <w:r>
              <w:rPr>
                <w:b/>
                <w:bCs/>
              </w:rPr>
              <w:t>r</w:t>
            </w:r>
            <w:r w:rsidR="006B3BFD" w:rsidRPr="008F5093">
              <w:rPr>
                <w:b/>
                <w:bCs/>
              </w:rPr>
              <w:t>eview of Chapter 2.1</w:t>
            </w:r>
          </w:p>
        </w:tc>
      </w:tr>
      <w:tr w:rsidR="009C7E15" w:rsidRPr="00E66746" w14:paraId="569ADFAF" w14:textId="77777777" w:rsidTr="00846F7F">
        <w:tc>
          <w:tcPr>
            <w:tcW w:w="4644" w:type="dxa"/>
            <w:shd w:val="clear" w:color="auto" w:fill="auto"/>
          </w:tcPr>
          <w:p w14:paraId="57515DB1" w14:textId="77777777" w:rsidR="009C7E15" w:rsidRPr="00E66746" w:rsidRDefault="009C7E15" w:rsidP="00846F7F">
            <w:pPr>
              <w:rPr>
                <w:b/>
              </w:rPr>
            </w:pPr>
          </w:p>
        </w:tc>
        <w:tc>
          <w:tcPr>
            <w:tcW w:w="5103" w:type="dxa"/>
            <w:shd w:val="clear" w:color="auto" w:fill="auto"/>
          </w:tcPr>
          <w:p w14:paraId="67843966" w14:textId="77777777" w:rsidR="009C7E15" w:rsidRPr="00E66746" w:rsidRDefault="009C7E15" w:rsidP="00846F7F">
            <w:pPr>
              <w:rPr>
                <w:b/>
              </w:rPr>
            </w:pPr>
          </w:p>
        </w:tc>
      </w:tr>
    </w:tbl>
    <w:p w14:paraId="3C015CFA" w14:textId="01EA6E13" w:rsidR="00124E00" w:rsidRDefault="00124E00" w:rsidP="00124E00">
      <w:pPr>
        <w:pStyle w:val="HChG"/>
      </w:pPr>
      <w:r>
        <w:tab/>
      </w:r>
      <w:r>
        <w:tab/>
        <w:t>Allocation of precautionary statements for the</w:t>
      </w:r>
      <w:r w:rsidRPr="005401D5">
        <w:t xml:space="preserve"> new </w:t>
      </w:r>
      <w:r>
        <w:t xml:space="preserve">GHS </w:t>
      </w:r>
      <w:r w:rsidRPr="005401D5">
        <w:t>Chapter 2.1</w:t>
      </w:r>
      <w:r>
        <w:t xml:space="preserve"> – amendments regarding P236</w:t>
      </w:r>
    </w:p>
    <w:p w14:paraId="1B58B41F" w14:textId="78A3814A" w:rsidR="00124E00" w:rsidRDefault="00124E00" w:rsidP="00124E00">
      <w:pPr>
        <w:pStyle w:val="H1G"/>
        <w:rPr>
          <w:sz w:val="20"/>
        </w:rPr>
      </w:pPr>
      <w:r>
        <w:tab/>
      </w:r>
      <w:r>
        <w:tab/>
      </w:r>
      <w:r>
        <w:tab/>
      </w:r>
      <w:r w:rsidRPr="009F76AC">
        <w:t xml:space="preserve">Transmitted by the </w:t>
      </w:r>
      <w:r>
        <w:t xml:space="preserve">expert from Sweden on </w:t>
      </w:r>
      <w:r w:rsidRPr="00D06B2B">
        <w:t>behalf</w:t>
      </w:r>
      <w:r>
        <w:t xml:space="preserve"> of the Informal Correspondence Group on the Review of Chapter 2.1</w:t>
      </w:r>
      <w:r w:rsidR="00AE7185" w:rsidRPr="00AE7185">
        <w:rPr>
          <w:rStyle w:val="FootnoteReference"/>
          <w:sz w:val="20"/>
          <w:vertAlign w:val="baseline"/>
        </w:rPr>
        <w:footnoteReference w:customMarkFollows="1" w:id="2"/>
        <w:t>*</w:t>
      </w:r>
    </w:p>
    <w:p w14:paraId="33A3DD62" w14:textId="46990A88" w:rsidR="008C6208" w:rsidRPr="008C6208" w:rsidRDefault="008C6208" w:rsidP="008C6208">
      <w:pPr>
        <w:pStyle w:val="H23G"/>
      </w:pPr>
      <w:r>
        <w:tab/>
      </w:r>
      <w:r>
        <w:tab/>
        <w:t>Addendum</w:t>
      </w:r>
      <w:bookmarkStart w:id="0" w:name="_GoBack"/>
      <w:bookmarkEnd w:id="0"/>
    </w:p>
    <w:p w14:paraId="3502BFCF" w14:textId="77777777" w:rsidR="00124E00" w:rsidRPr="002E5537" w:rsidRDefault="00124E00" w:rsidP="00124E00">
      <w:pPr>
        <w:pStyle w:val="HChG"/>
      </w:pPr>
      <w:r>
        <w:tab/>
      </w:r>
      <w:r>
        <w:tab/>
      </w:r>
      <w:r w:rsidRPr="00940C32">
        <w:t>Introduction</w:t>
      </w:r>
    </w:p>
    <w:p w14:paraId="45854B08" w14:textId="77777777" w:rsidR="00124E00" w:rsidRDefault="00124E00" w:rsidP="00124E00">
      <w:pPr>
        <w:pStyle w:val="SingleTxtG"/>
      </w:pPr>
      <w:r w:rsidRPr="00C0412B">
        <w:t>1.</w:t>
      </w:r>
      <w:r w:rsidRPr="00C0412B">
        <w:tab/>
      </w:r>
      <w:r>
        <w:t xml:space="preserve">In </w:t>
      </w:r>
      <w:r w:rsidRPr="0023487F">
        <w:t xml:space="preserve">document </w:t>
      </w:r>
      <w:r w:rsidRPr="009C1630">
        <w:t>ST/SG/AC.10/C.3/2020/23−ST/SG/AC.10/C.4/2020/8</w:t>
      </w:r>
      <w:r>
        <w:t xml:space="preserve">, the allocation of existing precautionary statements for explosives to adapt to the new GHS Chapter 2.1 as suggested in document </w:t>
      </w:r>
      <w:r w:rsidRPr="008A49EB">
        <w:t>ST/SG/AC.10/C.3/2020/2</w:t>
      </w:r>
      <w:r>
        <w:t>0</w:t>
      </w:r>
      <w:r w:rsidRPr="008A49EB">
        <w:t>−ST/SG/AC.10/C.4/2020/</w:t>
      </w:r>
      <w:r>
        <w:t xml:space="preserve">5 is proposed. In that document, and in the status report on the work in document UN/SCETDG/57/INF.16 - UN/SCEGHS/39/INF.13, it is discussed how a new P statement, P236, is to be formulated and what the conditions for use should be. This issue was discussed during the informal online session of the Sub-Committee of Experts on the GHS (SCEGHS) in July 2020, and subsequently within the Informal Correspondence Group (ICG). This document presents the outcome of those discussions on P236 and amends the proposals made in document </w:t>
      </w:r>
      <w:r w:rsidRPr="009C1630">
        <w:t>ST/SG/AC.10/C.3/2020/23−ST/SG/AC.10/C.4/2020/</w:t>
      </w:r>
      <w:r>
        <w:t>8.</w:t>
      </w:r>
    </w:p>
    <w:p w14:paraId="259C3BCA" w14:textId="77777777" w:rsidR="00124E00" w:rsidRDefault="00124E00" w:rsidP="00124E00">
      <w:pPr>
        <w:pStyle w:val="SingleTxtG"/>
      </w:pPr>
      <w:r>
        <w:t>2.</w:t>
      </w:r>
      <w:r>
        <w:tab/>
        <w:t xml:space="preserve">As explained in document </w:t>
      </w:r>
      <w:r w:rsidRPr="009C1630">
        <w:t>ST/SG/AC.10/C.3/2020/23−ST/SG/AC.10/C.4/2020/8</w:t>
      </w:r>
      <w:r>
        <w:t xml:space="preserve">, the point of P236 is to place information on the division for transport on the GHS label. The idea presented in </w:t>
      </w:r>
      <w:r w:rsidRPr="009C1630">
        <w:t>ST/SG/AC.10/C.3/2020/23−ST/SG/AC.10/C.4/2020/</w:t>
      </w:r>
      <w:r>
        <w:t xml:space="preserve">8 was a new precautionary statement P236 worded “Division … in the transport configuration”, and to indicate that it should be combined with existing P234 to form P234 + P236 “Keep only in original packaging; Division … as configured for transport.” </w:t>
      </w:r>
    </w:p>
    <w:p w14:paraId="75AE6B9A" w14:textId="77777777" w:rsidR="00124E00" w:rsidRDefault="00124E00" w:rsidP="00124E00">
      <w:pPr>
        <w:pStyle w:val="SingleTxtG"/>
      </w:pPr>
      <w:r>
        <w:t>3.</w:t>
      </w:r>
      <w:r>
        <w:tab/>
        <w:t xml:space="preserve">Because the wording of P236 would not really be a precaution in itself, and because it cannot be guaranteed that it will always be combined with P234, all experts that spoke on </w:t>
      </w:r>
      <w:r>
        <w:lastRenderedPageBreak/>
        <w:t xml:space="preserve">this item in the online discussions in July 2020 preferred to include the text of P234 inside P236. The advantage of this is that P236 would then be formulated as a precaution and that it would always be combined with the text of P234, and hence this option presents a simpler way to achieve the desired outcome. </w:t>
      </w:r>
    </w:p>
    <w:p w14:paraId="3F62EE21" w14:textId="77777777" w:rsidR="00124E00" w:rsidRDefault="00124E00" w:rsidP="00124E00">
      <w:pPr>
        <w:pStyle w:val="SingleTxtG"/>
      </w:pPr>
      <w:r>
        <w:t>4.</w:t>
      </w:r>
      <w:r>
        <w:tab/>
      </w:r>
      <w:proofErr w:type="gramStart"/>
      <w:r>
        <w:t>As a consequence of</w:t>
      </w:r>
      <w:proofErr w:type="gramEnd"/>
      <w:r>
        <w:t xml:space="preserve"> including the text of P234 inside P236, P234 should not be applied wherever P236 appears as that would obviously duplicate texts. This instruction should be as clear as it can be. After the online session in July 2020, one expert suggested to model it on a condition for use for precautionary statement P103, which is worded “Omit where P203 is used”.</w:t>
      </w:r>
    </w:p>
    <w:p w14:paraId="51563324" w14:textId="76251B0A" w:rsidR="00124E00" w:rsidRDefault="00124E00" w:rsidP="00124E00">
      <w:pPr>
        <w:pStyle w:val="SingleTxtG"/>
      </w:pPr>
      <w:r>
        <w:t>5.</w:t>
      </w:r>
      <w:r>
        <w:tab/>
        <w:t>The exemptions from applying P236 were also discussed during the online session in July 2020, and the two derogations from applying P236 as in UN/SCETDG/57/INF.16-UN/SCEGHS/39/INF.13 were accepted in principle. There was a preference for the second version of the derogation for explosives where the transport division is not known at the point of affixing the GHS label. However, that wording was further refined in discussions after the session.</w:t>
      </w:r>
    </w:p>
    <w:p w14:paraId="72F4CD08" w14:textId="77777777" w:rsidR="00124E00" w:rsidRPr="002411FA" w:rsidRDefault="00124E00" w:rsidP="00124E00">
      <w:pPr>
        <w:pStyle w:val="HChG"/>
      </w:pPr>
      <w:r>
        <w:tab/>
      </w:r>
      <w:r>
        <w:tab/>
      </w:r>
      <w:r w:rsidRPr="002411FA">
        <w:t>Proposal</w:t>
      </w:r>
    </w:p>
    <w:p w14:paraId="57299EB9" w14:textId="52120B30" w:rsidR="00A6518D" w:rsidRDefault="00124E00" w:rsidP="00A6518D">
      <w:pPr>
        <w:pStyle w:val="SingleTxtG"/>
      </w:pPr>
      <w:r>
        <w:t>6.</w:t>
      </w:r>
      <w:r>
        <w:tab/>
        <w:t xml:space="preserve">The annex to this document </w:t>
      </w:r>
      <w:r w:rsidR="00A6518D">
        <w:t>contains</w:t>
      </w:r>
      <w:r>
        <w:t xml:space="preserve"> a proposal for a new P236, and the consequential amendment needed to the conditions for use for P234. </w:t>
      </w:r>
      <w:r w:rsidR="00A6518D">
        <w:t>The proposals in ST/SG/AC.10/C.3/2020/23−ST/SG/AC.10/C.4/2020/8 remain unchanged.</w:t>
      </w:r>
    </w:p>
    <w:p w14:paraId="0042254F" w14:textId="5F6BC758" w:rsidR="00AF5DE1" w:rsidRDefault="00124E00" w:rsidP="00124E00">
      <w:pPr>
        <w:pStyle w:val="SingleTxtG"/>
      </w:pPr>
      <w:r>
        <w:t>7.</w:t>
      </w:r>
      <w:r>
        <w:tab/>
        <w:t>It is noted that consequential amendments will be needed regarding the matrices for precautionary statements in Annex 3 Section 3 of the GHS.</w:t>
      </w:r>
    </w:p>
    <w:p w14:paraId="45A1775A" w14:textId="77777777" w:rsidR="00900BBC" w:rsidRDefault="00900BBC" w:rsidP="00124E00">
      <w:pPr>
        <w:pStyle w:val="SingleTxtG"/>
        <w:sectPr w:rsidR="00900BBC" w:rsidSect="00324C0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7B8CB392" w14:textId="77777777" w:rsidR="00900BBC" w:rsidRDefault="00900BBC" w:rsidP="00900BBC">
      <w:pPr>
        <w:pStyle w:val="HChG"/>
      </w:pPr>
      <w:r w:rsidRPr="008B5DC8">
        <w:lastRenderedPageBreak/>
        <w:t xml:space="preserve">Annex </w:t>
      </w:r>
    </w:p>
    <w:p w14:paraId="5FD1EA30" w14:textId="77777777" w:rsidR="00900BBC" w:rsidRDefault="00900BBC" w:rsidP="00900BBC">
      <w:pPr>
        <w:pStyle w:val="HChG"/>
      </w:pPr>
      <w:r>
        <w:tab/>
      </w:r>
      <w:r>
        <w:tab/>
        <w:t>Amendments to Table A3.</w:t>
      </w:r>
      <w:r w:rsidRPr="002411FA">
        <w:t>2.2</w:t>
      </w:r>
      <w:r>
        <w:t xml:space="preserve"> in Annex 3 of the GHS in addition to those presented in Annex II of document </w:t>
      </w:r>
      <w:r w:rsidRPr="002411FA">
        <w:t>ST/SG/AC.10/C.3/2020/23−ST/SG/AC.10/C.4/2020/8</w:t>
      </w:r>
    </w:p>
    <w:p w14:paraId="131220E9" w14:textId="77777777" w:rsidR="00900BBC" w:rsidRDefault="00900BBC" w:rsidP="00900BBC">
      <w:pPr>
        <w:pStyle w:val="Bullet1G"/>
        <w:numPr>
          <w:ilvl w:val="0"/>
          <w:numId w:val="8"/>
        </w:numPr>
      </w:pPr>
      <w:r w:rsidRPr="002411FA">
        <w:t xml:space="preserve">Insert </w:t>
      </w:r>
      <w:r>
        <w:t xml:space="preserve">a row for a new precautionary statement P236, as follows: </w:t>
      </w:r>
    </w:p>
    <w:p w14:paraId="39854C95" w14:textId="77777777" w:rsidR="00900BBC" w:rsidRPr="002411FA" w:rsidRDefault="00900BBC" w:rsidP="00900BBC">
      <w:pPr>
        <w:spacing w:line="240" w:lineRule="auto"/>
        <w:ind w:right="284"/>
        <w:jc w:val="both"/>
      </w:pP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693"/>
        <w:gridCol w:w="2977"/>
        <w:gridCol w:w="1417"/>
        <w:gridCol w:w="1134"/>
        <w:gridCol w:w="5812"/>
      </w:tblGrid>
      <w:tr w:rsidR="00900BBC" w14:paraId="391F65FD" w14:textId="77777777" w:rsidTr="00B50E62">
        <w:trPr>
          <w:trHeight w:val="442"/>
        </w:trPr>
        <w:tc>
          <w:tcPr>
            <w:tcW w:w="693" w:type="dxa"/>
          </w:tcPr>
          <w:p w14:paraId="49D7C3F9"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Code</w:t>
            </w:r>
          </w:p>
          <w:p w14:paraId="75860B1C"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(1)</w:t>
            </w:r>
          </w:p>
        </w:tc>
        <w:tc>
          <w:tcPr>
            <w:tcW w:w="2977" w:type="dxa"/>
          </w:tcPr>
          <w:p w14:paraId="32652157" w14:textId="77777777" w:rsidR="00900BBC" w:rsidRDefault="00900BBC" w:rsidP="00B50E62">
            <w:pPr>
              <w:pStyle w:val="ListParagraph"/>
              <w:spacing w:line="240" w:lineRule="auto"/>
              <w:ind w:left="0" w:right="89"/>
              <w:jc w:val="both"/>
              <w:rPr>
                <w:rFonts w:ascii="Times New Roman" w:hAnsi="Times New Roman" w:cs="Times New Roman"/>
                <w:b/>
              </w:rPr>
            </w:pPr>
            <w:r w:rsidRPr="00735792">
              <w:rPr>
                <w:rFonts w:ascii="Times New Roman" w:hAnsi="Times New Roman" w:cs="Times New Roman"/>
                <w:b/>
              </w:rPr>
              <w:t>Preca</w:t>
            </w:r>
            <w:r>
              <w:rPr>
                <w:rFonts w:ascii="Times New Roman" w:hAnsi="Times New Roman" w:cs="Times New Roman"/>
                <w:b/>
              </w:rPr>
              <w:t>u</w:t>
            </w:r>
            <w:r w:rsidRPr="00735792">
              <w:rPr>
                <w:rFonts w:ascii="Times New Roman" w:hAnsi="Times New Roman" w:cs="Times New Roman"/>
                <w:b/>
              </w:rPr>
              <w:t>tionary statement</w:t>
            </w:r>
          </w:p>
          <w:p w14:paraId="6CBCDD4C" w14:textId="77777777" w:rsidR="00900BBC" w:rsidRPr="00735792" w:rsidRDefault="00900BBC" w:rsidP="00B50E62">
            <w:pPr>
              <w:pStyle w:val="ListParagraph"/>
              <w:spacing w:line="240" w:lineRule="auto"/>
              <w:ind w:left="0" w:right="89"/>
              <w:jc w:val="both"/>
              <w:rPr>
                <w:rFonts w:ascii="Times New Roman" w:hAnsi="Times New Roman" w:cs="Times New Roman"/>
                <w:b/>
              </w:rPr>
            </w:pPr>
            <w:r>
              <w:rPr>
                <w:rFonts w:ascii="Times New Roman" w:hAnsi="Times New Roman" w:cs="Times New Roman"/>
                <w:b/>
              </w:rPr>
              <w:t>(2)</w:t>
            </w:r>
          </w:p>
        </w:tc>
        <w:tc>
          <w:tcPr>
            <w:tcW w:w="1417" w:type="dxa"/>
          </w:tcPr>
          <w:p w14:paraId="24828C85"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Hazard class</w:t>
            </w:r>
          </w:p>
          <w:p w14:paraId="3F5590F9"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(3)</w:t>
            </w:r>
          </w:p>
        </w:tc>
        <w:tc>
          <w:tcPr>
            <w:tcW w:w="1134" w:type="dxa"/>
          </w:tcPr>
          <w:p w14:paraId="50A7854F" w14:textId="77777777" w:rsidR="00900BBC" w:rsidRDefault="00900BBC" w:rsidP="00B50E62">
            <w:pPr>
              <w:pStyle w:val="ListParagraph"/>
              <w:spacing w:line="240" w:lineRule="auto"/>
              <w:ind w:left="0"/>
              <w:jc w:val="both"/>
              <w:rPr>
                <w:rFonts w:ascii="Times New Roman" w:hAnsi="Times New Roman" w:cs="Times New Roman"/>
                <w:b/>
              </w:rPr>
            </w:pPr>
            <w:r w:rsidRPr="00735792">
              <w:rPr>
                <w:rFonts w:ascii="Times New Roman" w:hAnsi="Times New Roman" w:cs="Times New Roman"/>
                <w:b/>
              </w:rPr>
              <w:t>Category</w:t>
            </w:r>
          </w:p>
          <w:p w14:paraId="45B21445" w14:textId="77777777" w:rsidR="00900BBC" w:rsidRPr="00735792" w:rsidRDefault="00900BBC" w:rsidP="00B50E62">
            <w:pPr>
              <w:pStyle w:val="ListParagraph"/>
              <w:spacing w:line="240" w:lineRule="auto"/>
              <w:ind w:left="0"/>
              <w:jc w:val="both"/>
              <w:rPr>
                <w:rFonts w:ascii="Times New Roman" w:hAnsi="Times New Roman" w:cs="Times New Roman"/>
                <w:b/>
              </w:rPr>
            </w:pPr>
            <w:r>
              <w:rPr>
                <w:rFonts w:ascii="Times New Roman" w:hAnsi="Times New Roman" w:cs="Times New Roman"/>
                <w:b/>
              </w:rPr>
              <w:t>(4)</w:t>
            </w:r>
          </w:p>
        </w:tc>
        <w:tc>
          <w:tcPr>
            <w:tcW w:w="5812" w:type="dxa"/>
          </w:tcPr>
          <w:p w14:paraId="5BC07C79" w14:textId="77777777" w:rsidR="00900BBC" w:rsidRDefault="00900BBC" w:rsidP="00B50E62">
            <w:pPr>
              <w:pStyle w:val="ListParagraph"/>
              <w:spacing w:line="240" w:lineRule="auto"/>
              <w:ind w:left="0" w:right="55"/>
              <w:jc w:val="both"/>
              <w:rPr>
                <w:rFonts w:ascii="Times New Roman" w:hAnsi="Times New Roman" w:cs="Times New Roman"/>
                <w:b/>
              </w:rPr>
            </w:pPr>
            <w:r w:rsidRPr="00735792">
              <w:rPr>
                <w:rFonts w:ascii="Times New Roman" w:hAnsi="Times New Roman" w:cs="Times New Roman"/>
                <w:b/>
              </w:rPr>
              <w:t>Conditions for Use</w:t>
            </w:r>
          </w:p>
          <w:p w14:paraId="02740CE5" w14:textId="77777777" w:rsidR="00900BBC" w:rsidRPr="00735792" w:rsidRDefault="00900BBC" w:rsidP="00B50E62">
            <w:pPr>
              <w:pStyle w:val="ListParagraph"/>
              <w:spacing w:line="240" w:lineRule="auto"/>
              <w:ind w:left="0" w:right="55"/>
              <w:jc w:val="both"/>
              <w:rPr>
                <w:rFonts w:ascii="Times New Roman" w:hAnsi="Times New Roman" w:cs="Times New Roman"/>
                <w:b/>
              </w:rPr>
            </w:pPr>
            <w:r>
              <w:rPr>
                <w:rFonts w:ascii="Times New Roman" w:hAnsi="Times New Roman" w:cs="Times New Roman"/>
                <w:b/>
              </w:rPr>
              <w:t>(5)</w:t>
            </w:r>
          </w:p>
        </w:tc>
      </w:tr>
      <w:tr w:rsidR="00900BBC" w14:paraId="40B63360" w14:textId="77777777" w:rsidTr="00B50E62">
        <w:tc>
          <w:tcPr>
            <w:tcW w:w="693" w:type="dxa"/>
          </w:tcPr>
          <w:p w14:paraId="0498689E"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P236</w:t>
            </w:r>
          </w:p>
        </w:tc>
        <w:tc>
          <w:tcPr>
            <w:tcW w:w="2977" w:type="dxa"/>
          </w:tcPr>
          <w:p w14:paraId="65F22760" w14:textId="77777777" w:rsidR="00900BBC" w:rsidRDefault="00900BBC" w:rsidP="00B50E62">
            <w:pPr>
              <w:pStyle w:val="ListParagraph"/>
              <w:spacing w:line="240" w:lineRule="auto"/>
              <w:ind w:left="0" w:right="89"/>
              <w:rPr>
                <w:rFonts w:ascii="Times New Roman" w:hAnsi="Times New Roman" w:cs="Times New Roman"/>
              </w:rPr>
            </w:pPr>
            <w:r>
              <w:rPr>
                <w:rFonts w:ascii="Times New Roman" w:hAnsi="Times New Roman" w:cs="Times New Roman"/>
              </w:rPr>
              <w:t>Keep only in original packaging; Division … in the transport configuration.</w:t>
            </w:r>
          </w:p>
        </w:tc>
        <w:tc>
          <w:tcPr>
            <w:tcW w:w="1417" w:type="dxa"/>
          </w:tcPr>
          <w:p w14:paraId="15DD6DA3"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Explosives</w:t>
            </w:r>
          </w:p>
          <w:p w14:paraId="6AC3BEEF"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(chapter 2.1)</w:t>
            </w:r>
          </w:p>
        </w:tc>
        <w:tc>
          <w:tcPr>
            <w:tcW w:w="1134" w:type="dxa"/>
          </w:tcPr>
          <w:p w14:paraId="7280C3EB" w14:textId="77777777" w:rsidR="00900BBC" w:rsidRDefault="00900BBC" w:rsidP="00B50E62">
            <w:pPr>
              <w:pStyle w:val="ListParagraph"/>
              <w:spacing w:line="240" w:lineRule="auto"/>
              <w:ind w:left="0"/>
              <w:jc w:val="both"/>
              <w:rPr>
                <w:rFonts w:ascii="Times New Roman" w:hAnsi="Times New Roman" w:cs="Times New Roman"/>
              </w:rPr>
            </w:pPr>
            <w:r>
              <w:rPr>
                <w:rFonts w:ascii="Times New Roman" w:hAnsi="Times New Roman" w:cs="Times New Roman"/>
              </w:rPr>
              <w:t>2A, 2B, 2C</w:t>
            </w:r>
          </w:p>
        </w:tc>
        <w:tc>
          <w:tcPr>
            <w:tcW w:w="5812" w:type="dxa"/>
          </w:tcPr>
          <w:p w14:paraId="50E8FA31" w14:textId="77777777" w:rsidR="00900BBC" w:rsidRDefault="00900BBC" w:rsidP="00B50E62">
            <w:pPr>
              <w:spacing w:line="240" w:lineRule="auto"/>
              <w:ind w:right="55"/>
              <w:jc w:val="both"/>
            </w:pPr>
            <w:r>
              <w:t>…</w:t>
            </w:r>
            <w:r w:rsidRPr="00735792">
              <w:rPr>
                <w:iCs/>
              </w:rPr>
              <w:t xml:space="preserve"> Manufacturer/supplier or competent authority to </w:t>
            </w:r>
            <w:r>
              <w:rPr>
                <w:iCs/>
              </w:rPr>
              <w:t>specify</w:t>
            </w:r>
            <w:r w:rsidRPr="00735792">
              <w:rPr>
                <w:iCs/>
              </w:rPr>
              <w:t xml:space="preserve"> the division for transport.</w:t>
            </w:r>
          </w:p>
          <w:p w14:paraId="14D31254" w14:textId="77777777" w:rsidR="00900BBC" w:rsidRDefault="00900BBC" w:rsidP="00B50E62">
            <w:pPr>
              <w:spacing w:line="240" w:lineRule="auto"/>
              <w:ind w:right="55"/>
              <w:jc w:val="both"/>
              <w:rPr>
                <w:i/>
                <w:iCs/>
              </w:rPr>
            </w:pPr>
          </w:p>
          <w:p w14:paraId="0072E2E8" w14:textId="77777777" w:rsidR="00900BBC" w:rsidRDefault="00900BBC" w:rsidP="00B50E62">
            <w:pPr>
              <w:spacing w:line="240" w:lineRule="auto"/>
              <w:ind w:right="55"/>
              <w:jc w:val="both"/>
              <w:rPr>
                <w:i/>
                <w:iCs/>
              </w:rPr>
            </w:pPr>
            <w:r>
              <w:rPr>
                <w:i/>
                <w:iCs/>
              </w:rPr>
              <w:t>May be omitted for single packaging where the transport pictogram displaying the division (within Class 1) appears.</w:t>
            </w:r>
          </w:p>
          <w:p w14:paraId="52778F35" w14:textId="77777777" w:rsidR="00900BBC" w:rsidRPr="00735792" w:rsidRDefault="00900BBC" w:rsidP="00B50E62">
            <w:pPr>
              <w:spacing w:line="240" w:lineRule="auto"/>
              <w:ind w:right="55"/>
              <w:jc w:val="both"/>
            </w:pPr>
          </w:p>
          <w:p w14:paraId="4FBDD58C" w14:textId="77777777" w:rsidR="00900BBC" w:rsidRDefault="00900BBC" w:rsidP="00B50E62">
            <w:pPr>
              <w:spacing w:line="240" w:lineRule="auto"/>
              <w:ind w:right="55"/>
              <w:jc w:val="both"/>
            </w:pPr>
            <w:r w:rsidRPr="00735792">
              <w:rPr>
                <w:i/>
              </w:rPr>
              <w:t>May be omitted where the use of different outer packaging result</w:t>
            </w:r>
            <w:r>
              <w:rPr>
                <w:i/>
              </w:rPr>
              <w:t>s</w:t>
            </w:r>
            <w:r w:rsidRPr="00735792">
              <w:rPr>
                <w:i/>
              </w:rPr>
              <w:t xml:space="preserve"> in different divisions for transport</w:t>
            </w:r>
            <w:r w:rsidRPr="00735792">
              <w:t>.</w:t>
            </w:r>
          </w:p>
        </w:tc>
      </w:tr>
    </w:tbl>
    <w:p w14:paraId="28DDC9B6" w14:textId="77777777" w:rsidR="00900BBC" w:rsidRDefault="00900BBC" w:rsidP="00900BBC">
      <w:pPr>
        <w:pStyle w:val="Bullet1G"/>
        <w:numPr>
          <w:ilvl w:val="0"/>
          <w:numId w:val="8"/>
        </w:numPr>
        <w:spacing w:before="120"/>
      </w:pPr>
      <w:r>
        <w:t>For precautionary statement P234, in the row for Explosives, add the following text to the Conditions for Use (column 5):</w:t>
      </w:r>
    </w:p>
    <w:p w14:paraId="5F900ACE" w14:textId="77777777" w:rsidR="00900BBC" w:rsidRPr="008E39D6" w:rsidRDefault="00900BBC" w:rsidP="00900BBC">
      <w:pPr>
        <w:pStyle w:val="SingleTxtG"/>
        <w:ind w:firstLine="378"/>
        <w:rPr>
          <w:i/>
          <w:iCs/>
        </w:rPr>
      </w:pPr>
      <w:r w:rsidRPr="008E39D6">
        <w:rPr>
          <w:i/>
          <w:iCs/>
        </w:rPr>
        <w:t>“Omit where P236 is used”</w:t>
      </w:r>
    </w:p>
    <w:p w14:paraId="53A5B75E" w14:textId="43C3059F" w:rsidR="00324C0C" w:rsidRPr="00900BBC" w:rsidRDefault="00900BBC" w:rsidP="00900BBC">
      <w:pPr>
        <w:spacing w:before="240"/>
        <w:jc w:val="center"/>
        <w:rPr>
          <w:u w:val="single"/>
        </w:rPr>
      </w:pPr>
      <w:r>
        <w:rPr>
          <w:u w:val="single"/>
        </w:rPr>
        <w:tab/>
      </w:r>
      <w:r>
        <w:rPr>
          <w:u w:val="single"/>
        </w:rPr>
        <w:tab/>
      </w:r>
      <w:r>
        <w:rPr>
          <w:u w:val="single"/>
        </w:rPr>
        <w:tab/>
      </w:r>
    </w:p>
    <w:sectPr w:rsidR="00324C0C" w:rsidRPr="00900BBC" w:rsidSect="00900BBC">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5A38" w14:textId="77777777" w:rsidR="009C7E15" w:rsidRPr="00C47B2E" w:rsidRDefault="009C7E15" w:rsidP="00C47B2E">
      <w:pPr>
        <w:pStyle w:val="Footer"/>
      </w:pPr>
    </w:p>
  </w:endnote>
  <w:endnote w:type="continuationSeparator" w:id="0">
    <w:p w14:paraId="7BEB80CA" w14:textId="77777777" w:rsidR="009C7E15" w:rsidRPr="00C47B2E" w:rsidRDefault="009C7E15" w:rsidP="00C47B2E">
      <w:pPr>
        <w:pStyle w:val="Footer"/>
      </w:pPr>
    </w:p>
  </w:endnote>
  <w:endnote w:type="continuationNotice" w:id="1">
    <w:p w14:paraId="0D6D153E" w14:textId="77777777" w:rsidR="009C7E15" w:rsidRPr="00C47B2E" w:rsidRDefault="009C7E1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363F" w14:textId="77777777" w:rsidR="00D94B05" w:rsidRPr="009C7E15" w:rsidRDefault="009C7E15" w:rsidP="009C7E15">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sidRPr="009C7E15">
      <w:rPr>
        <w:b/>
        <w:noProof/>
        <w:sz w:val="18"/>
      </w:rPr>
      <w:t>2</w:t>
    </w:r>
    <w:r w:rsidRPr="009C7E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E690" w14:textId="77777777" w:rsidR="00D94B05" w:rsidRPr="009C7E15" w:rsidRDefault="009C7E15" w:rsidP="009C7E15">
    <w:pPr>
      <w:pStyle w:val="Footer"/>
      <w:tabs>
        <w:tab w:val="left" w:pos="5775"/>
        <w:tab w:val="right" w:pos="9598"/>
        <w:tab w:val="right" w:pos="9638"/>
      </w:tabs>
      <w:rPr>
        <w:sz w:val="18"/>
      </w:rPr>
    </w:pPr>
    <w:r>
      <w:rPr>
        <w:b/>
        <w:sz w:val="18"/>
      </w:rPr>
      <w:tab/>
    </w:r>
    <w:r w:rsidRPr="009C7E15">
      <w:rPr>
        <w:sz w:val="18"/>
      </w:rPr>
      <w:fldChar w:fldCharType="begin"/>
    </w:r>
    <w:r w:rsidRPr="009C7E15">
      <w:rPr>
        <w:sz w:val="18"/>
      </w:rPr>
      <w:instrText xml:space="preserve"> PAGE  \* MERGEFORMAT </w:instrText>
    </w:r>
    <w:r w:rsidRPr="009C7E15">
      <w:rPr>
        <w:sz w:val="18"/>
      </w:rPr>
      <w:fldChar w:fldCharType="separate"/>
    </w:r>
    <w:r w:rsidRPr="009C7E15">
      <w:rPr>
        <w:noProof/>
        <w:sz w:val="18"/>
      </w:rPr>
      <w:t>3</w:t>
    </w:r>
    <w:r w:rsidRPr="009C7E1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D25A" w14:textId="77777777" w:rsidR="00D94B05" w:rsidRPr="009C7E1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53CFD31" wp14:editId="1FCA124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758C" w14:textId="2DD2DADA" w:rsidR="00900BBC" w:rsidRPr="00900BBC" w:rsidRDefault="00900BBC" w:rsidP="00900BBC">
    <w:pPr>
      <w:pStyle w:val="Footer"/>
    </w:pPr>
    <w:r>
      <w:rPr>
        <w:noProof/>
      </w:rPr>
      <mc:AlternateContent>
        <mc:Choice Requires="wps">
          <w:drawing>
            <wp:anchor distT="0" distB="0" distL="114300" distR="114300" simplePos="0" relativeHeight="251663360" behindDoc="0" locked="0" layoutInCell="1" allowOverlap="1" wp14:anchorId="0D22B3AA" wp14:editId="3340E51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906689" w14:textId="77777777" w:rsidR="00900BBC" w:rsidRPr="009C7E15" w:rsidRDefault="00900BBC" w:rsidP="00900BBC">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Pr>
                              <w:b/>
                              <w:sz w:val="18"/>
                            </w:rPr>
                            <w:t>4</w:t>
                          </w:r>
                          <w:r w:rsidRPr="009C7E15">
                            <w:rPr>
                              <w:b/>
                              <w:sz w:val="18"/>
                            </w:rPr>
                            <w:fldChar w:fldCharType="end"/>
                          </w:r>
                          <w:r>
                            <w:rPr>
                              <w:sz w:val="18"/>
                            </w:rPr>
                            <w:tab/>
                          </w:r>
                        </w:p>
                        <w:p w14:paraId="6ADABDA6"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22B3AA"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4906689" w14:textId="77777777" w:rsidR="00900BBC" w:rsidRPr="009C7E15" w:rsidRDefault="00900BBC" w:rsidP="00900BBC">
                    <w:pPr>
                      <w:pStyle w:val="Footer"/>
                      <w:tabs>
                        <w:tab w:val="right" w:pos="9598"/>
                        <w:tab w:val="right" w:pos="9638"/>
                      </w:tabs>
                      <w:rPr>
                        <w:sz w:val="18"/>
                      </w:rPr>
                    </w:pPr>
                    <w:r w:rsidRPr="009C7E15">
                      <w:rPr>
                        <w:b/>
                        <w:sz w:val="18"/>
                      </w:rPr>
                      <w:fldChar w:fldCharType="begin"/>
                    </w:r>
                    <w:r w:rsidRPr="009C7E15">
                      <w:rPr>
                        <w:b/>
                        <w:sz w:val="18"/>
                      </w:rPr>
                      <w:instrText xml:space="preserve"> PAGE  \* MERGEFORMAT </w:instrText>
                    </w:r>
                    <w:r w:rsidRPr="009C7E15">
                      <w:rPr>
                        <w:b/>
                        <w:sz w:val="18"/>
                      </w:rPr>
                      <w:fldChar w:fldCharType="separate"/>
                    </w:r>
                    <w:r>
                      <w:rPr>
                        <w:b/>
                        <w:sz w:val="18"/>
                      </w:rPr>
                      <w:t>4</w:t>
                    </w:r>
                    <w:r w:rsidRPr="009C7E15">
                      <w:rPr>
                        <w:b/>
                        <w:sz w:val="18"/>
                      </w:rPr>
                      <w:fldChar w:fldCharType="end"/>
                    </w:r>
                    <w:r>
                      <w:rPr>
                        <w:sz w:val="18"/>
                      </w:rPr>
                      <w:tab/>
                    </w:r>
                  </w:p>
                  <w:p w14:paraId="6ADABDA6" w14:textId="77777777" w:rsidR="00900BBC" w:rsidRDefault="00900BB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F2C" w14:textId="59B7EEFD" w:rsidR="00900BBC" w:rsidRPr="00900BBC" w:rsidRDefault="00900BBC" w:rsidP="00900BBC">
    <w:pPr>
      <w:pStyle w:val="Footer"/>
    </w:pPr>
    <w:r>
      <w:rPr>
        <w:noProof/>
      </w:rPr>
      <mc:AlternateContent>
        <mc:Choice Requires="wps">
          <w:drawing>
            <wp:anchor distT="0" distB="0" distL="114300" distR="114300" simplePos="0" relativeHeight="251661312" behindDoc="0" locked="0" layoutInCell="1" allowOverlap="1" wp14:anchorId="005833D6" wp14:editId="0F7F488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CD33F4" w14:textId="096005F2" w:rsidR="00900BBC" w:rsidRPr="009C7E15" w:rsidRDefault="00900BBC" w:rsidP="00900BBC">
                          <w:pPr>
                            <w:pStyle w:val="Footer"/>
                            <w:tabs>
                              <w:tab w:val="left" w:pos="5775"/>
                              <w:tab w:val="right" w:pos="9598"/>
                              <w:tab w:val="right" w:pos="9638"/>
                            </w:tabs>
                            <w:jc w:val="right"/>
                            <w:rPr>
                              <w:sz w:val="18"/>
                            </w:rPr>
                          </w:pPr>
                          <w:r w:rsidRPr="009C7E15">
                            <w:rPr>
                              <w:sz w:val="18"/>
                            </w:rPr>
                            <w:fldChar w:fldCharType="begin"/>
                          </w:r>
                          <w:r w:rsidRPr="009C7E15">
                            <w:rPr>
                              <w:sz w:val="18"/>
                            </w:rPr>
                            <w:instrText xml:space="preserve"> PAGE  \* MERGEFORMAT </w:instrText>
                          </w:r>
                          <w:r w:rsidRPr="009C7E15">
                            <w:rPr>
                              <w:sz w:val="18"/>
                            </w:rPr>
                            <w:fldChar w:fldCharType="separate"/>
                          </w:r>
                          <w:r>
                            <w:rPr>
                              <w:sz w:val="18"/>
                            </w:rPr>
                            <w:t>3</w:t>
                          </w:r>
                          <w:r w:rsidRPr="009C7E15">
                            <w:rPr>
                              <w:sz w:val="18"/>
                            </w:rPr>
                            <w:fldChar w:fldCharType="end"/>
                          </w:r>
                        </w:p>
                        <w:p w14:paraId="59B7AAB7" w14:textId="77777777" w:rsidR="00900BBC" w:rsidRDefault="00900BBC" w:rsidP="00900BBC">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5833D6"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9CD33F4" w14:textId="096005F2" w:rsidR="00900BBC" w:rsidRPr="009C7E15" w:rsidRDefault="00900BBC" w:rsidP="00900BBC">
                    <w:pPr>
                      <w:pStyle w:val="Footer"/>
                      <w:tabs>
                        <w:tab w:val="left" w:pos="5775"/>
                        <w:tab w:val="right" w:pos="9598"/>
                        <w:tab w:val="right" w:pos="9638"/>
                      </w:tabs>
                      <w:jc w:val="right"/>
                      <w:rPr>
                        <w:sz w:val="18"/>
                      </w:rPr>
                    </w:pPr>
                    <w:r w:rsidRPr="009C7E15">
                      <w:rPr>
                        <w:sz w:val="18"/>
                      </w:rPr>
                      <w:fldChar w:fldCharType="begin"/>
                    </w:r>
                    <w:r w:rsidRPr="009C7E15">
                      <w:rPr>
                        <w:sz w:val="18"/>
                      </w:rPr>
                      <w:instrText xml:space="preserve"> PAGE  \* MERGEFORMAT </w:instrText>
                    </w:r>
                    <w:r w:rsidRPr="009C7E15">
                      <w:rPr>
                        <w:sz w:val="18"/>
                      </w:rPr>
                      <w:fldChar w:fldCharType="separate"/>
                    </w:r>
                    <w:r>
                      <w:rPr>
                        <w:sz w:val="18"/>
                      </w:rPr>
                      <w:t>3</w:t>
                    </w:r>
                    <w:r w:rsidRPr="009C7E15">
                      <w:rPr>
                        <w:sz w:val="18"/>
                      </w:rPr>
                      <w:fldChar w:fldCharType="end"/>
                    </w:r>
                  </w:p>
                  <w:p w14:paraId="59B7AAB7" w14:textId="77777777" w:rsidR="00900BBC" w:rsidRDefault="00900BBC" w:rsidP="00900BBC">
                    <w:pPr>
                      <w:jc w:val="right"/>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9B2D" w14:textId="77777777" w:rsidR="009C7E15" w:rsidRPr="00C47B2E" w:rsidRDefault="009C7E15" w:rsidP="00C47B2E">
      <w:pPr>
        <w:tabs>
          <w:tab w:val="right" w:pos="2155"/>
        </w:tabs>
        <w:spacing w:after="80" w:line="240" w:lineRule="auto"/>
        <w:ind w:left="680"/>
      </w:pPr>
      <w:r>
        <w:rPr>
          <w:u w:val="single"/>
        </w:rPr>
        <w:tab/>
      </w:r>
    </w:p>
  </w:footnote>
  <w:footnote w:type="continuationSeparator" w:id="0">
    <w:p w14:paraId="7D769958" w14:textId="77777777" w:rsidR="009C7E15" w:rsidRPr="00C47B2E" w:rsidRDefault="009C7E15" w:rsidP="005E716E">
      <w:pPr>
        <w:tabs>
          <w:tab w:val="right" w:pos="2155"/>
        </w:tabs>
        <w:spacing w:after="80" w:line="240" w:lineRule="auto"/>
        <w:ind w:left="680"/>
      </w:pPr>
      <w:r>
        <w:rPr>
          <w:u w:val="single"/>
        </w:rPr>
        <w:tab/>
      </w:r>
    </w:p>
  </w:footnote>
  <w:footnote w:type="continuationNotice" w:id="1">
    <w:p w14:paraId="0D122E99" w14:textId="77777777" w:rsidR="009C7E15" w:rsidRPr="00C47B2E" w:rsidRDefault="009C7E15" w:rsidP="00C47B2E">
      <w:pPr>
        <w:pStyle w:val="Footer"/>
      </w:pPr>
    </w:p>
  </w:footnote>
  <w:footnote w:id="2">
    <w:p w14:paraId="33C88D72" w14:textId="5CA2C8DE" w:rsidR="00AE7185" w:rsidRPr="00AE7185" w:rsidRDefault="00AE7185">
      <w:pPr>
        <w:pStyle w:val="FootnoteText"/>
        <w:rPr>
          <w:lang w:val="fr-CH"/>
        </w:rPr>
      </w:pPr>
      <w:r>
        <w:rPr>
          <w:rStyle w:val="FootnoteReference"/>
        </w:rPr>
        <w:tab/>
      </w:r>
      <w:r w:rsidRPr="00AE7185">
        <w:rPr>
          <w:rStyle w:val="FootnoteReference"/>
          <w:sz w:val="20"/>
          <w:vertAlign w:val="baseline"/>
        </w:rPr>
        <w:t>*</w:t>
      </w:r>
      <w:r>
        <w:rPr>
          <w:rStyle w:val="FootnoteReference"/>
          <w:sz w:val="20"/>
          <w:vertAlign w:val="baseline"/>
        </w:rP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25CC" w14:textId="7D45D39D" w:rsidR="009C7E15" w:rsidRPr="009C7E15" w:rsidRDefault="008C6208">
    <w:pPr>
      <w:pStyle w:val="Header"/>
    </w:pPr>
    <w:r>
      <w:fldChar w:fldCharType="begin"/>
    </w:r>
    <w:r>
      <w:instrText xml:space="preserve"> TITLE  \* MERGEFORMAT </w:instrText>
    </w:r>
    <w:r>
      <w:fldChar w:fldCharType="separate"/>
    </w:r>
    <w:r>
      <w:t>ST/SG/AC.10/C.3/2020/23/Add.1</w:t>
    </w:r>
    <w:r>
      <w:fldChar w:fldCharType="end"/>
    </w:r>
    <w:r w:rsidR="009C7E15">
      <w:br/>
    </w:r>
    <w:r>
      <w:fldChar w:fldCharType="begin"/>
    </w:r>
    <w:r>
      <w:instrText xml:space="preserve"> KEYWORDS  \* MERGEFORMAT</w:instrText>
    </w:r>
    <w:r>
      <w:instrText xml:space="preserve"> </w:instrText>
    </w:r>
    <w:r>
      <w:fldChar w:fldCharType="separate"/>
    </w:r>
    <w:r>
      <w:t>ST/SG/AC.10/C.4/2020/8/Add.1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5DEB" w14:textId="278CB022" w:rsidR="00D94B05" w:rsidRPr="009C7E15" w:rsidRDefault="008C6208" w:rsidP="009C7E15">
    <w:pPr>
      <w:pStyle w:val="Header"/>
      <w:jc w:val="right"/>
    </w:pPr>
    <w:r>
      <w:fldChar w:fldCharType="begin"/>
    </w:r>
    <w:r>
      <w:instrText xml:space="preserve"> TITLE  \* MERGEFORMAT </w:instrText>
    </w:r>
    <w:r>
      <w:fldChar w:fldCharType="separate"/>
    </w:r>
    <w:r>
      <w:t>ST/SG/AC.10/C.3/2020/23/Add.1</w:t>
    </w:r>
    <w:r>
      <w:fldChar w:fldCharType="end"/>
    </w:r>
    <w:r w:rsidR="009C7E15">
      <w:br/>
    </w:r>
    <w:r>
      <w:fldChar w:fldCharType="begin"/>
    </w:r>
    <w:r>
      <w:instrText xml:space="preserve"> KEYWORDS  \* MERGEFORMAT </w:instrText>
    </w:r>
    <w:r>
      <w:fldChar w:fldCharType="separate"/>
    </w:r>
    <w:r>
      <w:t>ST/SG/AC.10/C.4/2020/8/Add.1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A562" w14:textId="79EF9AF8" w:rsidR="00900BBC" w:rsidRPr="00900BBC" w:rsidRDefault="00900BBC" w:rsidP="00900BBC">
    <w:r>
      <w:rPr>
        <w:noProof/>
      </w:rPr>
      <mc:AlternateContent>
        <mc:Choice Requires="wps">
          <w:drawing>
            <wp:anchor distT="0" distB="0" distL="114300" distR="114300" simplePos="0" relativeHeight="251662336" behindDoc="0" locked="0" layoutInCell="1" allowOverlap="1" wp14:anchorId="781923B6" wp14:editId="23F544F0">
              <wp:simplePos x="0" y="0"/>
              <wp:positionH relativeFrom="page">
                <wp:posOffset>9935845</wp:posOffset>
              </wp:positionH>
              <wp:positionV relativeFrom="margin">
                <wp:posOffset>0</wp:posOffset>
              </wp:positionV>
              <wp:extent cx="36195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1FB6D9D" w14:textId="6EEBAC03" w:rsidR="00900BBC" w:rsidRPr="009C7E15" w:rsidRDefault="001D558A" w:rsidP="00900BBC">
                          <w:pPr>
                            <w:pStyle w:val="Header"/>
                          </w:pPr>
                          <w:fldSimple w:instr=" TITLE  \* MERGEFORMAT ">
                            <w:r w:rsidR="008C6208">
                              <w:t>ST/SG/AC.10/C.3/2020/23/Add.1</w:t>
                            </w:r>
                          </w:fldSimple>
                          <w:r w:rsidR="00900BBC">
                            <w:br/>
                          </w:r>
                          <w:fldSimple w:instr=" KEYWORDS  \* MERGEFORMAT ">
                            <w:r w:rsidR="008C6208">
                              <w:t>ST/SG/AC.10/C.4/2020/8/Add.1</w:t>
                            </w:r>
                          </w:fldSimple>
                        </w:p>
                        <w:p w14:paraId="527CE0E2"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1923B6" id="_x0000_t202" coordsize="21600,21600" o:spt="202" path="m,l,21600r21600,l21600,xe">
              <v:stroke joinstyle="miter"/>
              <v:path gradientshapeok="t" o:connecttype="rect"/>
            </v:shapetype>
            <v:shape id="Text Box 5" o:spid="_x0000_s1026" type="#_x0000_t202" style="position:absolute;margin-left:782.35pt;margin-top:0;width:28.5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" fillcolor="#4f81bd [3204]" stroked="f" strokeweight=".5pt">
              <v:fill opacity="0"/>
              <v:path arrowok="t"/>
              <v:textbox style="layout-flow:vertical" inset="0,0,0,0">
                <w:txbxContent>
                  <w:p w14:paraId="11FB6D9D" w14:textId="6EEBAC03" w:rsidR="00900BBC" w:rsidRPr="009C7E15" w:rsidRDefault="001D558A" w:rsidP="00900BBC">
                    <w:pPr>
                      <w:pStyle w:val="Header"/>
                    </w:pPr>
                    <w:fldSimple w:instr=" TITLE  \* MERGEFORMAT ">
                      <w:r w:rsidR="008C6208">
                        <w:t>ST/SG/AC.10/C.3/2020/23/Add.1</w:t>
                      </w:r>
                    </w:fldSimple>
                    <w:r w:rsidR="00900BBC">
                      <w:br/>
                    </w:r>
                    <w:fldSimple w:instr=" KEYWORDS  \* MERGEFORMAT ">
                      <w:r w:rsidR="008C6208">
                        <w:t>ST/SG/AC.10/C.4/2020/8/Add.1</w:t>
                      </w:r>
                    </w:fldSimple>
                  </w:p>
                  <w:p w14:paraId="527CE0E2" w14:textId="77777777" w:rsidR="00900BBC" w:rsidRDefault="00900BB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9BDA" w14:textId="2219E49D" w:rsidR="00900BBC" w:rsidRPr="00900BBC" w:rsidRDefault="00900BBC" w:rsidP="00900BBC">
    <w:pPr>
      <w:jc w:val="right"/>
    </w:pPr>
    <w:r>
      <w:rPr>
        <w:noProof/>
      </w:rPr>
      <mc:AlternateContent>
        <mc:Choice Requires="wps">
          <w:drawing>
            <wp:anchor distT="0" distB="0" distL="114300" distR="114300" simplePos="0" relativeHeight="251660288" behindDoc="0" locked="0" layoutInCell="1" allowOverlap="1" wp14:anchorId="56642FB4" wp14:editId="1EA5295B">
              <wp:simplePos x="0" y="0"/>
              <wp:positionH relativeFrom="page">
                <wp:posOffset>9935845</wp:posOffset>
              </wp:positionH>
              <wp:positionV relativeFrom="margin">
                <wp:posOffset>0</wp:posOffset>
              </wp:positionV>
              <wp:extent cx="36195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985E86" w14:textId="4024FBB0" w:rsidR="00900BBC" w:rsidRPr="009C7E15" w:rsidRDefault="001D558A" w:rsidP="00900BBC">
                          <w:pPr>
                            <w:pStyle w:val="Header"/>
                            <w:jc w:val="right"/>
                          </w:pPr>
                          <w:fldSimple w:instr=" TITLE  \* MERGEFORMAT ">
                            <w:r w:rsidR="008C6208">
                              <w:t>ST/SG/AC.10/C.3/2020/23/Add.1</w:t>
                            </w:r>
                          </w:fldSimple>
                          <w:r w:rsidR="00900BBC">
                            <w:br/>
                          </w:r>
                          <w:fldSimple w:instr=" KEYWORDS  \* MERGEFORMAT ">
                            <w:r w:rsidR="008C6208">
                              <w:t>ST/SG/AC.10/C.4/2020/8/Add.1</w:t>
                            </w:r>
                          </w:fldSimple>
                        </w:p>
                        <w:p w14:paraId="3C0F8D1D" w14:textId="77777777" w:rsidR="00900BBC" w:rsidRDefault="00900B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642FB4" id="_x0000_t202" coordsize="21600,21600" o:spt="202" path="m,l,21600r21600,l21600,xe">
              <v:stroke joinstyle="miter"/>
              <v:path gradientshapeok="t" o:connecttype="rect"/>
            </v:shapetype>
            <v:shape id="Text Box 3" o:spid="_x0000_s1027" type="#_x0000_t202" style="position:absolute;left:0;text-align:left;margin-left:782.35pt;margin-top:0;width:28.5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" fillcolor="#4f81bd [3204]" stroked="f" strokeweight=".5pt">
              <v:fill opacity="0"/>
              <v:stroke joinstyle="round"/>
              <v:textbox style="layout-flow:vertical" inset="0,0,0,0">
                <w:txbxContent>
                  <w:p w14:paraId="28985E86" w14:textId="4024FBB0" w:rsidR="00900BBC" w:rsidRPr="009C7E15" w:rsidRDefault="001D558A" w:rsidP="00900BBC">
                    <w:pPr>
                      <w:pStyle w:val="Header"/>
                      <w:jc w:val="right"/>
                    </w:pPr>
                    <w:fldSimple w:instr=" TITLE  \* MERGEFORMAT ">
                      <w:r w:rsidR="008C6208">
                        <w:t>ST/SG/AC.10/C.3/2020/23/Add.1</w:t>
                      </w:r>
                    </w:fldSimple>
                    <w:r w:rsidR="00900BBC">
                      <w:br/>
                    </w:r>
                    <w:fldSimple w:instr=" KEYWORDS  \* MERGEFORMAT ">
                      <w:r w:rsidR="008C6208">
                        <w:t>ST/SG/AC.10/C.4/2020/8/Add.1</w:t>
                      </w:r>
                    </w:fldSimple>
                  </w:p>
                  <w:p w14:paraId="3C0F8D1D" w14:textId="77777777" w:rsidR="00900BBC" w:rsidRDefault="00900BB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15"/>
    <w:rsid w:val="00046E92"/>
    <w:rsid w:val="00063C90"/>
    <w:rsid w:val="00101B98"/>
    <w:rsid w:val="00124E00"/>
    <w:rsid w:val="001514D1"/>
    <w:rsid w:val="0019601D"/>
    <w:rsid w:val="001D558A"/>
    <w:rsid w:val="00247E2C"/>
    <w:rsid w:val="002A32CB"/>
    <w:rsid w:val="002D5B2C"/>
    <w:rsid w:val="002D6C53"/>
    <w:rsid w:val="002E68A2"/>
    <w:rsid w:val="002F5595"/>
    <w:rsid w:val="00324C0C"/>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6B3BFD"/>
    <w:rsid w:val="0070489D"/>
    <w:rsid w:val="007268F9"/>
    <w:rsid w:val="00750282"/>
    <w:rsid w:val="00764440"/>
    <w:rsid w:val="0077101B"/>
    <w:rsid w:val="007C52B0"/>
    <w:rsid w:val="007C6033"/>
    <w:rsid w:val="008147C8"/>
    <w:rsid w:val="0081753A"/>
    <w:rsid w:val="00857D23"/>
    <w:rsid w:val="0089183B"/>
    <w:rsid w:val="008C6208"/>
    <w:rsid w:val="008F5093"/>
    <w:rsid w:val="00900BBC"/>
    <w:rsid w:val="009411B4"/>
    <w:rsid w:val="00946F1D"/>
    <w:rsid w:val="009529AC"/>
    <w:rsid w:val="009C7E15"/>
    <w:rsid w:val="009D0139"/>
    <w:rsid w:val="009D717D"/>
    <w:rsid w:val="009F5CDC"/>
    <w:rsid w:val="00A072D7"/>
    <w:rsid w:val="00A6518D"/>
    <w:rsid w:val="00A775CF"/>
    <w:rsid w:val="00AD1A9C"/>
    <w:rsid w:val="00AE7185"/>
    <w:rsid w:val="00AF5DE1"/>
    <w:rsid w:val="00AF7CB0"/>
    <w:rsid w:val="00B06045"/>
    <w:rsid w:val="00B206DD"/>
    <w:rsid w:val="00B52EF4"/>
    <w:rsid w:val="00B777AD"/>
    <w:rsid w:val="00C03015"/>
    <w:rsid w:val="00C0358D"/>
    <w:rsid w:val="00C35A27"/>
    <w:rsid w:val="00C47B2E"/>
    <w:rsid w:val="00D43D86"/>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D7DF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AE5BD"/>
  <w15:docId w15:val="{1549C615-4DF6-47DA-A1B4-6ADAED6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24E00"/>
    <w:rPr>
      <w:b/>
      <w:sz w:val="28"/>
    </w:rPr>
  </w:style>
  <w:style w:type="character" w:customStyle="1" w:styleId="H1GChar">
    <w:name w:val="_ H_1_G Char"/>
    <w:link w:val="H1G"/>
    <w:locked/>
    <w:rsid w:val="00124E00"/>
    <w:rPr>
      <w:b/>
      <w:sz w:val="24"/>
    </w:rPr>
  </w:style>
  <w:style w:type="paragraph" w:styleId="ListParagraph">
    <w:name w:val="List Paragraph"/>
    <w:basedOn w:val="Normal"/>
    <w:uiPriority w:val="34"/>
    <w:qFormat/>
    <w:rsid w:val="00900BBC"/>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12477-24FF-43BF-882E-D129196CB671}">
  <ds:schemaRefs>
    <ds:schemaRef ds:uri="http://schemas.openxmlformats.org/officeDocument/2006/bibliography"/>
  </ds:schemaRefs>
</ds:datastoreItem>
</file>

<file path=customXml/itemProps2.xml><?xml version="1.0" encoding="utf-8"?>
<ds:datastoreItem xmlns:ds="http://schemas.openxmlformats.org/officeDocument/2006/customXml" ds:itemID="{914EB8FE-25D7-4204-A9CC-40FC37D1856A}"/>
</file>

<file path=customXml/itemProps3.xml><?xml version="1.0" encoding="utf-8"?>
<ds:datastoreItem xmlns:ds="http://schemas.openxmlformats.org/officeDocument/2006/customXml" ds:itemID="{45E4EB61-B024-44A3-ADB6-1AA257A4CEEA}"/>
</file>

<file path=customXml/itemProps4.xml><?xml version="1.0" encoding="utf-8"?>
<ds:datastoreItem xmlns:ds="http://schemas.openxmlformats.org/officeDocument/2006/customXml" ds:itemID="{6DC9F4AE-1D7F-4248-8528-7C97B3675699}"/>
</file>

<file path=docProps/app.xml><?xml version="1.0" encoding="utf-8"?>
<Properties xmlns="http://schemas.openxmlformats.org/officeDocument/2006/extended-properties" xmlns:vt="http://schemas.openxmlformats.org/officeDocument/2006/docPropsVTypes">
  <Template>SGAC10_E.dotm</Template>
  <TotalTime>46</TotalTime>
  <Pages>3</Pages>
  <Words>738</Words>
  <Characters>4199</Characters>
  <Application>Microsoft Office Word</Application>
  <DocSecurity>0</DocSecurity>
  <Lines>108</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ST/SG/AC.10/C.3/2020/23/Add.1</vt: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ST/SG/AC.10/C.3/2020/23/Add.1</dc:title>
  <dc:subject/>
  <dc:creator>Rosa</dc:creator>
  <cp:keywords>ST/SG/AC.10/C.4/2020/8/Add.1</cp:keywords>
  <cp:lastModifiedBy>Laurence Berthet</cp:lastModifiedBy>
  <cp:revision>15</cp:revision>
  <cp:lastPrinted>2020-09-03T12:27:00Z</cp:lastPrinted>
  <dcterms:created xsi:type="dcterms:W3CDTF">2020-09-02T13:57:00Z</dcterms:created>
  <dcterms:modified xsi:type="dcterms:W3CDTF">2020-09-03T12:28:00Z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9607400</vt:r8>
  </property>
</Properties>
</file>