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ACF01D2" w14:textId="77777777" w:rsidTr="00F01738">
        <w:trPr>
          <w:trHeight w:hRule="exact" w:val="851"/>
        </w:trPr>
        <w:tc>
          <w:tcPr>
            <w:tcW w:w="1276" w:type="dxa"/>
            <w:tcBorders>
              <w:bottom w:val="single" w:sz="4" w:space="0" w:color="auto"/>
            </w:tcBorders>
          </w:tcPr>
          <w:p w14:paraId="4A958968" w14:textId="77777777" w:rsidR="00132EA9" w:rsidRPr="00DB58B5" w:rsidRDefault="00132EA9" w:rsidP="00A303FB">
            <w:bookmarkStart w:id="0" w:name="_GoBack"/>
            <w:bookmarkEnd w:id="0"/>
          </w:p>
        </w:tc>
        <w:tc>
          <w:tcPr>
            <w:tcW w:w="2268" w:type="dxa"/>
            <w:tcBorders>
              <w:bottom w:val="single" w:sz="4" w:space="0" w:color="auto"/>
            </w:tcBorders>
            <w:vAlign w:val="bottom"/>
          </w:tcPr>
          <w:p w14:paraId="65C5470D"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C43A99E" w14:textId="77777777" w:rsidR="00132EA9" w:rsidRPr="00DB58B5" w:rsidRDefault="00A303FB" w:rsidP="00A303FB">
            <w:pPr>
              <w:jc w:val="right"/>
            </w:pPr>
            <w:r w:rsidRPr="00A303FB">
              <w:rPr>
                <w:sz w:val="40"/>
              </w:rPr>
              <w:t>ST</w:t>
            </w:r>
            <w:r>
              <w:t>/SG/AC.10/C.3/2020/21/Rev.1</w:t>
            </w:r>
          </w:p>
        </w:tc>
      </w:tr>
      <w:tr w:rsidR="00132EA9" w:rsidRPr="00DB58B5" w14:paraId="0CF2EB58" w14:textId="77777777" w:rsidTr="00F01738">
        <w:trPr>
          <w:trHeight w:hRule="exact" w:val="2835"/>
        </w:trPr>
        <w:tc>
          <w:tcPr>
            <w:tcW w:w="1276" w:type="dxa"/>
            <w:tcBorders>
              <w:top w:val="single" w:sz="4" w:space="0" w:color="auto"/>
              <w:bottom w:val="single" w:sz="12" w:space="0" w:color="auto"/>
            </w:tcBorders>
          </w:tcPr>
          <w:p w14:paraId="62858C96" w14:textId="77777777" w:rsidR="00132EA9" w:rsidRPr="00DB58B5" w:rsidRDefault="00132EA9" w:rsidP="00F01738">
            <w:pPr>
              <w:spacing w:before="120"/>
              <w:jc w:val="center"/>
            </w:pPr>
            <w:r>
              <w:rPr>
                <w:noProof/>
                <w:lang w:eastAsia="fr-CH"/>
              </w:rPr>
              <w:drawing>
                <wp:inline distT="0" distB="0" distL="0" distR="0" wp14:anchorId="08A0E8AC" wp14:editId="200ABB3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6F324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CE8BB31" w14:textId="77777777" w:rsidR="00132EA9" w:rsidRDefault="00A303FB" w:rsidP="00F01738">
            <w:pPr>
              <w:spacing w:before="240"/>
            </w:pPr>
            <w:r>
              <w:t>Distr. générale</w:t>
            </w:r>
          </w:p>
          <w:p w14:paraId="276201C5" w14:textId="77777777" w:rsidR="00A303FB" w:rsidRDefault="00A303FB" w:rsidP="00A303FB">
            <w:pPr>
              <w:spacing w:line="240" w:lineRule="exact"/>
            </w:pPr>
            <w:r>
              <w:t>7 septembre 2020</w:t>
            </w:r>
          </w:p>
          <w:p w14:paraId="75EABA87" w14:textId="77777777" w:rsidR="00A303FB" w:rsidRDefault="00A303FB" w:rsidP="00A303FB">
            <w:pPr>
              <w:spacing w:line="240" w:lineRule="exact"/>
            </w:pPr>
            <w:r>
              <w:t>Français</w:t>
            </w:r>
          </w:p>
          <w:p w14:paraId="4902D6B0" w14:textId="77777777" w:rsidR="00A303FB" w:rsidRPr="00DB58B5" w:rsidRDefault="00A303FB" w:rsidP="00A303FB">
            <w:pPr>
              <w:spacing w:line="240" w:lineRule="exact"/>
            </w:pPr>
            <w:r>
              <w:t>Original</w:t>
            </w:r>
            <w:r w:rsidR="00C6613C">
              <w:t> :</w:t>
            </w:r>
            <w:r>
              <w:t xml:space="preserve"> anglais</w:t>
            </w:r>
          </w:p>
        </w:tc>
      </w:tr>
    </w:tbl>
    <w:p w14:paraId="5E3B346E" w14:textId="77777777" w:rsidR="00A303FB" w:rsidRPr="00C6613C" w:rsidRDefault="00C6613C" w:rsidP="00C6613C">
      <w:pPr>
        <w:spacing w:before="120"/>
        <w:ind w:right="2268"/>
        <w:rPr>
          <w:b/>
          <w:bCs/>
          <w:sz w:val="24"/>
          <w:szCs w:val="24"/>
        </w:rPr>
      </w:pPr>
      <w:r w:rsidRPr="00C6613C">
        <w:rPr>
          <w:b/>
          <w:bCs/>
          <w:sz w:val="24"/>
          <w:szCs w:val="24"/>
        </w:rPr>
        <w:t xml:space="preserve">Comité d’experts du transport des marchandises dangereuses </w:t>
      </w:r>
      <w:r>
        <w:rPr>
          <w:b/>
          <w:bCs/>
          <w:sz w:val="24"/>
          <w:szCs w:val="24"/>
        </w:rPr>
        <w:br/>
      </w:r>
      <w:r w:rsidRPr="00C6613C">
        <w:rPr>
          <w:b/>
          <w:bCs/>
          <w:sz w:val="24"/>
          <w:szCs w:val="24"/>
        </w:rPr>
        <w:t xml:space="preserve">et du Système générale harmonisé de classification </w:t>
      </w:r>
      <w:r>
        <w:rPr>
          <w:b/>
          <w:bCs/>
          <w:sz w:val="24"/>
          <w:szCs w:val="24"/>
        </w:rPr>
        <w:br/>
      </w:r>
      <w:r w:rsidRPr="00C6613C">
        <w:rPr>
          <w:b/>
          <w:bCs/>
          <w:sz w:val="24"/>
          <w:szCs w:val="24"/>
        </w:rPr>
        <w:t>et d’étiquetage des produits chimiques</w:t>
      </w:r>
    </w:p>
    <w:p w14:paraId="20575946" w14:textId="77777777" w:rsidR="00C6613C" w:rsidRPr="00C6613C" w:rsidRDefault="00C6613C" w:rsidP="00C6613C">
      <w:pPr>
        <w:spacing w:before="120" w:line="240" w:lineRule="auto"/>
        <w:rPr>
          <w:b/>
          <w:lang w:val="fr-FR"/>
        </w:rPr>
      </w:pPr>
      <w:r w:rsidRPr="00C6613C">
        <w:rPr>
          <w:b/>
          <w:lang w:val="fr-FR"/>
        </w:rPr>
        <w:t>Sous-Comité d’experts du transport des marchandises dangereuses</w:t>
      </w:r>
    </w:p>
    <w:p w14:paraId="520888D4" w14:textId="77777777" w:rsidR="00C6613C" w:rsidRPr="00C6613C" w:rsidRDefault="00C6613C" w:rsidP="00C6613C">
      <w:pPr>
        <w:spacing w:before="120"/>
        <w:rPr>
          <w:b/>
          <w:bCs/>
          <w:lang w:val="fr-FR"/>
        </w:rPr>
      </w:pPr>
      <w:r w:rsidRPr="00C6613C">
        <w:rPr>
          <w:b/>
          <w:bCs/>
          <w:lang w:val="fr-FR"/>
        </w:rPr>
        <w:t>Cinquante-septième session</w:t>
      </w:r>
    </w:p>
    <w:p w14:paraId="2C7601E9" w14:textId="77777777" w:rsidR="00C6613C" w:rsidRPr="00C6613C" w:rsidRDefault="00C6613C" w:rsidP="00C6613C">
      <w:pPr>
        <w:rPr>
          <w:lang w:val="fr-FR"/>
        </w:rPr>
      </w:pPr>
      <w:r w:rsidRPr="00C6613C">
        <w:rPr>
          <w:lang w:val="fr-FR"/>
        </w:rPr>
        <w:t>Genève, 30 novembre-8 décembre 2020</w:t>
      </w:r>
    </w:p>
    <w:p w14:paraId="463419C4" w14:textId="77777777" w:rsidR="00C6613C" w:rsidRPr="00C6613C" w:rsidRDefault="00C6613C" w:rsidP="00C6613C">
      <w:pPr>
        <w:rPr>
          <w:lang w:val="fr-FR"/>
        </w:rPr>
      </w:pPr>
      <w:r w:rsidRPr="00C6613C">
        <w:rPr>
          <w:lang w:val="fr-FR"/>
        </w:rPr>
        <w:t>Point 3 de l’ordre du jour provisoire</w:t>
      </w:r>
    </w:p>
    <w:p w14:paraId="57CD510A" w14:textId="77777777" w:rsidR="00C6613C" w:rsidRPr="00C6613C" w:rsidRDefault="00C6613C" w:rsidP="00C6613C">
      <w:pPr>
        <w:rPr>
          <w:b/>
          <w:lang w:val="fr-FR"/>
        </w:rPr>
      </w:pPr>
      <w:r w:rsidRPr="00C6613C">
        <w:rPr>
          <w:b/>
          <w:lang w:val="fr-FR"/>
        </w:rPr>
        <w:t>Inscription, classement et emballage</w:t>
      </w:r>
    </w:p>
    <w:p w14:paraId="7AAAC87E" w14:textId="77777777" w:rsidR="00C6613C" w:rsidRPr="00084167" w:rsidRDefault="00C6613C" w:rsidP="00C6613C">
      <w:pPr>
        <w:pStyle w:val="HChG"/>
        <w:rPr>
          <w:lang w:val="fr-FR"/>
        </w:rPr>
      </w:pPr>
      <w:r w:rsidRPr="00084167">
        <w:rPr>
          <w:lang w:val="fr-FR" w:eastAsia="ja-JP"/>
        </w:rPr>
        <w:tab/>
      </w:r>
      <w:r w:rsidRPr="00084167">
        <w:rPr>
          <w:lang w:val="fr-FR" w:eastAsia="ja-JP"/>
        </w:rPr>
        <w:tab/>
        <w:t>Demande d</w:t>
      </w:r>
      <w:r>
        <w:rPr>
          <w:lang w:val="fr-FR" w:eastAsia="ja-JP"/>
        </w:rPr>
        <w:t>’</w:t>
      </w:r>
      <w:r w:rsidRPr="00084167">
        <w:rPr>
          <w:lang w:val="fr-FR" w:eastAsia="ja-JP"/>
        </w:rPr>
        <w:t>un nouveau numéro ONU pour la poudre de</w:t>
      </w:r>
      <w:r>
        <w:rPr>
          <w:lang w:val="fr-FR" w:eastAsia="ja-JP"/>
        </w:rPr>
        <w:t> </w:t>
      </w:r>
      <w:r w:rsidRPr="00084167">
        <w:rPr>
          <w:lang w:val="fr-FR" w:eastAsia="ja-JP"/>
        </w:rPr>
        <w:t>dihydroxyde de cobalt</w:t>
      </w:r>
    </w:p>
    <w:p w14:paraId="04DA7E24" w14:textId="77777777" w:rsidR="00C6613C" w:rsidRPr="00084167" w:rsidRDefault="00C6613C" w:rsidP="00C6613C">
      <w:pPr>
        <w:pStyle w:val="H1G"/>
        <w:rPr>
          <w:lang w:val="fr-FR"/>
        </w:rPr>
      </w:pPr>
      <w:r w:rsidRPr="00084167">
        <w:rPr>
          <w:lang w:val="fr-FR"/>
        </w:rPr>
        <w:tab/>
      </w:r>
      <w:r w:rsidRPr="00084167">
        <w:rPr>
          <w:lang w:val="fr-FR"/>
        </w:rPr>
        <w:tab/>
        <w:t xml:space="preserve">Communication de la </w:t>
      </w:r>
      <w:r w:rsidRPr="0084529D">
        <w:rPr>
          <w:lang w:val="en-US"/>
        </w:rPr>
        <w:t>Responsible Packaging Management Association of Southern Africa (RPMASA)</w:t>
      </w:r>
      <w:r w:rsidRPr="00084167">
        <w:rPr>
          <w:lang w:val="fr-FR"/>
        </w:rPr>
        <w:t xml:space="preserve"> et de l</w:t>
      </w:r>
      <w:r>
        <w:rPr>
          <w:lang w:val="fr-FR"/>
        </w:rPr>
        <w:t>’</w:t>
      </w:r>
      <w:r w:rsidRPr="00084167">
        <w:rPr>
          <w:lang w:val="fr-FR"/>
        </w:rPr>
        <w:t xml:space="preserve">International </w:t>
      </w:r>
      <w:r w:rsidRPr="0084529D">
        <w:rPr>
          <w:lang w:val="en-US"/>
        </w:rPr>
        <w:t>Confederation of Plastic Packaging Manufacturers</w:t>
      </w:r>
      <w:r w:rsidRPr="00084167">
        <w:rPr>
          <w:lang w:val="fr-FR"/>
        </w:rPr>
        <w:t xml:space="preserve"> (ICPP)</w:t>
      </w:r>
      <w:r w:rsidRPr="0084529D">
        <w:rPr>
          <w:rStyle w:val="FootnoteReference"/>
          <w:b w:val="0"/>
          <w:bCs/>
          <w:sz w:val="20"/>
          <w:vertAlign w:val="baseline"/>
          <w:lang w:val="fr-FR"/>
        </w:rPr>
        <w:footnoteReference w:customMarkFollows="1" w:id="2"/>
        <w:t>*</w:t>
      </w:r>
    </w:p>
    <w:p w14:paraId="4D25E200" w14:textId="77777777" w:rsidR="00C6613C" w:rsidRPr="00084167" w:rsidRDefault="00C6613C" w:rsidP="00C6613C">
      <w:pPr>
        <w:pStyle w:val="H1G"/>
        <w:rPr>
          <w:lang w:val="fr-FR"/>
        </w:rPr>
      </w:pPr>
      <w:r w:rsidRPr="00084167">
        <w:rPr>
          <w:lang w:val="fr-FR"/>
        </w:rPr>
        <w:tab/>
      </w:r>
      <w:r w:rsidRPr="00084167">
        <w:rPr>
          <w:lang w:val="fr-FR"/>
        </w:rPr>
        <w:tab/>
        <w:t>Révision</w:t>
      </w:r>
    </w:p>
    <w:p w14:paraId="415BF94F" w14:textId="77777777" w:rsidR="00C6613C" w:rsidRPr="00084167" w:rsidRDefault="00C6613C" w:rsidP="00C6613C">
      <w:pPr>
        <w:pStyle w:val="HChG"/>
        <w:rPr>
          <w:lang w:val="fr-FR"/>
        </w:rPr>
      </w:pPr>
      <w:r w:rsidRPr="00084167">
        <w:rPr>
          <w:rFonts w:eastAsia="MS Mincho"/>
          <w:lang w:val="fr-FR" w:eastAsia="ja-JP"/>
        </w:rPr>
        <w:tab/>
      </w:r>
      <w:r w:rsidRPr="00084167">
        <w:rPr>
          <w:lang w:val="fr-FR"/>
        </w:rPr>
        <w:tab/>
        <w:t>Introduction et contexte</w:t>
      </w:r>
    </w:p>
    <w:p w14:paraId="00782757" w14:textId="77777777" w:rsidR="00C6613C" w:rsidRPr="00084167" w:rsidRDefault="00C6613C" w:rsidP="00C6613C">
      <w:pPr>
        <w:pStyle w:val="SingleTxtG"/>
        <w:rPr>
          <w:lang w:val="fr-FR"/>
        </w:rPr>
      </w:pPr>
      <w:r w:rsidRPr="00084167">
        <w:rPr>
          <w:lang w:val="fr-FR"/>
        </w:rPr>
        <w:t>1.</w:t>
      </w:r>
      <w:r w:rsidRPr="00084167">
        <w:rPr>
          <w:lang w:val="fr-FR"/>
        </w:rPr>
        <w:tab/>
        <w:t>À la cinquante-cinquième session du Sous-Comité, la RPMASA a soumis, dans le document informel INF.24, un nouveau problème qui se posait concernant l</w:t>
      </w:r>
      <w:r>
        <w:rPr>
          <w:lang w:val="fr-FR"/>
        </w:rPr>
        <w:t>’</w:t>
      </w:r>
      <w:r w:rsidRPr="00084167">
        <w:rPr>
          <w:lang w:val="fr-FR"/>
        </w:rPr>
        <w:t>emballage et le transport du dihydroxyde de cobalt. Ce problème découlait de la prescription du Règlement concernant l</w:t>
      </w:r>
      <w:r>
        <w:rPr>
          <w:lang w:val="fr-FR"/>
        </w:rPr>
        <w:t>’</w:t>
      </w:r>
      <w:r w:rsidRPr="00084167">
        <w:rPr>
          <w:lang w:val="fr-FR"/>
        </w:rPr>
        <w:t>enregistrement, l</w:t>
      </w:r>
      <w:r>
        <w:rPr>
          <w:lang w:val="fr-FR"/>
        </w:rPr>
        <w:t>’</w:t>
      </w:r>
      <w:r w:rsidRPr="00084167">
        <w:rPr>
          <w:lang w:val="fr-FR"/>
        </w:rPr>
        <w:t>évaluation et l</w:t>
      </w:r>
      <w:r>
        <w:rPr>
          <w:lang w:val="fr-FR"/>
        </w:rPr>
        <w:t>’</w:t>
      </w:r>
      <w:r w:rsidRPr="00084167">
        <w:rPr>
          <w:lang w:val="fr-FR"/>
        </w:rPr>
        <w:t>autorisation des substances chimiques, ainsi que les restrictions applicables à ces substances (REACH)</w:t>
      </w:r>
      <w:r w:rsidRPr="00B4378B">
        <w:rPr>
          <w:rStyle w:val="FootnoteReference"/>
        </w:rPr>
        <w:footnoteReference w:id="3"/>
      </w:r>
      <w:r w:rsidRPr="00084167">
        <w:rPr>
          <w:lang w:val="fr-FR"/>
        </w:rPr>
        <w:t xml:space="preserve"> selon laquelle des essais approfondis devaient être menés conformément au SGH. Ces essais avaient entraîné un changement radical de la classification de </w:t>
      </w:r>
      <w:r>
        <w:rPr>
          <w:lang w:val="fr-FR"/>
        </w:rPr>
        <w:t xml:space="preserve">cette matière aux fins du </w:t>
      </w:r>
      <w:r w:rsidRPr="00084167">
        <w:rPr>
          <w:lang w:val="fr-FR"/>
        </w:rPr>
        <w:t>transport</w:t>
      </w:r>
      <w:r>
        <w:rPr>
          <w:lang w:val="fr-FR"/>
        </w:rPr>
        <w:t>, puisqu’elle était passée</w:t>
      </w:r>
      <w:r w:rsidRPr="00084167">
        <w:rPr>
          <w:lang w:val="fr-FR"/>
        </w:rPr>
        <w:t xml:space="preserve"> </w:t>
      </w:r>
      <w:r>
        <w:rPr>
          <w:lang w:val="fr-FR"/>
        </w:rPr>
        <w:t xml:space="preserve">du </w:t>
      </w:r>
      <w:r w:rsidRPr="00084167">
        <w:rPr>
          <w:lang w:val="fr-FR"/>
        </w:rPr>
        <w:t>No ONU 3077 MATIÈRE DANGEREUSE DU POINT DE VUE DE L</w:t>
      </w:r>
      <w:r>
        <w:rPr>
          <w:lang w:val="fr-FR"/>
        </w:rPr>
        <w:t>’</w:t>
      </w:r>
      <w:r w:rsidRPr="00084167">
        <w:rPr>
          <w:lang w:val="fr-FR"/>
        </w:rPr>
        <w:t xml:space="preserve">ENVIRONNEMENT, SOLIDE, N.S.A., </w:t>
      </w:r>
      <w:r w:rsidRPr="00011D1E">
        <w:rPr>
          <w:lang w:val="fr-FR"/>
        </w:rPr>
        <w:t xml:space="preserve">classe 9, </w:t>
      </w:r>
      <w:r w:rsidRPr="00084167">
        <w:rPr>
          <w:lang w:val="fr-FR"/>
        </w:rPr>
        <w:t>groupe d</w:t>
      </w:r>
      <w:r>
        <w:rPr>
          <w:lang w:val="fr-FR"/>
        </w:rPr>
        <w:t>’</w:t>
      </w:r>
      <w:r w:rsidRPr="00084167">
        <w:rPr>
          <w:lang w:val="fr-FR"/>
        </w:rPr>
        <w:t xml:space="preserve">emballage III, à SOLIDE TOXIQUE, PAR INHALATION, </w:t>
      </w:r>
      <w:r>
        <w:rPr>
          <w:lang w:val="fr-FR"/>
        </w:rPr>
        <w:t xml:space="preserve">division 6.1, </w:t>
      </w:r>
      <w:r w:rsidRPr="00084167">
        <w:rPr>
          <w:lang w:val="fr-FR"/>
        </w:rPr>
        <w:t xml:space="preserve">catégorie 1, </w:t>
      </w:r>
      <w:r>
        <w:rPr>
          <w:lang w:val="fr-FR"/>
        </w:rPr>
        <w:t xml:space="preserve">groupe d’emballage </w:t>
      </w:r>
      <w:r w:rsidRPr="00084167">
        <w:rPr>
          <w:lang w:val="fr-FR"/>
        </w:rPr>
        <w:t xml:space="preserve">I, pour </w:t>
      </w:r>
      <w:r>
        <w:rPr>
          <w:lang w:val="fr-FR"/>
        </w:rPr>
        <w:t>lequel</w:t>
      </w:r>
      <w:r w:rsidRPr="00084167">
        <w:rPr>
          <w:lang w:val="fr-FR"/>
        </w:rPr>
        <w:t xml:space="preserve"> il n</w:t>
      </w:r>
      <w:r>
        <w:rPr>
          <w:lang w:val="fr-FR"/>
        </w:rPr>
        <w:t>’</w:t>
      </w:r>
      <w:r w:rsidRPr="00084167">
        <w:rPr>
          <w:lang w:val="fr-FR"/>
        </w:rPr>
        <w:t>existe actuellement aucun numéro ONU.</w:t>
      </w:r>
    </w:p>
    <w:p w14:paraId="1C89EDB4" w14:textId="77777777" w:rsidR="00C6613C" w:rsidRPr="00084167" w:rsidRDefault="00C6613C" w:rsidP="00C6613C">
      <w:pPr>
        <w:pStyle w:val="SingleTxtG"/>
        <w:rPr>
          <w:lang w:val="fr-FR"/>
        </w:rPr>
      </w:pPr>
      <w:r w:rsidRPr="00084167">
        <w:rPr>
          <w:lang w:val="fr-FR"/>
        </w:rPr>
        <w:t>2.</w:t>
      </w:r>
      <w:r w:rsidRPr="00084167">
        <w:rPr>
          <w:lang w:val="fr-FR"/>
        </w:rPr>
        <w:tab/>
        <w:t xml:space="preserve">Cela constituait une sérieuse difficulté, car des milliers de tonnes de dihydroxyde de cobalt sous diverses formes ont été transportées en toute sécurité au cours des quarante dernières années </w:t>
      </w:r>
      <w:bookmarkStart w:id="1" w:name="_Hlk54979779"/>
      <w:r w:rsidRPr="00084167">
        <w:rPr>
          <w:lang w:val="fr-FR"/>
        </w:rPr>
        <w:t xml:space="preserve">sous le </w:t>
      </w:r>
      <w:r>
        <w:rPr>
          <w:lang w:val="fr-FR"/>
        </w:rPr>
        <w:t>No</w:t>
      </w:r>
      <w:r w:rsidRPr="00084167">
        <w:rPr>
          <w:lang w:val="fr-FR"/>
        </w:rPr>
        <w:t xml:space="preserve"> ONU 3077 </w:t>
      </w:r>
      <w:bookmarkStart w:id="2" w:name="_Hlk55212355"/>
      <w:r w:rsidRPr="00084167">
        <w:rPr>
          <w:lang w:val="fr-FR"/>
        </w:rPr>
        <w:t xml:space="preserve">MATIÈRE DANGEREUSE DU POINT DE VUE </w:t>
      </w:r>
      <w:r w:rsidRPr="00CF13C0">
        <w:rPr>
          <w:spacing w:val="-1"/>
          <w:lang w:val="fr-FR"/>
        </w:rPr>
        <w:t xml:space="preserve">DE L’ENVIRONNEMENT, SOLIDE, N.S.A. </w:t>
      </w:r>
      <w:bookmarkEnd w:id="1"/>
      <w:r w:rsidRPr="00CF13C0">
        <w:rPr>
          <w:spacing w:val="-1"/>
          <w:lang w:val="fr-FR"/>
        </w:rPr>
        <w:t xml:space="preserve">(contient du dihydroxyde de cobalt), </w:t>
      </w:r>
      <w:bookmarkEnd w:id="2"/>
      <w:r w:rsidRPr="00CF13C0">
        <w:rPr>
          <w:spacing w:val="-1"/>
          <w:lang w:val="fr-FR"/>
        </w:rPr>
        <w:t>classe</w:t>
      </w:r>
      <w:r w:rsidRPr="00084167">
        <w:rPr>
          <w:lang w:val="fr-FR"/>
        </w:rPr>
        <w:t xml:space="preserve"> 9, dans des grands récipients pour vrac (GRV) souples </w:t>
      </w:r>
      <w:r>
        <w:rPr>
          <w:lang w:val="fr-FR"/>
        </w:rPr>
        <w:t xml:space="preserve">pour marchandises du groupe </w:t>
      </w:r>
      <w:r>
        <w:rPr>
          <w:lang w:val="fr-FR"/>
        </w:rPr>
        <w:lastRenderedPageBreak/>
        <w:t>d’emballage</w:t>
      </w:r>
      <w:r w:rsidRPr="00084167">
        <w:rPr>
          <w:lang w:val="fr-FR"/>
        </w:rPr>
        <w:t xml:space="preserve"> III. Le dihydroxyde de cobalt se présente sous diverses formes, des matières brutes provenant des mines d</w:t>
      </w:r>
      <w:r>
        <w:rPr>
          <w:lang w:val="fr-FR"/>
        </w:rPr>
        <w:t>’</w:t>
      </w:r>
      <w:r w:rsidRPr="00084167">
        <w:rPr>
          <w:lang w:val="fr-FR"/>
        </w:rPr>
        <w:t>Afrique aux matières raffinées en Europe et dans d</w:t>
      </w:r>
      <w:r>
        <w:rPr>
          <w:lang w:val="fr-FR"/>
        </w:rPr>
        <w:t>’</w:t>
      </w:r>
      <w:r w:rsidRPr="00084167">
        <w:rPr>
          <w:lang w:val="fr-FR"/>
        </w:rPr>
        <w:t>autres parties du monde développé. Il est transporté par des moyens multimodaux dans des GRV souples sans qu</w:t>
      </w:r>
      <w:r>
        <w:rPr>
          <w:lang w:val="fr-FR"/>
        </w:rPr>
        <w:t>’</w:t>
      </w:r>
      <w:r w:rsidRPr="00084167">
        <w:rPr>
          <w:lang w:val="fr-FR"/>
        </w:rPr>
        <w:t>aucun accident, incident ou problème de santé ait été enregistré.</w:t>
      </w:r>
    </w:p>
    <w:p w14:paraId="7270D59A" w14:textId="77777777" w:rsidR="00C6613C" w:rsidRPr="00084167" w:rsidRDefault="00C6613C" w:rsidP="00C6613C">
      <w:pPr>
        <w:pStyle w:val="SingleTxtG"/>
        <w:rPr>
          <w:lang w:val="fr-FR"/>
        </w:rPr>
      </w:pPr>
      <w:r w:rsidRPr="00084167">
        <w:rPr>
          <w:lang w:val="fr-FR"/>
        </w:rPr>
        <w:t>3.</w:t>
      </w:r>
      <w:r w:rsidRPr="00084167">
        <w:rPr>
          <w:lang w:val="fr-FR"/>
        </w:rPr>
        <w:tab/>
        <w:t>Il a été demandé de créer un nouveau numéro ONU prévoyant des GRV souples, assorti d</w:t>
      </w:r>
      <w:r>
        <w:rPr>
          <w:lang w:val="fr-FR"/>
        </w:rPr>
        <w:t>’</w:t>
      </w:r>
      <w:r w:rsidRPr="00084167">
        <w:rPr>
          <w:lang w:val="fr-FR"/>
        </w:rPr>
        <w:t>une instruction d</w:t>
      </w:r>
      <w:r>
        <w:rPr>
          <w:lang w:val="fr-FR"/>
        </w:rPr>
        <w:t>’</w:t>
      </w:r>
      <w:r w:rsidRPr="00084167">
        <w:rPr>
          <w:lang w:val="fr-FR"/>
        </w:rPr>
        <w:t>emballage appropriée et de dispositions spéciales, car jusqu</w:t>
      </w:r>
      <w:r>
        <w:rPr>
          <w:lang w:val="fr-FR"/>
        </w:rPr>
        <w:t>’</w:t>
      </w:r>
      <w:r w:rsidRPr="00084167">
        <w:rPr>
          <w:lang w:val="fr-FR"/>
        </w:rPr>
        <w:t xml:space="preserve">à présent le </w:t>
      </w:r>
      <w:r>
        <w:rPr>
          <w:lang w:val="fr-FR"/>
        </w:rPr>
        <w:t>groupe d’emballage</w:t>
      </w:r>
      <w:r w:rsidRPr="00084167">
        <w:rPr>
          <w:lang w:val="fr-FR"/>
        </w:rPr>
        <w:t xml:space="preserve"> </w:t>
      </w:r>
      <w:r>
        <w:rPr>
          <w:lang w:val="fr-FR"/>
        </w:rPr>
        <w:t>I</w:t>
      </w:r>
      <w:r w:rsidRPr="00084167">
        <w:rPr>
          <w:lang w:val="fr-FR"/>
        </w:rPr>
        <w:t xml:space="preserve"> ne prévoyait pas l</w:t>
      </w:r>
      <w:r>
        <w:rPr>
          <w:lang w:val="fr-FR"/>
        </w:rPr>
        <w:t>’</w:t>
      </w:r>
      <w:r w:rsidRPr="00084167">
        <w:rPr>
          <w:lang w:val="fr-FR"/>
        </w:rPr>
        <w:t>utilisation de GRV souples.</w:t>
      </w:r>
    </w:p>
    <w:p w14:paraId="6DBF57A9" w14:textId="77777777" w:rsidR="00C6613C" w:rsidRPr="00084167" w:rsidRDefault="00C6613C" w:rsidP="00C6613C">
      <w:pPr>
        <w:pStyle w:val="H1G"/>
        <w:rPr>
          <w:lang w:val="fr-FR"/>
        </w:rPr>
      </w:pPr>
      <w:r w:rsidRPr="00084167">
        <w:rPr>
          <w:lang w:val="fr-FR"/>
        </w:rPr>
        <w:tab/>
      </w:r>
      <w:r w:rsidRPr="00084167">
        <w:rPr>
          <w:lang w:val="fr-FR"/>
        </w:rPr>
        <w:tab/>
        <w:t>Le problème et les mesures prises en conséquence</w:t>
      </w:r>
    </w:p>
    <w:p w14:paraId="6092E767" w14:textId="77777777" w:rsidR="00C6613C" w:rsidRDefault="00C6613C" w:rsidP="00C6613C">
      <w:pPr>
        <w:pStyle w:val="SingleTxtG"/>
        <w:rPr>
          <w:lang w:val="fr-FR"/>
        </w:rPr>
      </w:pPr>
      <w:r w:rsidRPr="00084167">
        <w:rPr>
          <w:lang w:val="fr-FR"/>
        </w:rPr>
        <w:t>4.</w:t>
      </w:r>
      <w:r w:rsidRPr="00084167">
        <w:rPr>
          <w:lang w:val="fr-FR"/>
        </w:rPr>
        <w:tab/>
        <w:t>Des préoccupations ont été exprimées quant au fait que, en raison du renforcement de l</w:t>
      </w:r>
      <w:r>
        <w:rPr>
          <w:lang w:val="fr-FR"/>
        </w:rPr>
        <w:t>’</w:t>
      </w:r>
      <w:r w:rsidRPr="00084167">
        <w:rPr>
          <w:lang w:val="fr-FR"/>
        </w:rPr>
        <w:t xml:space="preserve">harmonisation avec le SGH, </w:t>
      </w:r>
      <w:r>
        <w:rPr>
          <w:lang w:val="fr-FR"/>
        </w:rPr>
        <w:t>d’autres</w:t>
      </w:r>
      <w:r w:rsidRPr="00084167">
        <w:rPr>
          <w:lang w:val="fr-FR"/>
        </w:rPr>
        <w:t xml:space="preserve"> poudres fines </w:t>
      </w:r>
      <w:r>
        <w:rPr>
          <w:lang w:val="fr-FR"/>
        </w:rPr>
        <w:t xml:space="preserve">pourraient également </w:t>
      </w:r>
      <w:r w:rsidRPr="00084167">
        <w:rPr>
          <w:lang w:val="fr-FR"/>
        </w:rPr>
        <w:t>être concernée</w:t>
      </w:r>
      <w:r>
        <w:rPr>
          <w:lang w:val="fr-FR"/>
        </w:rPr>
        <w:t>s</w:t>
      </w:r>
      <w:r w:rsidRPr="00084167">
        <w:rPr>
          <w:lang w:val="fr-FR"/>
        </w:rPr>
        <w:t xml:space="preserve"> par le SGH et </w:t>
      </w:r>
      <w:r>
        <w:rPr>
          <w:lang w:val="fr-FR"/>
        </w:rPr>
        <w:t xml:space="preserve">le règlement </w:t>
      </w:r>
      <w:r w:rsidRPr="00084167">
        <w:rPr>
          <w:lang w:val="fr-FR"/>
        </w:rPr>
        <w:t xml:space="preserve">REACH. </w:t>
      </w:r>
      <w:r>
        <w:rPr>
          <w:lang w:val="fr-FR"/>
        </w:rPr>
        <w:t>Il faut donc trouver une</w:t>
      </w:r>
      <w:r w:rsidRPr="00084167">
        <w:rPr>
          <w:lang w:val="fr-FR"/>
        </w:rPr>
        <w:t xml:space="preserve"> solution pour assurer la poursuite du transport et du commerce de ces marchandises, en particulier celles qui ne présentent aucun autre danger physique et ne sont donc pas très dangereuses à</w:t>
      </w:r>
      <w:r w:rsidR="007175CC">
        <w:rPr>
          <w:lang w:val="fr-FR"/>
        </w:rPr>
        <w:t> </w:t>
      </w:r>
      <w:r w:rsidRPr="00084167">
        <w:rPr>
          <w:lang w:val="fr-FR"/>
        </w:rPr>
        <w:t>transporter.</w:t>
      </w:r>
    </w:p>
    <w:p w14:paraId="7EC441BE" w14:textId="77777777" w:rsidR="00C6613C" w:rsidRDefault="00C6613C" w:rsidP="00C6613C">
      <w:pPr>
        <w:pStyle w:val="SingleTxtG"/>
        <w:rPr>
          <w:lang w:val="fr-FR"/>
        </w:rPr>
      </w:pPr>
      <w:r w:rsidRPr="00084167">
        <w:rPr>
          <w:lang w:val="fr-FR"/>
        </w:rPr>
        <w:t>5.</w:t>
      </w:r>
      <w:r w:rsidRPr="00084167">
        <w:rPr>
          <w:lang w:val="fr-FR"/>
        </w:rPr>
        <w:tab/>
        <w:t>Les essais effectués par l</w:t>
      </w:r>
      <w:r>
        <w:rPr>
          <w:lang w:val="fr-FR"/>
        </w:rPr>
        <w:t>’</w:t>
      </w:r>
      <w:r w:rsidRPr="00084167">
        <w:rPr>
          <w:lang w:val="fr-FR"/>
        </w:rPr>
        <w:t>Institut du cobalt en application de la directive d</w:t>
      </w:r>
      <w:r>
        <w:rPr>
          <w:lang w:val="fr-FR"/>
        </w:rPr>
        <w:t>’</w:t>
      </w:r>
      <w:r w:rsidRPr="00084167">
        <w:rPr>
          <w:lang w:val="fr-FR"/>
        </w:rPr>
        <w:t>essai 436 de l</w:t>
      </w:r>
      <w:r>
        <w:rPr>
          <w:lang w:val="fr-FR"/>
        </w:rPr>
        <w:t>’</w:t>
      </w:r>
      <w:r w:rsidRPr="00084167">
        <w:rPr>
          <w:lang w:val="fr-FR"/>
        </w:rPr>
        <w:t>OCDE conformément au règlement REACH ont abouti à la nouvelle classification. Les essais de granulométrie ont confirmé que le matériau raffiné très fin se situait dans la plage respirable des particules de taille inférieure à 10</w:t>
      </w:r>
      <w:r w:rsidR="007175CC">
        <w:rPr>
          <w:lang w:val="fr-FR"/>
        </w:rPr>
        <w:t> </w:t>
      </w:r>
      <w:r w:rsidRPr="00084167">
        <w:rPr>
          <w:lang w:val="fr-FR"/>
        </w:rPr>
        <w:t>µm, mais que les matières brutes plus grossières n</w:t>
      </w:r>
      <w:r>
        <w:rPr>
          <w:lang w:val="fr-FR"/>
        </w:rPr>
        <w:t>’</w:t>
      </w:r>
      <w:r w:rsidRPr="00084167">
        <w:rPr>
          <w:lang w:val="fr-FR"/>
        </w:rPr>
        <w:t>étaient pas concernées.</w:t>
      </w:r>
    </w:p>
    <w:p w14:paraId="4A1B025F" w14:textId="77777777" w:rsidR="00C6613C" w:rsidRPr="00084167" w:rsidRDefault="00C6613C" w:rsidP="00C6613C">
      <w:pPr>
        <w:pStyle w:val="SingleTxtG"/>
        <w:rPr>
          <w:lang w:val="fr-FR"/>
        </w:rPr>
      </w:pPr>
      <w:r w:rsidRPr="00084167">
        <w:rPr>
          <w:lang w:val="fr-FR"/>
        </w:rPr>
        <w:t>6.</w:t>
      </w:r>
      <w:r>
        <w:rPr>
          <w:lang w:val="fr-FR"/>
        </w:rPr>
        <w:tab/>
      </w:r>
      <w:r w:rsidRPr="00084167">
        <w:rPr>
          <w:lang w:val="fr-FR"/>
        </w:rPr>
        <w:t>Il a été convenu que les matières grossières et pâteuses qui n</w:t>
      </w:r>
      <w:r>
        <w:rPr>
          <w:lang w:val="fr-FR"/>
        </w:rPr>
        <w:t>’</w:t>
      </w:r>
      <w:r w:rsidRPr="00084167">
        <w:rPr>
          <w:lang w:val="fr-FR"/>
        </w:rPr>
        <w:t>émett</w:t>
      </w:r>
      <w:r>
        <w:rPr>
          <w:lang w:val="fr-FR"/>
        </w:rPr>
        <w:t>ai</w:t>
      </w:r>
      <w:r w:rsidRPr="00084167">
        <w:rPr>
          <w:lang w:val="fr-FR"/>
        </w:rPr>
        <w:t>ent pas de poussières ne présent</w:t>
      </w:r>
      <w:r>
        <w:rPr>
          <w:lang w:val="fr-FR"/>
        </w:rPr>
        <w:t>ai</w:t>
      </w:r>
      <w:r w:rsidRPr="00084167">
        <w:rPr>
          <w:lang w:val="fr-FR"/>
        </w:rPr>
        <w:t>ent pas de risque d</w:t>
      </w:r>
      <w:r>
        <w:rPr>
          <w:lang w:val="fr-FR"/>
        </w:rPr>
        <w:t>’</w:t>
      </w:r>
      <w:r w:rsidRPr="00084167">
        <w:rPr>
          <w:lang w:val="fr-FR"/>
        </w:rPr>
        <w:t>inhalation et se situ</w:t>
      </w:r>
      <w:r>
        <w:rPr>
          <w:lang w:val="fr-FR"/>
        </w:rPr>
        <w:t>ai</w:t>
      </w:r>
      <w:r w:rsidRPr="00084167">
        <w:rPr>
          <w:lang w:val="fr-FR"/>
        </w:rPr>
        <w:t xml:space="preserve">ent en dehors de la </w:t>
      </w:r>
      <w:r>
        <w:rPr>
          <w:lang w:val="fr-FR"/>
        </w:rPr>
        <w:t>plage</w:t>
      </w:r>
      <w:r w:rsidRPr="00084167">
        <w:rPr>
          <w:lang w:val="fr-FR"/>
        </w:rPr>
        <w:t xml:space="preserve"> respirable, et qu</w:t>
      </w:r>
      <w:r>
        <w:rPr>
          <w:lang w:val="fr-FR"/>
        </w:rPr>
        <w:t>’</w:t>
      </w:r>
      <w:r w:rsidRPr="00084167">
        <w:rPr>
          <w:lang w:val="fr-FR"/>
        </w:rPr>
        <w:t xml:space="preserve">elles </w:t>
      </w:r>
      <w:r>
        <w:rPr>
          <w:lang w:val="fr-FR"/>
        </w:rPr>
        <w:t xml:space="preserve">pouvaient </w:t>
      </w:r>
      <w:r w:rsidRPr="00084167">
        <w:rPr>
          <w:lang w:val="fr-FR"/>
        </w:rPr>
        <w:t>donc continuer d</w:t>
      </w:r>
      <w:r>
        <w:rPr>
          <w:lang w:val="fr-FR"/>
        </w:rPr>
        <w:t>’</w:t>
      </w:r>
      <w:r w:rsidRPr="00084167">
        <w:rPr>
          <w:lang w:val="fr-FR"/>
        </w:rPr>
        <w:t xml:space="preserve">être expédiées dans des GRV souples </w:t>
      </w:r>
      <w:r>
        <w:rPr>
          <w:lang w:val="fr-FR"/>
        </w:rPr>
        <w:t>prévus pour le groupe d’emballage</w:t>
      </w:r>
      <w:r w:rsidRPr="00084167">
        <w:rPr>
          <w:lang w:val="fr-FR"/>
        </w:rPr>
        <w:t xml:space="preserve"> III sous le No ONU 3077 MATIÈRE DANGEREUSE DU POINT DE VUE DE L</w:t>
      </w:r>
      <w:r>
        <w:rPr>
          <w:lang w:val="fr-FR"/>
        </w:rPr>
        <w:t>’</w:t>
      </w:r>
      <w:r w:rsidRPr="00084167">
        <w:rPr>
          <w:lang w:val="fr-FR"/>
        </w:rPr>
        <w:t>ENVIRONNEMENT, SOLIDE, N.S.A.</w:t>
      </w:r>
    </w:p>
    <w:p w14:paraId="0936C32B" w14:textId="77777777" w:rsidR="00C6613C" w:rsidRPr="00084167" w:rsidRDefault="00C6613C" w:rsidP="00C6613C">
      <w:pPr>
        <w:pStyle w:val="HChG"/>
        <w:rPr>
          <w:lang w:val="fr-FR"/>
        </w:rPr>
      </w:pPr>
      <w:r w:rsidRPr="00084167">
        <w:rPr>
          <w:lang w:val="fr-FR"/>
        </w:rPr>
        <w:tab/>
      </w:r>
      <w:r w:rsidRPr="00084167">
        <w:rPr>
          <w:lang w:val="fr-FR"/>
        </w:rPr>
        <w:tab/>
        <w:t>Discussion</w:t>
      </w:r>
    </w:p>
    <w:p w14:paraId="14E9F522" w14:textId="77777777" w:rsidR="00C6613C" w:rsidRPr="00084167" w:rsidRDefault="00C6613C" w:rsidP="00C6613C">
      <w:pPr>
        <w:pStyle w:val="SingleTxtG"/>
        <w:rPr>
          <w:lang w:val="fr-FR"/>
        </w:rPr>
      </w:pPr>
      <w:r w:rsidRPr="00084167">
        <w:rPr>
          <w:lang w:val="fr-FR"/>
        </w:rPr>
        <w:t>7.</w:t>
      </w:r>
      <w:r w:rsidRPr="00084167">
        <w:rPr>
          <w:lang w:val="fr-FR"/>
        </w:rPr>
        <w:tab/>
        <w:t>Un groupe de travail s</w:t>
      </w:r>
      <w:r>
        <w:rPr>
          <w:lang w:val="fr-FR"/>
        </w:rPr>
        <w:t>’</w:t>
      </w:r>
      <w:r w:rsidRPr="00084167">
        <w:rPr>
          <w:lang w:val="fr-FR"/>
        </w:rPr>
        <w:t>est réuni à l</w:t>
      </w:r>
      <w:r>
        <w:rPr>
          <w:lang w:val="fr-FR"/>
        </w:rPr>
        <w:t>’</w:t>
      </w:r>
      <w:r w:rsidRPr="00084167">
        <w:rPr>
          <w:lang w:val="fr-FR"/>
        </w:rPr>
        <w:t>heure du déjeuner le 4</w:t>
      </w:r>
      <w:r w:rsidR="007175CC">
        <w:rPr>
          <w:lang w:val="fr-FR"/>
        </w:rPr>
        <w:t> </w:t>
      </w:r>
      <w:r w:rsidRPr="00084167">
        <w:rPr>
          <w:lang w:val="fr-FR"/>
        </w:rPr>
        <w:t>juillet 2019, lors de la cinquante-cinquième session du Sous-Comité, pour examiner la possibilité de trouver une solution à court et à long terme. Il a été décidé de former un groupe de travail par correspondance</w:t>
      </w:r>
      <w:r>
        <w:rPr>
          <w:lang w:val="fr-FR"/>
        </w:rPr>
        <w:t>,</w:t>
      </w:r>
      <w:r w:rsidRPr="00084167">
        <w:rPr>
          <w:lang w:val="fr-FR"/>
        </w:rPr>
        <w:t xml:space="preserve"> de faire avancer ce dossier et de faire rapport au Sous-Comité à sa session de décembre 2019. Des notes sur ce débat ont été distribuées aux parties intéressées.</w:t>
      </w:r>
    </w:p>
    <w:p w14:paraId="6E6DC8C7" w14:textId="77777777" w:rsidR="00C6613C" w:rsidRPr="00084167" w:rsidRDefault="00C6613C" w:rsidP="00C6613C">
      <w:pPr>
        <w:pStyle w:val="SingleTxtG"/>
        <w:rPr>
          <w:lang w:val="fr-FR"/>
        </w:rPr>
      </w:pPr>
      <w:r w:rsidRPr="00084167">
        <w:rPr>
          <w:lang w:val="fr-FR"/>
        </w:rPr>
        <w:t>8.</w:t>
      </w:r>
      <w:r w:rsidRPr="00084167">
        <w:rPr>
          <w:lang w:val="fr-FR"/>
        </w:rPr>
        <w:tab/>
      </w:r>
      <w:r>
        <w:rPr>
          <w:lang w:val="fr-FR"/>
        </w:rPr>
        <w:t xml:space="preserve">Les </w:t>
      </w:r>
      <w:r w:rsidRPr="00084167">
        <w:rPr>
          <w:lang w:val="fr-FR"/>
        </w:rPr>
        <w:t xml:space="preserve">échanges par courrier électronique et par téléconférence </w:t>
      </w:r>
      <w:r>
        <w:rPr>
          <w:lang w:val="fr-FR"/>
        </w:rPr>
        <w:t>menés p</w:t>
      </w:r>
      <w:r w:rsidRPr="00296045">
        <w:rPr>
          <w:lang w:val="fr-FR"/>
        </w:rPr>
        <w:t xml:space="preserve">endant la période intersessions </w:t>
      </w:r>
      <w:r w:rsidRPr="00084167">
        <w:rPr>
          <w:lang w:val="fr-FR"/>
        </w:rPr>
        <w:t>ont permis à la RPMASA de présenter le document informel INF.19 à la cinquante-sixième session du Sous-Comité, en décembre 2019, et d</w:t>
      </w:r>
      <w:r>
        <w:rPr>
          <w:lang w:val="fr-FR"/>
        </w:rPr>
        <w:t>’</w:t>
      </w:r>
      <w:r w:rsidRPr="00084167">
        <w:rPr>
          <w:lang w:val="fr-FR"/>
        </w:rPr>
        <w:t>organiser un groupe de discussion à l</w:t>
      </w:r>
      <w:r>
        <w:rPr>
          <w:lang w:val="fr-FR"/>
        </w:rPr>
        <w:t>’</w:t>
      </w:r>
      <w:r w:rsidRPr="00084167">
        <w:rPr>
          <w:lang w:val="fr-FR"/>
        </w:rPr>
        <w:t>heure du déjeuner le jeudi 5</w:t>
      </w:r>
      <w:r w:rsidR="007175CC">
        <w:rPr>
          <w:lang w:val="fr-FR"/>
        </w:rPr>
        <w:t> </w:t>
      </w:r>
      <w:r w:rsidRPr="00084167">
        <w:rPr>
          <w:lang w:val="fr-FR"/>
        </w:rPr>
        <w:t>décembre.</w:t>
      </w:r>
    </w:p>
    <w:p w14:paraId="04BC79AD" w14:textId="77777777" w:rsidR="00C6613C" w:rsidRPr="00084167" w:rsidRDefault="00C6613C" w:rsidP="00C6613C">
      <w:pPr>
        <w:pStyle w:val="SingleTxtG"/>
        <w:rPr>
          <w:lang w:val="fr-FR"/>
        </w:rPr>
      </w:pPr>
      <w:r w:rsidRPr="00084167">
        <w:rPr>
          <w:lang w:val="fr-FR"/>
        </w:rPr>
        <w:t>9.</w:t>
      </w:r>
      <w:r w:rsidRPr="00084167">
        <w:rPr>
          <w:lang w:val="fr-FR"/>
        </w:rPr>
        <w:tab/>
        <w:t xml:space="preserve">Les résultats de cette réunion ont été présentés dans le document informel INF.54 de la cinquante-sixième session. </w:t>
      </w:r>
      <w:r>
        <w:rPr>
          <w:lang w:val="fr-FR"/>
        </w:rPr>
        <w:t>Un</w:t>
      </w:r>
      <w:r w:rsidRPr="00084167">
        <w:rPr>
          <w:lang w:val="fr-FR"/>
        </w:rPr>
        <w:t xml:space="preserve"> accord </w:t>
      </w:r>
      <w:r>
        <w:rPr>
          <w:lang w:val="fr-FR"/>
        </w:rPr>
        <w:t xml:space="preserve">avait notamment été trouvé </w:t>
      </w:r>
      <w:r w:rsidRPr="00084167">
        <w:rPr>
          <w:lang w:val="fr-FR"/>
        </w:rPr>
        <w:t>concernant l</w:t>
      </w:r>
      <w:r>
        <w:rPr>
          <w:lang w:val="fr-FR"/>
        </w:rPr>
        <w:t>’</w:t>
      </w:r>
      <w:r w:rsidRPr="00084167">
        <w:rPr>
          <w:lang w:val="fr-FR"/>
        </w:rPr>
        <w:t xml:space="preserve">utilisation des GRV souples avec doublure des types 13H3 ou 13H4 ayant </w:t>
      </w:r>
      <w:r>
        <w:rPr>
          <w:lang w:val="fr-FR"/>
        </w:rPr>
        <w:t>satisfait au niveau d’épreuve du groupe d’emballage</w:t>
      </w:r>
      <w:r w:rsidRPr="00084167">
        <w:rPr>
          <w:lang w:val="fr-FR"/>
        </w:rPr>
        <w:t xml:space="preserve"> I</w:t>
      </w:r>
      <w:r>
        <w:rPr>
          <w:lang w:val="fr-FR"/>
        </w:rPr>
        <w:t>.</w:t>
      </w:r>
      <w:r w:rsidRPr="00084167">
        <w:rPr>
          <w:lang w:val="fr-FR"/>
        </w:rPr>
        <w:t xml:space="preserve"> </w:t>
      </w:r>
      <w:r>
        <w:rPr>
          <w:lang w:val="fr-FR"/>
        </w:rPr>
        <w:t xml:space="preserve">En outre, il était prévu que les </w:t>
      </w:r>
      <w:r w:rsidRPr="00084167">
        <w:rPr>
          <w:lang w:val="fr-FR"/>
        </w:rPr>
        <w:t>consultations entre l</w:t>
      </w:r>
      <w:r>
        <w:rPr>
          <w:lang w:val="fr-FR"/>
        </w:rPr>
        <w:t>a</w:t>
      </w:r>
      <w:r w:rsidRPr="00084167">
        <w:rPr>
          <w:lang w:val="fr-FR"/>
        </w:rPr>
        <w:t xml:space="preserve"> RPM</w:t>
      </w:r>
      <w:r>
        <w:rPr>
          <w:lang w:val="fr-FR"/>
        </w:rPr>
        <w:t>A</w:t>
      </w:r>
      <w:r w:rsidRPr="00084167">
        <w:rPr>
          <w:lang w:val="fr-FR"/>
        </w:rPr>
        <w:t xml:space="preserve">SA et le groupe de travail par correspondance </w:t>
      </w:r>
      <w:r>
        <w:rPr>
          <w:lang w:val="fr-FR"/>
        </w:rPr>
        <w:t xml:space="preserve">se poursuivent </w:t>
      </w:r>
      <w:r w:rsidRPr="00084167">
        <w:rPr>
          <w:lang w:val="fr-FR"/>
        </w:rPr>
        <w:t xml:space="preserve">entre les sessions afin </w:t>
      </w:r>
      <w:r>
        <w:rPr>
          <w:lang w:val="fr-FR"/>
        </w:rPr>
        <w:t>qu’une proposition officielle puisse être soumise</w:t>
      </w:r>
      <w:r w:rsidRPr="00084167">
        <w:rPr>
          <w:lang w:val="fr-FR"/>
        </w:rPr>
        <w:t xml:space="preserve"> au Sous-Comité, à sa cinquante</w:t>
      </w:r>
      <w:r w:rsidR="007175CC">
        <w:rPr>
          <w:lang w:val="fr-FR"/>
        </w:rPr>
        <w:t>-</w:t>
      </w:r>
      <w:r w:rsidRPr="00084167">
        <w:rPr>
          <w:lang w:val="fr-FR"/>
        </w:rPr>
        <w:t>septième session, pour approbation.</w:t>
      </w:r>
    </w:p>
    <w:p w14:paraId="4D948D3B" w14:textId="77777777" w:rsidR="00C6613C" w:rsidRPr="00084167" w:rsidRDefault="00C6613C" w:rsidP="00C6613C">
      <w:pPr>
        <w:pStyle w:val="SingleTxtG"/>
        <w:rPr>
          <w:lang w:val="fr-FR"/>
        </w:rPr>
      </w:pPr>
      <w:r w:rsidRPr="00084167">
        <w:rPr>
          <w:lang w:val="fr-FR"/>
        </w:rPr>
        <w:t>10.</w:t>
      </w:r>
      <w:r w:rsidRPr="00084167">
        <w:rPr>
          <w:lang w:val="fr-FR"/>
        </w:rPr>
        <w:tab/>
        <w:t>Les observations reçues en février 2020 ont été incluses dans un nouveau projet qui a été diffusé pour examen lors d</w:t>
      </w:r>
      <w:r>
        <w:rPr>
          <w:lang w:val="fr-FR"/>
        </w:rPr>
        <w:t>’</w:t>
      </w:r>
      <w:r w:rsidRPr="00084167">
        <w:rPr>
          <w:lang w:val="fr-FR"/>
        </w:rPr>
        <w:t>une téléconférence le 4</w:t>
      </w:r>
      <w:r w:rsidR="007175CC">
        <w:rPr>
          <w:lang w:val="fr-FR"/>
        </w:rPr>
        <w:t> </w:t>
      </w:r>
      <w:r w:rsidRPr="00084167">
        <w:rPr>
          <w:lang w:val="fr-FR"/>
        </w:rPr>
        <w:t>mars 2020. Les notes de la réunion ont été diffusées sous forme de document informel (INF.5).</w:t>
      </w:r>
    </w:p>
    <w:p w14:paraId="56FAF0CA" w14:textId="77777777" w:rsidR="00C6613C" w:rsidRPr="00084167" w:rsidRDefault="00C6613C" w:rsidP="00C6613C">
      <w:pPr>
        <w:pStyle w:val="SingleTxtG"/>
        <w:rPr>
          <w:lang w:val="fr-FR"/>
        </w:rPr>
      </w:pPr>
      <w:r w:rsidRPr="00084167">
        <w:rPr>
          <w:lang w:val="fr-FR"/>
        </w:rPr>
        <w:t>11.</w:t>
      </w:r>
      <w:r w:rsidRPr="00084167">
        <w:rPr>
          <w:lang w:val="fr-FR"/>
        </w:rPr>
        <w:tab/>
        <w:t>Le débat a porté sur l</w:t>
      </w:r>
      <w:r>
        <w:rPr>
          <w:lang w:val="fr-FR"/>
        </w:rPr>
        <w:t>’</w:t>
      </w:r>
      <w:r w:rsidRPr="00084167">
        <w:rPr>
          <w:lang w:val="fr-FR"/>
        </w:rPr>
        <w:t>utilisation de la disposition spéciale 354</w:t>
      </w:r>
      <w:r>
        <w:rPr>
          <w:lang w:val="fr-FR"/>
        </w:rPr>
        <w:t>,</w:t>
      </w:r>
      <w:r w:rsidRPr="00084167">
        <w:rPr>
          <w:lang w:val="fr-FR"/>
        </w:rPr>
        <w:t xml:space="preserve"> qui n</w:t>
      </w:r>
      <w:r>
        <w:rPr>
          <w:lang w:val="fr-FR"/>
        </w:rPr>
        <w:t>’</w:t>
      </w:r>
      <w:r w:rsidRPr="00084167">
        <w:rPr>
          <w:lang w:val="fr-FR"/>
        </w:rPr>
        <w:t>avait été utilisée auparavant que pour les liquides et les vapeurs, ainsi que sur l</w:t>
      </w:r>
      <w:r>
        <w:rPr>
          <w:lang w:val="fr-FR"/>
        </w:rPr>
        <w:t>’</w:t>
      </w:r>
      <w:r w:rsidRPr="00084167">
        <w:rPr>
          <w:lang w:val="fr-FR"/>
        </w:rPr>
        <w:t>instruction d</w:t>
      </w:r>
      <w:r>
        <w:rPr>
          <w:lang w:val="fr-FR"/>
        </w:rPr>
        <w:t>’</w:t>
      </w:r>
      <w:r w:rsidRPr="00084167">
        <w:rPr>
          <w:lang w:val="fr-FR"/>
        </w:rPr>
        <w:t xml:space="preserve">emballage la plus appropriée pour le </w:t>
      </w:r>
      <w:r>
        <w:rPr>
          <w:lang w:val="fr-FR"/>
        </w:rPr>
        <w:t>groupe d’emballage</w:t>
      </w:r>
      <w:r w:rsidRPr="00084167">
        <w:rPr>
          <w:lang w:val="fr-FR"/>
        </w:rPr>
        <w:t xml:space="preserve"> I et le libellé d</w:t>
      </w:r>
      <w:r>
        <w:rPr>
          <w:lang w:val="fr-FR"/>
        </w:rPr>
        <w:t>’</w:t>
      </w:r>
      <w:r w:rsidRPr="00084167">
        <w:rPr>
          <w:lang w:val="fr-FR"/>
        </w:rPr>
        <w:t>une disposition spéciale d</w:t>
      </w:r>
      <w:r>
        <w:rPr>
          <w:lang w:val="fr-FR"/>
        </w:rPr>
        <w:t>’</w:t>
      </w:r>
      <w:r w:rsidRPr="00084167">
        <w:rPr>
          <w:lang w:val="fr-FR"/>
        </w:rPr>
        <w:t>emballage «</w:t>
      </w:r>
      <w:r w:rsidR="007175CC">
        <w:rPr>
          <w:lang w:val="fr-FR"/>
        </w:rPr>
        <w:t> </w:t>
      </w:r>
      <w:r w:rsidRPr="00084167">
        <w:rPr>
          <w:lang w:val="fr-FR"/>
        </w:rPr>
        <w:t>Bx</w:t>
      </w:r>
      <w:r w:rsidR="007175CC">
        <w:rPr>
          <w:lang w:val="fr-FR"/>
        </w:rPr>
        <w:t> </w:t>
      </w:r>
      <w:r w:rsidRPr="00084167">
        <w:rPr>
          <w:lang w:val="fr-FR"/>
        </w:rPr>
        <w:t>».</w:t>
      </w:r>
    </w:p>
    <w:p w14:paraId="73F465D9" w14:textId="77777777" w:rsidR="00C6613C" w:rsidRPr="00084167" w:rsidRDefault="00C6613C" w:rsidP="007175CC">
      <w:pPr>
        <w:pStyle w:val="SingleTxtG"/>
        <w:keepNext/>
        <w:rPr>
          <w:lang w:val="fr-FR"/>
        </w:rPr>
      </w:pPr>
      <w:r w:rsidRPr="00084167">
        <w:rPr>
          <w:lang w:val="fr-FR"/>
        </w:rPr>
        <w:lastRenderedPageBreak/>
        <w:t>12.</w:t>
      </w:r>
      <w:r w:rsidRPr="00084167">
        <w:rPr>
          <w:lang w:val="fr-FR"/>
        </w:rPr>
        <w:tab/>
        <w:t xml:space="preserve">Il a été convenu </w:t>
      </w:r>
      <w:r>
        <w:rPr>
          <w:lang w:val="fr-FR"/>
        </w:rPr>
        <w:t>ce qui suit :</w:t>
      </w:r>
    </w:p>
    <w:p w14:paraId="01F42854" w14:textId="77777777" w:rsidR="00C6613C" w:rsidRPr="00084167" w:rsidRDefault="00C6613C" w:rsidP="00C6613C">
      <w:pPr>
        <w:pStyle w:val="SingleTxtG"/>
        <w:ind w:left="2268" w:hanging="567"/>
        <w:rPr>
          <w:lang w:val="fr-FR"/>
        </w:rPr>
      </w:pPr>
      <w:r w:rsidRPr="00084167">
        <w:rPr>
          <w:lang w:val="fr-FR"/>
        </w:rPr>
        <w:t>a)</w:t>
      </w:r>
      <w:r w:rsidRPr="00084167">
        <w:rPr>
          <w:lang w:val="fr-FR"/>
        </w:rPr>
        <w:tab/>
        <w:t xml:space="preserve">Un seul </w:t>
      </w:r>
      <w:r>
        <w:rPr>
          <w:lang w:val="fr-FR"/>
        </w:rPr>
        <w:t>No</w:t>
      </w:r>
      <w:r w:rsidRPr="00084167">
        <w:rPr>
          <w:lang w:val="fr-FR"/>
        </w:rPr>
        <w:t xml:space="preserve"> ONU 35XX était nécessaire pour la </w:t>
      </w:r>
      <w:r>
        <w:rPr>
          <w:lang w:val="fr-FR"/>
        </w:rPr>
        <w:t>« </w:t>
      </w:r>
      <w:r w:rsidRPr="00084167">
        <w:rPr>
          <w:lang w:val="fr-FR"/>
        </w:rPr>
        <w:t xml:space="preserve">POUDRE DE DIHYDROXYDE DE COBALT </w:t>
      </w:r>
      <w:r>
        <w:rPr>
          <w:lang w:val="fr-FR"/>
        </w:rPr>
        <w:t xml:space="preserve">ayant une teneur en </w:t>
      </w:r>
      <w:r w:rsidRPr="00084167">
        <w:rPr>
          <w:lang w:val="fr-FR"/>
        </w:rPr>
        <w:t>particules respirables</w:t>
      </w:r>
      <w:r>
        <w:rPr>
          <w:lang w:val="fr-FR"/>
        </w:rPr>
        <w:t xml:space="preserve"> supérieure à 10 % »</w:t>
      </w:r>
      <w:r w:rsidRPr="00084167">
        <w:rPr>
          <w:lang w:val="fr-FR"/>
        </w:rPr>
        <w:t xml:space="preserve">, dans le </w:t>
      </w:r>
      <w:r>
        <w:rPr>
          <w:lang w:val="fr-FR"/>
        </w:rPr>
        <w:t>groupe d’emballage</w:t>
      </w:r>
      <w:r w:rsidRPr="00084167">
        <w:rPr>
          <w:lang w:val="fr-FR"/>
        </w:rPr>
        <w:t xml:space="preserve"> I</w:t>
      </w:r>
      <w:r>
        <w:rPr>
          <w:lang w:val="fr-FR"/>
        </w:rPr>
        <w:t> ;</w:t>
      </w:r>
    </w:p>
    <w:p w14:paraId="0EBBC09D" w14:textId="77777777" w:rsidR="00C6613C" w:rsidRPr="00084167" w:rsidRDefault="00C6613C" w:rsidP="00C6613C">
      <w:pPr>
        <w:pStyle w:val="SingleTxtG"/>
        <w:ind w:left="2268" w:hanging="567"/>
        <w:rPr>
          <w:lang w:val="fr-FR"/>
        </w:rPr>
      </w:pPr>
      <w:r w:rsidRPr="00084167">
        <w:rPr>
          <w:lang w:val="fr-FR"/>
        </w:rPr>
        <w:t>b)</w:t>
      </w:r>
      <w:r w:rsidRPr="00084167">
        <w:rPr>
          <w:lang w:val="fr-FR"/>
        </w:rPr>
        <w:tab/>
        <w:t>L</w:t>
      </w:r>
      <w:r>
        <w:rPr>
          <w:lang w:val="fr-FR"/>
        </w:rPr>
        <w:t>’</w:t>
      </w:r>
      <w:r w:rsidRPr="00084167">
        <w:rPr>
          <w:lang w:val="fr-FR"/>
        </w:rPr>
        <w:t>Institut du cobalt s</w:t>
      </w:r>
      <w:r>
        <w:rPr>
          <w:lang w:val="fr-FR"/>
        </w:rPr>
        <w:t>’</w:t>
      </w:r>
      <w:r w:rsidRPr="00084167">
        <w:rPr>
          <w:lang w:val="fr-FR"/>
        </w:rPr>
        <w:t>efforcerait, en collaboration avec ses membres, d</w:t>
      </w:r>
      <w:r>
        <w:rPr>
          <w:lang w:val="fr-FR"/>
        </w:rPr>
        <w:t>’</w:t>
      </w:r>
      <w:r w:rsidRPr="00084167">
        <w:rPr>
          <w:lang w:val="fr-FR"/>
        </w:rPr>
        <w:t>obtenir des données supplémentaires sur les caractéristiques physiques de la poudre, ainsi que des données sur les mélanges contenant du dihydroxyde de cobalt</w:t>
      </w:r>
      <w:r>
        <w:rPr>
          <w:lang w:val="fr-FR"/>
        </w:rPr>
        <w:t>,</w:t>
      </w:r>
      <w:r w:rsidRPr="00084167">
        <w:rPr>
          <w:lang w:val="fr-FR"/>
        </w:rPr>
        <w:t xml:space="preserve"> afin de corriger l</w:t>
      </w:r>
      <w:r>
        <w:rPr>
          <w:lang w:val="fr-FR"/>
        </w:rPr>
        <w:t>’</w:t>
      </w:r>
      <w:r w:rsidRPr="00084167">
        <w:rPr>
          <w:lang w:val="fr-FR"/>
        </w:rPr>
        <w:t>affectation de la classe et du groupe d</w:t>
      </w:r>
      <w:r>
        <w:rPr>
          <w:lang w:val="fr-FR"/>
        </w:rPr>
        <w:t>’</w:t>
      </w:r>
      <w:r w:rsidRPr="00084167">
        <w:rPr>
          <w:lang w:val="fr-FR"/>
        </w:rPr>
        <w:t>emballage</w:t>
      </w:r>
      <w:r>
        <w:rPr>
          <w:lang w:val="fr-FR"/>
        </w:rPr>
        <w:t> ;</w:t>
      </w:r>
    </w:p>
    <w:p w14:paraId="53D8ECF3" w14:textId="77777777" w:rsidR="00C6613C" w:rsidRPr="00084167" w:rsidRDefault="00C6613C" w:rsidP="00C6613C">
      <w:pPr>
        <w:pStyle w:val="SingleTxtG"/>
        <w:ind w:left="2268" w:hanging="567"/>
        <w:rPr>
          <w:lang w:val="fr-FR"/>
        </w:rPr>
      </w:pPr>
      <w:r w:rsidRPr="00084167">
        <w:rPr>
          <w:lang w:val="fr-FR"/>
        </w:rPr>
        <w:t>c)</w:t>
      </w:r>
      <w:r w:rsidRPr="00084167">
        <w:rPr>
          <w:lang w:val="fr-FR"/>
        </w:rPr>
        <w:tab/>
        <w:t>L</w:t>
      </w:r>
      <w:r>
        <w:rPr>
          <w:lang w:val="fr-FR"/>
        </w:rPr>
        <w:t>’</w:t>
      </w:r>
      <w:r w:rsidRPr="00084167">
        <w:rPr>
          <w:lang w:val="fr-FR"/>
        </w:rPr>
        <w:t>applicabilité de la disposition spéciale 354 aux solides et aux poudres devait faire l</w:t>
      </w:r>
      <w:r>
        <w:rPr>
          <w:lang w:val="fr-FR"/>
        </w:rPr>
        <w:t>’</w:t>
      </w:r>
      <w:r w:rsidRPr="00084167">
        <w:rPr>
          <w:lang w:val="fr-FR"/>
        </w:rPr>
        <w:t>objet d</w:t>
      </w:r>
      <w:r>
        <w:rPr>
          <w:lang w:val="fr-FR"/>
        </w:rPr>
        <w:t>’</w:t>
      </w:r>
      <w:r w:rsidRPr="00084167">
        <w:rPr>
          <w:lang w:val="fr-FR"/>
        </w:rPr>
        <w:t>une étude</w:t>
      </w:r>
      <w:r w:rsidR="007175CC">
        <w:rPr>
          <w:lang w:val="fr-FR"/>
        </w:rPr>
        <w:t> ;</w:t>
      </w:r>
    </w:p>
    <w:p w14:paraId="440713AC" w14:textId="77777777" w:rsidR="00C6613C" w:rsidRPr="00084167" w:rsidRDefault="00C6613C" w:rsidP="00C6613C">
      <w:pPr>
        <w:pStyle w:val="SingleTxtG"/>
        <w:ind w:left="2268" w:hanging="567"/>
        <w:rPr>
          <w:lang w:val="fr-FR"/>
        </w:rPr>
      </w:pPr>
      <w:r w:rsidRPr="00084167">
        <w:rPr>
          <w:lang w:val="fr-FR"/>
        </w:rPr>
        <w:t>d)</w:t>
      </w:r>
      <w:r w:rsidRPr="00084167">
        <w:rPr>
          <w:lang w:val="fr-FR"/>
        </w:rPr>
        <w:tab/>
        <w:t>L</w:t>
      </w:r>
      <w:r>
        <w:rPr>
          <w:lang w:val="fr-FR"/>
        </w:rPr>
        <w:t>’instruction d’emballage IBC</w:t>
      </w:r>
      <w:r w:rsidRPr="00084167">
        <w:rPr>
          <w:lang w:val="fr-FR"/>
        </w:rPr>
        <w:t>07 était plus approprié</w:t>
      </w:r>
      <w:r>
        <w:rPr>
          <w:lang w:val="fr-FR"/>
        </w:rPr>
        <w:t>e</w:t>
      </w:r>
      <w:r w:rsidRPr="00084167">
        <w:rPr>
          <w:lang w:val="fr-FR"/>
        </w:rPr>
        <w:t xml:space="preserve"> que l</w:t>
      </w:r>
      <w:r>
        <w:rPr>
          <w:lang w:val="fr-FR"/>
        </w:rPr>
        <w:t>’instruction IBC</w:t>
      </w:r>
      <w:r w:rsidRPr="00084167">
        <w:rPr>
          <w:lang w:val="fr-FR"/>
        </w:rPr>
        <w:t>08</w:t>
      </w:r>
      <w:r>
        <w:rPr>
          <w:lang w:val="fr-FR"/>
        </w:rPr>
        <w:t>,</w:t>
      </w:r>
      <w:r w:rsidRPr="00084167">
        <w:rPr>
          <w:lang w:val="fr-FR"/>
        </w:rPr>
        <w:t xml:space="preserve"> actuellement affecté</w:t>
      </w:r>
      <w:r>
        <w:rPr>
          <w:lang w:val="fr-FR"/>
        </w:rPr>
        <w:t>e</w:t>
      </w:r>
      <w:r w:rsidRPr="00084167">
        <w:rPr>
          <w:lang w:val="fr-FR"/>
        </w:rPr>
        <w:t xml:space="preserve"> aux autres matières du </w:t>
      </w:r>
      <w:r>
        <w:rPr>
          <w:lang w:val="fr-FR"/>
        </w:rPr>
        <w:t xml:space="preserve">groupe d’emballage </w:t>
      </w:r>
      <w:r w:rsidRPr="00084167">
        <w:rPr>
          <w:lang w:val="fr-FR"/>
        </w:rPr>
        <w:t>I</w:t>
      </w:r>
      <w:r>
        <w:rPr>
          <w:lang w:val="fr-FR"/>
        </w:rPr>
        <w:t> ;</w:t>
      </w:r>
    </w:p>
    <w:p w14:paraId="5E8A8ED1" w14:textId="77777777" w:rsidR="00C6613C" w:rsidRPr="00084167" w:rsidRDefault="00C6613C" w:rsidP="00C6613C">
      <w:pPr>
        <w:pStyle w:val="SingleTxtG"/>
        <w:ind w:left="2268" w:hanging="567"/>
        <w:rPr>
          <w:lang w:val="fr-FR"/>
        </w:rPr>
      </w:pPr>
      <w:r w:rsidRPr="00084167">
        <w:rPr>
          <w:lang w:val="fr-FR"/>
        </w:rPr>
        <w:t>e)</w:t>
      </w:r>
      <w:r w:rsidRPr="00084167">
        <w:rPr>
          <w:lang w:val="fr-FR"/>
        </w:rPr>
        <w:tab/>
        <w:t>Il n</w:t>
      </w:r>
      <w:r>
        <w:rPr>
          <w:lang w:val="fr-FR"/>
        </w:rPr>
        <w:t>’</w:t>
      </w:r>
      <w:r w:rsidRPr="00084167">
        <w:rPr>
          <w:lang w:val="fr-FR"/>
        </w:rPr>
        <w:t>était pas nécessaire d</w:t>
      </w:r>
      <w:r>
        <w:rPr>
          <w:lang w:val="fr-FR"/>
        </w:rPr>
        <w:t>’</w:t>
      </w:r>
      <w:r w:rsidRPr="00084167">
        <w:rPr>
          <w:lang w:val="fr-FR"/>
        </w:rPr>
        <w:t>inclure «</w:t>
      </w:r>
      <w:r w:rsidR="007175CC">
        <w:rPr>
          <w:lang w:val="fr-FR"/>
        </w:rPr>
        <w:t> </w:t>
      </w:r>
      <w:r w:rsidRPr="00084167">
        <w:rPr>
          <w:lang w:val="fr-FR"/>
        </w:rPr>
        <w:t>inorganique</w:t>
      </w:r>
      <w:r w:rsidR="007175CC">
        <w:rPr>
          <w:lang w:val="fr-FR"/>
        </w:rPr>
        <w:t> </w:t>
      </w:r>
      <w:r w:rsidRPr="00084167">
        <w:rPr>
          <w:lang w:val="fr-FR"/>
        </w:rPr>
        <w:t>» dans la désignation officielle de transport</w:t>
      </w:r>
      <w:r>
        <w:rPr>
          <w:lang w:val="fr-FR"/>
        </w:rPr>
        <w:t>,</w:t>
      </w:r>
      <w:r w:rsidRPr="00084167">
        <w:rPr>
          <w:lang w:val="fr-FR"/>
        </w:rPr>
        <w:t xml:space="preserve"> car le dihydroxyde de cobalt est intrinsèquement inorganique, ni d</w:t>
      </w:r>
      <w:r>
        <w:rPr>
          <w:lang w:val="fr-FR"/>
        </w:rPr>
        <w:t>’</w:t>
      </w:r>
      <w:r w:rsidRPr="00084167">
        <w:rPr>
          <w:lang w:val="fr-FR"/>
        </w:rPr>
        <w:t>inclure «</w:t>
      </w:r>
      <w:r w:rsidR="007175CC">
        <w:rPr>
          <w:lang w:val="fr-FR"/>
        </w:rPr>
        <w:t> </w:t>
      </w:r>
      <w:r w:rsidRPr="00084167">
        <w:rPr>
          <w:lang w:val="fr-FR"/>
        </w:rPr>
        <w:t>toxique par inhalation</w:t>
      </w:r>
      <w:r w:rsidR="007175CC">
        <w:rPr>
          <w:lang w:val="fr-FR"/>
        </w:rPr>
        <w:t> </w:t>
      </w:r>
      <w:r w:rsidRPr="00084167">
        <w:rPr>
          <w:lang w:val="fr-FR"/>
        </w:rPr>
        <w:t xml:space="preserve">» si </w:t>
      </w:r>
      <w:r>
        <w:rPr>
          <w:lang w:val="fr-FR"/>
        </w:rPr>
        <w:t>la présence de plus de 10 % de</w:t>
      </w:r>
      <w:r w:rsidRPr="00084167">
        <w:rPr>
          <w:lang w:val="fr-FR"/>
        </w:rPr>
        <w:t xml:space="preserve"> particules respirables </w:t>
      </w:r>
      <w:bookmarkStart w:id="3" w:name="_Hlk54966025"/>
      <w:r>
        <w:rPr>
          <w:lang w:val="fr-FR"/>
        </w:rPr>
        <w:t xml:space="preserve">figurait </w:t>
      </w:r>
      <w:r w:rsidRPr="00084167">
        <w:rPr>
          <w:lang w:val="fr-FR"/>
        </w:rPr>
        <w:t>dans la désignation officielle de transport</w:t>
      </w:r>
      <w:bookmarkEnd w:id="3"/>
      <w:r w:rsidRPr="00084167">
        <w:rPr>
          <w:lang w:val="fr-FR"/>
        </w:rPr>
        <w:t>, car ces précisions seraient pléonastiques</w:t>
      </w:r>
      <w:r>
        <w:rPr>
          <w:lang w:val="fr-FR"/>
        </w:rPr>
        <w:t> ;</w:t>
      </w:r>
    </w:p>
    <w:p w14:paraId="0495BFE5" w14:textId="77777777" w:rsidR="00C6613C" w:rsidRPr="00084167" w:rsidRDefault="00C6613C" w:rsidP="00C6613C">
      <w:pPr>
        <w:pStyle w:val="SingleTxtG"/>
        <w:ind w:left="2268" w:hanging="567"/>
        <w:rPr>
          <w:lang w:val="fr-FR"/>
        </w:rPr>
      </w:pPr>
      <w:r w:rsidRPr="00084167">
        <w:rPr>
          <w:lang w:val="fr-FR"/>
        </w:rPr>
        <w:t>f)</w:t>
      </w:r>
      <w:r w:rsidRPr="00084167">
        <w:rPr>
          <w:lang w:val="fr-FR"/>
        </w:rPr>
        <w:tab/>
        <w:t>L</w:t>
      </w:r>
      <w:r>
        <w:rPr>
          <w:lang w:val="fr-FR"/>
        </w:rPr>
        <w:t>es</w:t>
      </w:r>
      <w:r w:rsidRPr="00084167">
        <w:rPr>
          <w:lang w:val="fr-FR"/>
        </w:rPr>
        <w:t xml:space="preserve"> définition</w:t>
      </w:r>
      <w:r>
        <w:rPr>
          <w:lang w:val="fr-FR"/>
        </w:rPr>
        <w:t>s</w:t>
      </w:r>
      <w:r w:rsidRPr="00084167">
        <w:rPr>
          <w:lang w:val="fr-FR"/>
        </w:rPr>
        <w:t xml:space="preserve"> de «</w:t>
      </w:r>
      <w:r w:rsidR="007175CC">
        <w:rPr>
          <w:lang w:val="fr-FR"/>
        </w:rPr>
        <w:t> </w:t>
      </w:r>
      <w:r w:rsidRPr="00084167">
        <w:rPr>
          <w:lang w:val="fr-FR"/>
        </w:rPr>
        <w:t>respirable</w:t>
      </w:r>
      <w:r>
        <w:rPr>
          <w:lang w:val="fr-FR"/>
        </w:rPr>
        <w:t> »</w:t>
      </w:r>
      <w:r w:rsidRPr="00084167">
        <w:rPr>
          <w:lang w:val="fr-FR"/>
        </w:rPr>
        <w:t xml:space="preserve"> et </w:t>
      </w:r>
      <w:r>
        <w:rPr>
          <w:lang w:val="fr-FR"/>
        </w:rPr>
        <w:t>de « </w:t>
      </w:r>
      <w:r w:rsidRPr="00084167">
        <w:rPr>
          <w:lang w:val="fr-FR"/>
        </w:rPr>
        <w:t>toxique par inhalation</w:t>
      </w:r>
      <w:r w:rsidR="007175CC">
        <w:rPr>
          <w:lang w:val="fr-FR"/>
        </w:rPr>
        <w:t> </w:t>
      </w:r>
      <w:r w:rsidRPr="00084167">
        <w:rPr>
          <w:lang w:val="fr-FR"/>
        </w:rPr>
        <w:t>» devrai</w:t>
      </w:r>
      <w:r>
        <w:rPr>
          <w:lang w:val="fr-FR"/>
        </w:rPr>
        <w:t>en</w:t>
      </w:r>
      <w:r w:rsidRPr="00084167">
        <w:rPr>
          <w:lang w:val="fr-FR"/>
        </w:rPr>
        <w:t>t être revue</w:t>
      </w:r>
      <w:r>
        <w:rPr>
          <w:lang w:val="fr-FR"/>
        </w:rPr>
        <w:t>s</w:t>
      </w:r>
      <w:r w:rsidRPr="00084167">
        <w:rPr>
          <w:lang w:val="fr-FR"/>
        </w:rPr>
        <w:t xml:space="preserve"> et </w:t>
      </w:r>
      <w:r>
        <w:rPr>
          <w:lang w:val="fr-FR"/>
        </w:rPr>
        <w:t>précisées</w:t>
      </w:r>
      <w:r w:rsidRPr="00084167">
        <w:rPr>
          <w:lang w:val="fr-FR"/>
        </w:rPr>
        <w:t xml:space="preserve"> </w:t>
      </w:r>
      <w:r>
        <w:rPr>
          <w:lang w:val="fr-FR"/>
        </w:rPr>
        <w:t xml:space="preserve">dans le cas </w:t>
      </w:r>
      <w:r w:rsidRPr="00084167">
        <w:rPr>
          <w:lang w:val="fr-FR"/>
        </w:rPr>
        <w:t>des solides/poudres</w:t>
      </w:r>
      <w:r>
        <w:rPr>
          <w:lang w:val="fr-FR"/>
        </w:rPr>
        <w:t xml:space="preserve">, et </w:t>
      </w:r>
      <w:r w:rsidRPr="00084167">
        <w:rPr>
          <w:lang w:val="fr-FR"/>
        </w:rPr>
        <w:t>pourrai</w:t>
      </w:r>
      <w:r>
        <w:rPr>
          <w:lang w:val="fr-FR"/>
        </w:rPr>
        <w:t>en</w:t>
      </w:r>
      <w:r w:rsidRPr="00084167">
        <w:rPr>
          <w:lang w:val="fr-FR"/>
        </w:rPr>
        <w:t xml:space="preserve">t </w:t>
      </w:r>
      <w:r>
        <w:rPr>
          <w:lang w:val="fr-FR"/>
        </w:rPr>
        <w:t>figurer</w:t>
      </w:r>
      <w:r w:rsidRPr="00084167">
        <w:rPr>
          <w:lang w:val="fr-FR"/>
        </w:rPr>
        <w:t xml:space="preserve"> dans le chapitre 1.2.</w:t>
      </w:r>
    </w:p>
    <w:p w14:paraId="7FEF711B" w14:textId="77777777" w:rsidR="00C6613C" w:rsidRDefault="00C6613C" w:rsidP="00C6613C">
      <w:pPr>
        <w:pStyle w:val="SingleTxtG"/>
        <w:rPr>
          <w:lang w:val="fr-FR"/>
        </w:rPr>
      </w:pPr>
      <w:r w:rsidRPr="00084167">
        <w:rPr>
          <w:lang w:val="fr-FR"/>
        </w:rPr>
        <w:t>13.</w:t>
      </w:r>
      <w:r w:rsidRPr="00084167">
        <w:rPr>
          <w:lang w:val="fr-FR"/>
        </w:rPr>
        <w:tab/>
        <w:t xml:space="preserve">Une note devrait être </w:t>
      </w:r>
      <w:r>
        <w:rPr>
          <w:lang w:val="fr-FR"/>
        </w:rPr>
        <w:t>ajoutée</w:t>
      </w:r>
      <w:r w:rsidRPr="00084167">
        <w:rPr>
          <w:lang w:val="fr-FR"/>
        </w:rPr>
        <w:t xml:space="preserve"> dans les </w:t>
      </w:r>
      <w:r w:rsidRPr="00B4378B">
        <w:rPr>
          <w:i/>
          <w:iCs/>
          <w:lang w:val="fr-FR"/>
        </w:rPr>
        <w:t>Guiding Principles for the development of the UN Model Regulations</w:t>
      </w:r>
      <w:r>
        <w:rPr>
          <w:lang w:val="fr-FR"/>
        </w:rPr>
        <w:t xml:space="preserve"> (</w:t>
      </w:r>
      <w:r w:rsidRPr="00084167">
        <w:rPr>
          <w:lang w:val="fr-FR"/>
        </w:rPr>
        <w:t xml:space="preserve">Principes directeurs </w:t>
      </w:r>
      <w:r>
        <w:rPr>
          <w:lang w:val="fr-FR"/>
        </w:rPr>
        <w:t xml:space="preserve">pour l’élaboration du Règlement type de l’ONU) </w:t>
      </w:r>
      <w:r w:rsidRPr="00084167">
        <w:rPr>
          <w:lang w:val="fr-FR"/>
        </w:rPr>
        <w:t>afin de prévoir les questions futures liées à une plus grande harmonisation avec le</w:t>
      </w:r>
      <w:r w:rsidR="007175CC">
        <w:rPr>
          <w:lang w:val="fr-FR"/>
        </w:rPr>
        <w:t> </w:t>
      </w:r>
      <w:r w:rsidRPr="00084167">
        <w:rPr>
          <w:lang w:val="fr-FR"/>
        </w:rPr>
        <w:t>SGH.</w:t>
      </w:r>
    </w:p>
    <w:p w14:paraId="1FD30C80" w14:textId="77777777" w:rsidR="00C6613C" w:rsidRPr="00084167" w:rsidRDefault="00C6613C" w:rsidP="00C6613C">
      <w:pPr>
        <w:pStyle w:val="SingleTxtG"/>
        <w:rPr>
          <w:lang w:val="fr-FR"/>
        </w:rPr>
      </w:pPr>
      <w:r w:rsidRPr="00084167">
        <w:rPr>
          <w:lang w:val="fr-FR"/>
        </w:rPr>
        <w:t>14.</w:t>
      </w:r>
      <w:r>
        <w:rPr>
          <w:lang w:val="fr-FR"/>
        </w:rPr>
        <w:tab/>
      </w:r>
      <w:r w:rsidRPr="00084167">
        <w:rPr>
          <w:lang w:val="fr-FR"/>
        </w:rPr>
        <w:t>Avec le report de la cinquante-septième session en raison de la pandémie de COVID-19, le débat s</w:t>
      </w:r>
      <w:r>
        <w:rPr>
          <w:lang w:val="fr-FR"/>
        </w:rPr>
        <w:t>’</w:t>
      </w:r>
      <w:r w:rsidRPr="00084167">
        <w:rPr>
          <w:lang w:val="fr-FR"/>
        </w:rPr>
        <w:t>est poursuivi dans l</w:t>
      </w:r>
      <w:r>
        <w:rPr>
          <w:lang w:val="fr-FR"/>
        </w:rPr>
        <w:t>’</w:t>
      </w:r>
      <w:r w:rsidRPr="00084167">
        <w:rPr>
          <w:lang w:val="fr-FR"/>
        </w:rPr>
        <w:t>espace de travail en ligne mis à disposition par le secrétariat et une réunion virtuelle s</w:t>
      </w:r>
      <w:r>
        <w:rPr>
          <w:lang w:val="fr-FR"/>
        </w:rPr>
        <w:t>’</w:t>
      </w:r>
      <w:r w:rsidRPr="00084167">
        <w:rPr>
          <w:lang w:val="fr-FR"/>
        </w:rPr>
        <w:t>est tenue le 1</w:t>
      </w:r>
      <w:r w:rsidRPr="00084167">
        <w:rPr>
          <w:vertAlign w:val="superscript"/>
          <w:lang w:val="fr-FR"/>
        </w:rPr>
        <w:t>er</w:t>
      </w:r>
      <w:r w:rsidR="007175CC">
        <w:rPr>
          <w:lang w:val="fr-FR"/>
        </w:rPr>
        <w:t> </w:t>
      </w:r>
      <w:r w:rsidRPr="00084167">
        <w:rPr>
          <w:lang w:val="fr-FR"/>
        </w:rPr>
        <w:t>juillet pour trouver un consensus sur les questions en suspens. Les notes de cette réunion ont été publiées sur l</w:t>
      </w:r>
      <w:r>
        <w:rPr>
          <w:lang w:val="fr-FR"/>
        </w:rPr>
        <w:t>’</w:t>
      </w:r>
      <w:r w:rsidRPr="00084167">
        <w:rPr>
          <w:lang w:val="fr-FR"/>
        </w:rPr>
        <w:t>espace de travail (voir le document informel INF.20).</w:t>
      </w:r>
    </w:p>
    <w:p w14:paraId="7E934F5B" w14:textId="77777777" w:rsidR="00C6613C" w:rsidRPr="007175CC" w:rsidRDefault="00C6613C" w:rsidP="00C6613C">
      <w:pPr>
        <w:pStyle w:val="SingleTxtG"/>
        <w:rPr>
          <w:spacing w:val="-1"/>
          <w:lang w:val="fr-FR"/>
        </w:rPr>
      </w:pPr>
      <w:r w:rsidRPr="007175CC">
        <w:rPr>
          <w:spacing w:val="-1"/>
          <w:lang w:val="fr-FR"/>
        </w:rPr>
        <w:t>15.</w:t>
      </w:r>
      <w:r w:rsidRPr="007175CC">
        <w:rPr>
          <w:spacing w:val="-1"/>
          <w:lang w:val="fr-FR"/>
        </w:rPr>
        <w:tab/>
        <w:t>Pendant le débat virtuel, l’Institut du cobalt a exposé, pour examen par les experts (comme demandé pendant la téléconférence du 4</w:t>
      </w:r>
      <w:r w:rsidR="007175CC" w:rsidRPr="007175CC">
        <w:rPr>
          <w:spacing w:val="-1"/>
          <w:lang w:val="fr-FR"/>
        </w:rPr>
        <w:t> </w:t>
      </w:r>
      <w:r w:rsidRPr="007175CC">
        <w:rPr>
          <w:spacing w:val="-1"/>
          <w:lang w:val="fr-FR"/>
        </w:rPr>
        <w:t>mars 2020), les principales caractéristiques physiques suivantes, qui influent sur le comportement de tout rejet de cette matière :</w:t>
      </w:r>
    </w:p>
    <w:p w14:paraId="7458537C" w14:textId="77777777" w:rsidR="00C6613C" w:rsidRPr="00084167" w:rsidRDefault="00C6613C" w:rsidP="007175CC">
      <w:pPr>
        <w:pStyle w:val="SingleTxtG"/>
        <w:ind w:firstLine="567"/>
        <w:rPr>
          <w:lang w:val="fr-FR"/>
        </w:rPr>
      </w:pPr>
      <w:r w:rsidRPr="00084167">
        <w:rPr>
          <w:lang w:val="fr-FR"/>
        </w:rPr>
        <w:t xml:space="preserve">La poudre de dihydroxyde de cobalt a un profil de risque très différent de celui des vapeurs liquides de la </w:t>
      </w:r>
      <w:r>
        <w:rPr>
          <w:lang w:val="fr-FR"/>
        </w:rPr>
        <w:t>division</w:t>
      </w:r>
      <w:r w:rsidRPr="00084167">
        <w:rPr>
          <w:lang w:val="fr-FR"/>
        </w:rPr>
        <w:t xml:space="preserve"> 6.1</w:t>
      </w:r>
      <w:r>
        <w:rPr>
          <w:lang w:val="fr-FR"/>
        </w:rPr>
        <w:t> :</w:t>
      </w:r>
    </w:p>
    <w:p w14:paraId="7B87BEF1" w14:textId="77777777" w:rsidR="00C6613C" w:rsidRPr="00C6613C" w:rsidRDefault="00C6613C" w:rsidP="007175CC">
      <w:pPr>
        <w:pStyle w:val="Bullet1G"/>
        <w:rPr>
          <w:sz w:val="24"/>
          <w:szCs w:val="24"/>
          <w:lang w:val="fr-FR"/>
        </w:rPr>
      </w:pPr>
      <w:r w:rsidRPr="00C6613C">
        <w:rPr>
          <w:lang w:val="fr-FR"/>
        </w:rPr>
        <w:t>Le Co(OH)</w:t>
      </w:r>
      <w:r w:rsidRPr="00C6613C">
        <w:rPr>
          <w:vertAlign w:val="subscript"/>
          <w:lang w:val="fr-FR"/>
        </w:rPr>
        <w:t>2</w:t>
      </w:r>
      <w:r w:rsidRPr="00C6613C">
        <w:rPr>
          <w:lang w:val="fr-FR"/>
        </w:rPr>
        <w:t xml:space="preserve"> a </w:t>
      </w:r>
      <w:r w:rsidRPr="00C6613C">
        <w:t>une</w:t>
      </w:r>
      <w:r w:rsidRPr="00C6613C">
        <w:rPr>
          <w:lang w:val="fr-FR"/>
        </w:rPr>
        <w:t xml:space="preserve"> pression de vapeur nulle</w:t>
      </w:r>
      <w:r>
        <w:rPr>
          <w:lang w:val="fr-FR"/>
        </w:rPr>
        <w:t> ;</w:t>
      </w:r>
    </w:p>
    <w:p w14:paraId="21B53058" w14:textId="77777777" w:rsidR="00C6613C" w:rsidRPr="00C6613C" w:rsidRDefault="00C6613C" w:rsidP="00C6613C">
      <w:pPr>
        <w:pStyle w:val="Bullet1G"/>
        <w:rPr>
          <w:lang w:val="fr-FR"/>
        </w:rPr>
      </w:pPr>
      <w:r w:rsidRPr="00C6613C">
        <w:rPr>
          <w:lang w:val="fr-FR"/>
        </w:rPr>
        <w:t xml:space="preserve">Sa densité </w:t>
      </w:r>
      <w:r w:rsidRPr="00C6613C">
        <w:t>relative</w:t>
      </w:r>
      <w:r w:rsidRPr="00C6613C">
        <w:rPr>
          <w:lang w:val="fr-FR"/>
        </w:rPr>
        <w:t xml:space="preserve"> est de 3,6</w:t>
      </w:r>
      <w:r w:rsidR="007175CC">
        <w:rPr>
          <w:lang w:val="fr-FR"/>
        </w:rPr>
        <w:t> </w:t>
      </w:r>
      <w:r w:rsidRPr="00C6613C">
        <w:rPr>
          <w:lang w:val="fr-FR"/>
        </w:rPr>
        <w:t>g/cm</w:t>
      </w:r>
      <w:r w:rsidRPr="00C6613C">
        <w:rPr>
          <w:vertAlign w:val="superscript"/>
          <w:lang w:val="fr-FR"/>
        </w:rPr>
        <w:t>3</w:t>
      </w:r>
      <w:r w:rsidRPr="00C6613C">
        <w:rPr>
          <w:lang w:val="fr-FR"/>
        </w:rPr>
        <w:t xml:space="preserve"> </w:t>
      </w:r>
      <w:r w:rsidR="007175CC">
        <w:rPr>
          <w:lang w:val="fr-FR"/>
        </w:rPr>
        <w:t>−</w:t>
      </w:r>
      <w:r w:rsidRPr="00C6613C">
        <w:rPr>
          <w:lang w:val="fr-FR"/>
        </w:rPr>
        <w:t xml:space="preserve"> il ne reste donc pas longtemps en suspension dans l’air</w:t>
      </w:r>
      <w:r>
        <w:rPr>
          <w:lang w:val="fr-FR"/>
        </w:rPr>
        <w:t> ;</w:t>
      </w:r>
    </w:p>
    <w:p w14:paraId="3F0C5F22" w14:textId="77777777" w:rsidR="00C6613C" w:rsidRPr="00084167" w:rsidRDefault="00C6613C" w:rsidP="00C6613C">
      <w:pPr>
        <w:pStyle w:val="Bullet1G"/>
        <w:rPr>
          <w:lang w:val="fr-FR"/>
        </w:rPr>
      </w:pPr>
      <w:r>
        <w:rPr>
          <w:lang w:val="fr-FR"/>
        </w:rPr>
        <w:t>Il</w:t>
      </w:r>
      <w:r w:rsidRPr="00084167">
        <w:rPr>
          <w:lang w:val="fr-FR"/>
        </w:rPr>
        <w:t xml:space="preserve"> </w:t>
      </w:r>
      <w:r w:rsidRPr="00C6613C">
        <w:t>est</w:t>
      </w:r>
      <w:r w:rsidRPr="00084167">
        <w:rPr>
          <w:lang w:val="fr-FR"/>
        </w:rPr>
        <w:t xml:space="preserve"> hygroscopique </w:t>
      </w:r>
      <w:r w:rsidR="007175CC">
        <w:rPr>
          <w:lang w:val="fr-FR"/>
        </w:rPr>
        <w:t>−</w:t>
      </w:r>
      <w:r w:rsidRPr="00084167">
        <w:rPr>
          <w:lang w:val="fr-FR"/>
        </w:rPr>
        <w:t xml:space="preserve"> </w:t>
      </w:r>
      <w:r>
        <w:rPr>
          <w:lang w:val="fr-FR"/>
        </w:rPr>
        <w:t xml:space="preserve">il </w:t>
      </w:r>
      <w:r w:rsidRPr="00084167">
        <w:rPr>
          <w:lang w:val="fr-FR"/>
        </w:rPr>
        <w:t>absorbe l</w:t>
      </w:r>
      <w:r>
        <w:rPr>
          <w:lang w:val="fr-FR"/>
        </w:rPr>
        <w:t>’</w:t>
      </w:r>
      <w:r w:rsidRPr="00084167">
        <w:rPr>
          <w:lang w:val="fr-FR"/>
        </w:rPr>
        <w:t>eau et a tendance à « s</w:t>
      </w:r>
      <w:r>
        <w:rPr>
          <w:lang w:val="fr-FR"/>
        </w:rPr>
        <w:t>’</w:t>
      </w:r>
      <w:r w:rsidRPr="00084167">
        <w:rPr>
          <w:lang w:val="fr-FR"/>
        </w:rPr>
        <w:t>agglutiner » lors</w:t>
      </w:r>
      <w:r>
        <w:rPr>
          <w:lang w:val="fr-FR"/>
        </w:rPr>
        <w:t xml:space="preserve">qu’il est exposé </w:t>
      </w:r>
      <w:r w:rsidRPr="00084167">
        <w:rPr>
          <w:lang w:val="fr-FR"/>
        </w:rPr>
        <w:t>à l</w:t>
      </w:r>
      <w:r>
        <w:rPr>
          <w:lang w:val="fr-FR"/>
        </w:rPr>
        <w:t>’</w:t>
      </w:r>
      <w:r w:rsidRPr="00084167">
        <w:rPr>
          <w:lang w:val="fr-FR"/>
        </w:rPr>
        <w:t>air</w:t>
      </w:r>
      <w:r>
        <w:rPr>
          <w:lang w:val="fr-FR"/>
        </w:rPr>
        <w:t> ;</w:t>
      </w:r>
    </w:p>
    <w:p w14:paraId="58AA79E9" w14:textId="77777777" w:rsidR="00C6613C" w:rsidRPr="00084167" w:rsidRDefault="00C6613C" w:rsidP="00C6613C">
      <w:pPr>
        <w:pStyle w:val="Bullet1G"/>
        <w:rPr>
          <w:lang w:val="fr-FR"/>
        </w:rPr>
      </w:pPr>
      <w:r w:rsidRPr="00084167">
        <w:rPr>
          <w:lang w:val="fr-FR"/>
        </w:rPr>
        <w:t>La fraction en suspension de la matière en vrac a une respirabilité faible</w:t>
      </w:r>
      <w:r>
        <w:rPr>
          <w:lang w:val="fr-FR"/>
        </w:rPr>
        <w:t> ;</w:t>
      </w:r>
      <w:r w:rsidRPr="00084167">
        <w:rPr>
          <w:lang w:val="fr-FR"/>
        </w:rPr>
        <w:t xml:space="preserve"> seul 0,8</w:t>
      </w:r>
      <w:r w:rsidR="007175CC">
        <w:rPr>
          <w:lang w:val="fr-FR"/>
        </w:rPr>
        <w:t> </w:t>
      </w:r>
      <w:r w:rsidRPr="00084167">
        <w:rPr>
          <w:lang w:val="fr-FR"/>
        </w:rPr>
        <w:t>% se dépose dans la région pulmonaire (poumon profond), d</w:t>
      </w:r>
      <w:r>
        <w:rPr>
          <w:lang w:val="fr-FR"/>
        </w:rPr>
        <w:t>’</w:t>
      </w:r>
      <w:r w:rsidRPr="00084167">
        <w:rPr>
          <w:lang w:val="fr-FR"/>
        </w:rPr>
        <w:t>après la modélisation</w:t>
      </w:r>
      <w:r>
        <w:rPr>
          <w:lang w:val="fr-FR"/>
        </w:rPr>
        <w:t> ;</w:t>
      </w:r>
    </w:p>
    <w:p w14:paraId="1F13C254" w14:textId="77777777" w:rsidR="00C6613C" w:rsidRPr="00084167" w:rsidRDefault="00C6613C" w:rsidP="00C6613C">
      <w:pPr>
        <w:pStyle w:val="SingleTxtG"/>
        <w:ind w:left="1701"/>
        <w:rPr>
          <w:lang w:val="fr-FR"/>
        </w:rPr>
      </w:pPr>
      <w:r w:rsidRPr="00084167">
        <w:rPr>
          <w:lang w:val="fr-FR"/>
        </w:rPr>
        <w:t>Ces caractéristiques montrent que le potentiel de toxicité par inhalation pour les humains est très faible, qu</w:t>
      </w:r>
      <w:r>
        <w:rPr>
          <w:lang w:val="fr-FR"/>
        </w:rPr>
        <w:t>’</w:t>
      </w:r>
      <w:r w:rsidRPr="00084167">
        <w:rPr>
          <w:lang w:val="fr-FR"/>
        </w:rPr>
        <w:t>il s</w:t>
      </w:r>
      <w:r>
        <w:rPr>
          <w:lang w:val="fr-FR"/>
        </w:rPr>
        <w:t>’</w:t>
      </w:r>
      <w:r w:rsidRPr="00084167">
        <w:rPr>
          <w:lang w:val="fr-FR"/>
        </w:rPr>
        <w:t>agisse d</w:t>
      </w:r>
      <w:r>
        <w:rPr>
          <w:lang w:val="fr-FR"/>
        </w:rPr>
        <w:t>’</w:t>
      </w:r>
      <w:r w:rsidRPr="00084167">
        <w:rPr>
          <w:lang w:val="fr-FR"/>
        </w:rPr>
        <w:t>une exposition liée au transport ou à la manipulation, à la grande différence de</w:t>
      </w:r>
      <w:r>
        <w:rPr>
          <w:lang w:val="fr-FR"/>
        </w:rPr>
        <w:t>s résultats de</w:t>
      </w:r>
      <w:r w:rsidRPr="00084167">
        <w:rPr>
          <w:lang w:val="fr-FR"/>
        </w:rPr>
        <w:t xml:space="preserve"> l</w:t>
      </w:r>
      <w:r>
        <w:rPr>
          <w:lang w:val="fr-FR"/>
        </w:rPr>
        <w:t>’</w:t>
      </w:r>
      <w:r w:rsidRPr="00084167">
        <w:rPr>
          <w:lang w:val="fr-FR"/>
        </w:rPr>
        <w:t>essai REACH effectué sur des rats où la matière soumise à l</w:t>
      </w:r>
      <w:r>
        <w:rPr>
          <w:lang w:val="fr-FR"/>
        </w:rPr>
        <w:t>’</w:t>
      </w:r>
      <w:r w:rsidRPr="00084167">
        <w:rPr>
          <w:lang w:val="fr-FR"/>
        </w:rPr>
        <w:t>essai est placée dans un flux d</w:t>
      </w:r>
      <w:r>
        <w:rPr>
          <w:lang w:val="fr-FR"/>
        </w:rPr>
        <w:t>’</w:t>
      </w:r>
      <w:r w:rsidRPr="00084167">
        <w:rPr>
          <w:lang w:val="fr-FR"/>
        </w:rPr>
        <w:t xml:space="preserve">air positif. Cela corrobore le fait que cette matière a été transportée en toute sécurité </w:t>
      </w:r>
      <w:r w:rsidRPr="00084167">
        <w:rPr>
          <w:b/>
          <w:bCs/>
          <w:i/>
          <w:iCs/>
          <w:lang w:val="fr-FR"/>
        </w:rPr>
        <w:t xml:space="preserve">pendant plus de </w:t>
      </w:r>
      <w:r w:rsidR="00C378FB">
        <w:rPr>
          <w:b/>
          <w:bCs/>
          <w:i/>
          <w:iCs/>
          <w:lang w:val="fr-FR"/>
        </w:rPr>
        <w:t>quarante</w:t>
      </w:r>
      <w:r w:rsidRPr="00084167">
        <w:rPr>
          <w:b/>
          <w:bCs/>
          <w:i/>
          <w:iCs/>
          <w:lang w:val="fr-FR"/>
        </w:rPr>
        <w:t xml:space="preserve"> ans</w:t>
      </w:r>
      <w:r w:rsidRPr="00084167">
        <w:rPr>
          <w:lang w:val="fr-FR"/>
        </w:rPr>
        <w:t xml:space="preserve"> </w:t>
      </w:r>
      <w:r w:rsidRPr="00084167">
        <w:rPr>
          <w:b/>
          <w:bCs/>
          <w:i/>
          <w:iCs/>
          <w:lang w:val="fr-FR"/>
        </w:rPr>
        <w:t>dans des GRV souples non doublés</w:t>
      </w:r>
      <w:r w:rsidRPr="00EE4A0C">
        <w:rPr>
          <w:lang w:val="fr-FR"/>
        </w:rPr>
        <w:t xml:space="preserve">, </w:t>
      </w:r>
      <w:r w:rsidRPr="00084167">
        <w:rPr>
          <w:lang w:val="fr-FR"/>
        </w:rPr>
        <w:t>sans qu</w:t>
      </w:r>
      <w:r>
        <w:rPr>
          <w:lang w:val="fr-FR"/>
        </w:rPr>
        <w:t>’</w:t>
      </w:r>
      <w:r w:rsidRPr="00084167">
        <w:rPr>
          <w:lang w:val="fr-FR"/>
        </w:rPr>
        <w:t>aucun problème de santé n</w:t>
      </w:r>
      <w:r>
        <w:rPr>
          <w:lang w:val="fr-FR"/>
        </w:rPr>
        <w:t>’</w:t>
      </w:r>
      <w:r w:rsidRPr="00084167">
        <w:rPr>
          <w:lang w:val="fr-FR"/>
        </w:rPr>
        <w:t>ait été signalé.</w:t>
      </w:r>
    </w:p>
    <w:p w14:paraId="5412CC75" w14:textId="77777777" w:rsidR="00C6613C" w:rsidRDefault="00C6613C" w:rsidP="00EE4A0C">
      <w:pPr>
        <w:pStyle w:val="SingleTxtG"/>
        <w:keepNext/>
        <w:rPr>
          <w:lang w:val="fr-FR"/>
        </w:rPr>
      </w:pPr>
      <w:r w:rsidRPr="00084167">
        <w:rPr>
          <w:lang w:val="fr-FR"/>
        </w:rPr>
        <w:lastRenderedPageBreak/>
        <w:t>16.</w:t>
      </w:r>
      <w:r>
        <w:rPr>
          <w:lang w:val="fr-FR"/>
        </w:rPr>
        <w:tab/>
      </w:r>
      <w:r w:rsidRPr="00084167">
        <w:rPr>
          <w:lang w:val="fr-FR"/>
        </w:rPr>
        <w:t>Les principaux résultats du débat virtuel sont notamment les suivants (voir le document informel INF.20)</w:t>
      </w:r>
      <w:r>
        <w:rPr>
          <w:lang w:val="fr-FR"/>
        </w:rPr>
        <w:t> :</w:t>
      </w:r>
    </w:p>
    <w:p w14:paraId="703A8A54" w14:textId="77777777" w:rsidR="00C6613C" w:rsidRPr="00084167" w:rsidRDefault="00C6613C" w:rsidP="00C6613C">
      <w:pPr>
        <w:pStyle w:val="Bullet1G"/>
        <w:rPr>
          <w:lang w:val="fr-FR"/>
        </w:rPr>
      </w:pPr>
      <w:r w:rsidRPr="00084167">
        <w:rPr>
          <w:lang w:val="fr-FR"/>
        </w:rPr>
        <w:t xml:space="preserve">La désignation officielle de transport doit être modifiée pour indiquer </w:t>
      </w:r>
      <w:r>
        <w:rPr>
          <w:lang w:val="fr-FR"/>
        </w:rPr>
        <w:t xml:space="preserve">« ayant une teneur en </w:t>
      </w:r>
      <w:r w:rsidRPr="00084167">
        <w:rPr>
          <w:lang w:val="fr-FR"/>
        </w:rPr>
        <w:t>particules respirables</w:t>
      </w:r>
      <w:r>
        <w:rPr>
          <w:lang w:val="fr-FR"/>
        </w:rPr>
        <w:t xml:space="preserve"> supérieure ou égale à </w:t>
      </w:r>
      <w:r w:rsidRPr="007B3536">
        <w:rPr>
          <w:lang w:val="fr-FR"/>
        </w:rPr>
        <w:t>10 %</w:t>
      </w:r>
      <w:r>
        <w:rPr>
          <w:lang w:val="fr-FR"/>
        </w:rPr>
        <w:t> »</w:t>
      </w:r>
      <w:r w:rsidRPr="00084167">
        <w:rPr>
          <w:lang w:val="fr-FR"/>
        </w:rPr>
        <w:t xml:space="preserve"> plutôt que </w:t>
      </w:r>
      <w:r>
        <w:rPr>
          <w:lang w:val="fr-FR"/>
        </w:rPr>
        <w:t>« supérieure à</w:t>
      </w:r>
      <w:r w:rsidRPr="00084167">
        <w:rPr>
          <w:lang w:val="fr-FR"/>
        </w:rPr>
        <w:t xml:space="preserve"> 10</w:t>
      </w:r>
      <w:r>
        <w:rPr>
          <w:lang w:val="fr-FR"/>
        </w:rPr>
        <w:t> </w:t>
      </w:r>
      <w:r w:rsidRPr="00084167">
        <w:rPr>
          <w:lang w:val="fr-FR"/>
        </w:rPr>
        <w:t>%</w:t>
      </w:r>
      <w:r>
        <w:rPr>
          <w:lang w:val="fr-FR"/>
        </w:rPr>
        <w:t> »</w:t>
      </w:r>
      <w:r w:rsidRPr="00084167">
        <w:rPr>
          <w:lang w:val="fr-FR"/>
        </w:rPr>
        <w:t xml:space="preserve"> et préciser qu</w:t>
      </w:r>
      <w:r>
        <w:rPr>
          <w:lang w:val="fr-FR"/>
        </w:rPr>
        <w:t>’une</w:t>
      </w:r>
      <w:r w:rsidRPr="00084167">
        <w:rPr>
          <w:lang w:val="fr-FR"/>
        </w:rPr>
        <w:t xml:space="preserve"> matière </w:t>
      </w:r>
      <w:r>
        <w:rPr>
          <w:lang w:val="fr-FR"/>
        </w:rPr>
        <w:t xml:space="preserve">dont la teneur en </w:t>
      </w:r>
      <w:r w:rsidRPr="00084167">
        <w:rPr>
          <w:lang w:val="fr-FR"/>
        </w:rPr>
        <w:t xml:space="preserve">particules respirables </w:t>
      </w:r>
      <w:r>
        <w:rPr>
          <w:lang w:val="fr-FR"/>
        </w:rPr>
        <w:t xml:space="preserve">est inférieure à </w:t>
      </w:r>
      <w:r w:rsidRPr="00454CD4">
        <w:rPr>
          <w:lang w:val="fr-FR"/>
        </w:rPr>
        <w:t xml:space="preserve">10 % </w:t>
      </w:r>
      <w:r w:rsidRPr="00084167">
        <w:rPr>
          <w:lang w:val="fr-FR"/>
        </w:rPr>
        <w:t>reste classée sous le No ONU 3077 MATIÈRE DANGEREUSE DU POINT DE VUE DE L</w:t>
      </w:r>
      <w:r>
        <w:rPr>
          <w:lang w:val="fr-FR"/>
        </w:rPr>
        <w:t>’</w:t>
      </w:r>
      <w:r w:rsidRPr="00084167">
        <w:rPr>
          <w:lang w:val="fr-FR"/>
        </w:rPr>
        <w:t>ENVIRONNEMENT, SOLIDE, N.S.A.</w:t>
      </w:r>
      <w:r>
        <w:rPr>
          <w:lang w:val="fr-FR"/>
        </w:rPr>
        <w:t> ;</w:t>
      </w:r>
    </w:p>
    <w:p w14:paraId="10D9B2F4" w14:textId="77777777" w:rsidR="00C6613C" w:rsidRPr="00084167" w:rsidRDefault="00C6613C" w:rsidP="00C6613C">
      <w:pPr>
        <w:pStyle w:val="Bullet1G"/>
        <w:rPr>
          <w:lang w:val="fr-FR"/>
        </w:rPr>
      </w:pPr>
      <w:r w:rsidRPr="00084167">
        <w:rPr>
          <w:lang w:val="fr-FR"/>
        </w:rPr>
        <w:t xml:space="preserve">La </w:t>
      </w:r>
      <w:r>
        <w:rPr>
          <w:lang w:val="fr-FR"/>
        </w:rPr>
        <w:t>d</w:t>
      </w:r>
      <w:r w:rsidRPr="00084167">
        <w:rPr>
          <w:lang w:val="fr-FR"/>
        </w:rPr>
        <w:t>isposition spéciale 354 ne devrait pas être utilisée, dans la mesure où le Sous</w:t>
      </w:r>
      <w:r w:rsidR="00EE4A0C">
        <w:rPr>
          <w:lang w:val="fr-FR"/>
        </w:rPr>
        <w:noBreakHyphen/>
      </w:r>
      <w:r w:rsidRPr="00C6613C">
        <w:t>Comité</w:t>
      </w:r>
      <w:r w:rsidRPr="00084167">
        <w:rPr>
          <w:lang w:val="fr-FR"/>
        </w:rPr>
        <w:t xml:space="preserve"> doit encore </w:t>
      </w:r>
      <w:r>
        <w:rPr>
          <w:lang w:val="fr-FR"/>
        </w:rPr>
        <w:t>décider</w:t>
      </w:r>
      <w:r w:rsidRPr="00084167">
        <w:rPr>
          <w:lang w:val="fr-FR"/>
        </w:rPr>
        <w:t xml:space="preserve"> si elle s</w:t>
      </w:r>
      <w:r>
        <w:rPr>
          <w:lang w:val="fr-FR"/>
        </w:rPr>
        <w:t>’</w:t>
      </w:r>
      <w:r w:rsidRPr="00084167">
        <w:rPr>
          <w:lang w:val="fr-FR"/>
        </w:rPr>
        <w:t>applique aux solides, ou seulement aux</w:t>
      </w:r>
      <w:r w:rsidR="00EE4A0C">
        <w:rPr>
          <w:lang w:val="fr-FR"/>
        </w:rPr>
        <w:t> </w:t>
      </w:r>
      <w:r w:rsidRPr="00084167">
        <w:rPr>
          <w:lang w:val="fr-FR"/>
        </w:rPr>
        <w:t>liquides</w:t>
      </w:r>
      <w:r>
        <w:rPr>
          <w:lang w:val="fr-FR"/>
        </w:rPr>
        <w:t> ;</w:t>
      </w:r>
    </w:p>
    <w:p w14:paraId="0AB2E6A1" w14:textId="77777777" w:rsidR="00C6613C" w:rsidRPr="00084167" w:rsidRDefault="00C6613C" w:rsidP="00C6613C">
      <w:pPr>
        <w:pStyle w:val="Bullet1G"/>
        <w:rPr>
          <w:lang w:val="fr-FR"/>
        </w:rPr>
      </w:pPr>
      <w:r w:rsidRPr="00084167">
        <w:rPr>
          <w:lang w:val="fr-FR"/>
        </w:rPr>
        <w:t xml:space="preserve">Le Sous-Comité </w:t>
      </w:r>
      <w:r w:rsidRPr="00C6613C">
        <w:t>devrait</w:t>
      </w:r>
      <w:r w:rsidRPr="00084167">
        <w:rPr>
          <w:lang w:val="fr-FR"/>
        </w:rPr>
        <w:t xml:space="preserve"> examiner plus avant la définition du terme « respirable »</w:t>
      </w:r>
      <w:r>
        <w:rPr>
          <w:lang w:val="fr-FR"/>
        </w:rPr>
        <w:t> ;</w:t>
      </w:r>
    </w:p>
    <w:p w14:paraId="0C465382" w14:textId="77777777" w:rsidR="00C6613C" w:rsidRPr="00084167" w:rsidRDefault="00C6613C" w:rsidP="00C6613C">
      <w:pPr>
        <w:pStyle w:val="Bullet1G"/>
        <w:rPr>
          <w:lang w:val="fr-FR"/>
        </w:rPr>
      </w:pPr>
      <w:r w:rsidRPr="00084167">
        <w:rPr>
          <w:lang w:val="fr-FR"/>
        </w:rPr>
        <w:t>En ce qui concerne les dispositions spéciales d</w:t>
      </w:r>
      <w:r>
        <w:rPr>
          <w:lang w:val="fr-FR"/>
        </w:rPr>
        <w:t>’</w:t>
      </w:r>
      <w:r w:rsidRPr="00084167">
        <w:rPr>
          <w:lang w:val="fr-FR"/>
        </w:rPr>
        <w:t>emballage, il a été décidé d</w:t>
      </w:r>
      <w:r>
        <w:rPr>
          <w:lang w:val="fr-FR"/>
        </w:rPr>
        <w:t>’</w:t>
      </w:r>
      <w:r w:rsidRPr="00084167">
        <w:rPr>
          <w:lang w:val="fr-FR"/>
        </w:rPr>
        <w:t>utiliser une nouvelle disposition «</w:t>
      </w:r>
      <w:r w:rsidR="00EE4A0C">
        <w:rPr>
          <w:lang w:val="fr-FR"/>
        </w:rPr>
        <w:t> </w:t>
      </w:r>
      <w:r w:rsidRPr="00084167">
        <w:rPr>
          <w:lang w:val="fr-FR"/>
        </w:rPr>
        <w:t>Bx</w:t>
      </w:r>
      <w:r w:rsidR="00EE4A0C">
        <w:rPr>
          <w:lang w:val="fr-FR"/>
        </w:rPr>
        <w:t> </w:t>
      </w:r>
      <w:r w:rsidRPr="00084167">
        <w:rPr>
          <w:lang w:val="fr-FR"/>
        </w:rPr>
        <w:t>», mais l</w:t>
      </w:r>
      <w:r>
        <w:rPr>
          <w:lang w:val="fr-FR"/>
        </w:rPr>
        <w:t>’</w:t>
      </w:r>
      <w:r w:rsidRPr="00084167">
        <w:rPr>
          <w:lang w:val="fr-FR"/>
        </w:rPr>
        <w:t>affectation à la disposition spéciale d</w:t>
      </w:r>
      <w:r>
        <w:rPr>
          <w:lang w:val="fr-FR"/>
        </w:rPr>
        <w:t>’</w:t>
      </w:r>
      <w:r w:rsidRPr="00084167">
        <w:rPr>
          <w:lang w:val="fr-FR"/>
        </w:rPr>
        <w:t>emballage B1 n</w:t>
      </w:r>
      <w:r>
        <w:rPr>
          <w:lang w:val="fr-FR"/>
        </w:rPr>
        <w:t>’</w:t>
      </w:r>
      <w:r w:rsidRPr="00084167">
        <w:rPr>
          <w:lang w:val="fr-FR"/>
        </w:rPr>
        <w:t>a pas fait l</w:t>
      </w:r>
      <w:r>
        <w:rPr>
          <w:lang w:val="fr-FR"/>
        </w:rPr>
        <w:t>’</w:t>
      </w:r>
      <w:r w:rsidRPr="00084167">
        <w:rPr>
          <w:lang w:val="fr-FR"/>
        </w:rPr>
        <w:t>unanimité, plusieurs experts estimant que cela n</w:t>
      </w:r>
      <w:r>
        <w:rPr>
          <w:lang w:val="fr-FR"/>
        </w:rPr>
        <w:t>’</w:t>
      </w:r>
      <w:r w:rsidRPr="00084167">
        <w:rPr>
          <w:lang w:val="fr-FR"/>
        </w:rPr>
        <w:t xml:space="preserve">était pas nécessaire en raison du fait que la matière </w:t>
      </w:r>
      <w:r>
        <w:rPr>
          <w:lang w:val="fr-FR"/>
        </w:rPr>
        <w:t xml:space="preserve">était </w:t>
      </w:r>
      <w:r w:rsidRPr="00084167">
        <w:rPr>
          <w:lang w:val="fr-FR"/>
        </w:rPr>
        <w:t>transportée sans risque depuis longtemps</w:t>
      </w:r>
      <w:r>
        <w:rPr>
          <w:lang w:val="fr-FR"/>
        </w:rPr>
        <w:t xml:space="preserve"> et</w:t>
      </w:r>
      <w:r w:rsidRPr="00084167">
        <w:rPr>
          <w:lang w:val="fr-FR"/>
        </w:rPr>
        <w:t xml:space="preserve"> qu</w:t>
      </w:r>
      <w:r>
        <w:rPr>
          <w:lang w:val="fr-FR"/>
        </w:rPr>
        <w:t>’</w:t>
      </w:r>
      <w:r w:rsidRPr="00084167">
        <w:rPr>
          <w:lang w:val="fr-FR"/>
        </w:rPr>
        <w:t xml:space="preserve">elle </w:t>
      </w:r>
      <w:r>
        <w:rPr>
          <w:lang w:val="fr-FR"/>
        </w:rPr>
        <w:t xml:space="preserve">le serait désormais </w:t>
      </w:r>
      <w:r w:rsidRPr="00084167">
        <w:rPr>
          <w:lang w:val="fr-FR"/>
        </w:rPr>
        <w:t xml:space="preserve">dans des sacs doublés ayant </w:t>
      </w:r>
      <w:r w:rsidRPr="00D7789E">
        <w:rPr>
          <w:lang w:val="fr-FR"/>
        </w:rPr>
        <w:t>satisfait au niveau d</w:t>
      </w:r>
      <w:r>
        <w:rPr>
          <w:lang w:val="fr-FR"/>
        </w:rPr>
        <w:t>’</w:t>
      </w:r>
      <w:r w:rsidRPr="00D7789E">
        <w:rPr>
          <w:lang w:val="fr-FR"/>
        </w:rPr>
        <w:t>épreuve du groupe d</w:t>
      </w:r>
      <w:r>
        <w:rPr>
          <w:lang w:val="fr-FR"/>
        </w:rPr>
        <w:t>’</w:t>
      </w:r>
      <w:r w:rsidRPr="00D7789E">
        <w:rPr>
          <w:lang w:val="fr-FR"/>
        </w:rPr>
        <w:t>emballage</w:t>
      </w:r>
      <w:r>
        <w:rPr>
          <w:lang w:val="fr-FR"/>
        </w:rPr>
        <w:t xml:space="preserve"> </w:t>
      </w:r>
      <w:r w:rsidRPr="00084167">
        <w:rPr>
          <w:lang w:val="fr-FR"/>
        </w:rPr>
        <w:t>I</w:t>
      </w:r>
      <w:r>
        <w:rPr>
          <w:lang w:val="fr-FR"/>
        </w:rPr>
        <w:t>,</w:t>
      </w:r>
      <w:r w:rsidRPr="00084167">
        <w:rPr>
          <w:lang w:val="fr-FR"/>
        </w:rPr>
        <w:t xml:space="preserve"> et compte tenu des nouvelles informations sur </w:t>
      </w:r>
      <w:r>
        <w:rPr>
          <w:lang w:val="fr-FR"/>
        </w:rPr>
        <w:t>s</w:t>
      </w:r>
      <w:r w:rsidRPr="00084167">
        <w:rPr>
          <w:lang w:val="fr-FR"/>
        </w:rPr>
        <w:t>es caractéristiques physiques</w:t>
      </w:r>
      <w:r>
        <w:rPr>
          <w:lang w:val="fr-FR"/>
        </w:rPr>
        <w:t> ;</w:t>
      </w:r>
    </w:p>
    <w:p w14:paraId="00FE4B5E" w14:textId="77777777" w:rsidR="00C6613C" w:rsidRPr="00084167" w:rsidRDefault="00C6613C" w:rsidP="00C6613C">
      <w:pPr>
        <w:pStyle w:val="Bullet1G"/>
        <w:rPr>
          <w:lang w:val="fr-FR"/>
        </w:rPr>
      </w:pPr>
      <w:r w:rsidRPr="00084167">
        <w:rPr>
          <w:lang w:val="fr-FR"/>
        </w:rPr>
        <w:t>Il convient d</w:t>
      </w:r>
      <w:r>
        <w:rPr>
          <w:lang w:val="fr-FR"/>
        </w:rPr>
        <w:t>’</w:t>
      </w:r>
      <w:r w:rsidRPr="00084167">
        <w:rPr>
          <w:lang w:val="fr-FR"/>
        </w:rPr>
        <w:t xml:space="preserve">ajouter un libellé supplémentaire sous le tableau 4.2 des Principes </w:t>
      </w:r>
      <w:r w:rsidRPr="00C6613C">
        <w:t>directeurs</w:t>
      </w:r>
      <w:r w:rsidRPr="00084167">
        <w:rPr>
          <w:lang w:val="fr-FR"/>
        </w:rPr>
        <w:t xml:space="preserve">, relatif </w:t>
      </w:r>
      <w:r>
        <w:rPr>
          <w:lang w:val="fr-FR"/>
        </w:rPr>
        <w:t>aux</w:t>
      </w:r>
      <w:r w:rsidRPr="00084167">
        <w:rPr>
          <w:lang w:val="fr-FR"/>
        </w:rPr>
        <w:t xml:space="preserve"> instructions d</w:t>
      </w:r>
      <w:r>
        <w:rPr>
          <w:lang w:val="fr-FR"/>
        </w:rPr>
        <w:t>’</w:t>
      </w:r>
      <w:r w:rsidRPr="00084167">
        <w:rPr>
          <w:lang w:val="fr-FR"/>
        </w:rPr>
        <w:t xml:space="preserve">emballage </w:t>
      </w:r>
      <w:r>
        <w:rPr>
          <w:lang w:val="fr-FR"/>
        </w:rPr>
        <w:t xml:space="preserve">concernant l’utilisation </w:t>
      </w:r>
      <w:r w:rsidRPr="00084167">
        <w:rPr>
          <w:lang w:val="fr-FR"/>
        </w:rPr>
        <w:t>des GRV.</w:t>
      </w:r>
    </w:p>
    <w:p w14:paraId="369DFDE9" w14:textId="77777777" w:rsidR="00C6613C" w:rsidRPr="00EE4A0C" w:rsidRDefault="00C6613C" w:rsidP="00C6613C">
      <w:pPr>
        <w:pStyle w:val="SingleTxtG"/>
        <w:rPr>
          <w:spacing w:val="-1"/>
          <w:lang w:val="fr-FR"/>
        </w:rPr>
      </w:pPr>
      <w:r w:rsidRPr="00EE4A0C">
        <w:rPr>
          <w:spacing w:val="-1"/>
          <w:lang w:val="fr-FR"/>
        </w:rPr>
        <w:t>17.</w:t>
      </w:r>
      <w:r w:rsidRPr="00EE4A0C">
        <w:rPr>
          <w:spacing w:val="-1"/>
          <w:lang w:val="fr-FR"/>
        </w:rPr>
        <w:tab/>
        <w:t>Un expert a proposé d’ajouter un libellé dans les chapitres 4 et 6 afin de préciser qu’</w:t>
      </w:r>
      <w:r w:rsidRPr="00EE4A0C">
        <w:rPr>
          <w:i/>
          <w:iCs/>
          <w:spacing w:val="-1"/>
          <w:lang w:val="fr-FR"/>
        </w:rPr>
        <w:t>aucun rejet</w:t>
      </w:r>
      <w:r w:rsidRPr="00EE4A0C">
        <w:rPr>
          <w:spacing w:val="-1"/>
          <w:lang w:val="fr-FR"/>
        </w:rPr>
        <w:t xml:space="preserve"> de poussière ne devait être toléré pendant les essais, mais d’autres experts ont estimé qu’ajouter de telles précisions dans les critères d’essai ou ajouter un ensemble de critères de réussite ou d’échec différents pour un GRV sur la base du produit emballé n’était ni pertinent ni conforme aux Principes directeurs, dans la mesure où cela pourrait entraîner une prolifération des demandes d’exception. Il a été rappelé que les essais prescrits par l’ONU étaient génériques et fondés sur les résultats, lesquels n’étaient jamais de nature absolue. De fait, la précision proposée serait difficile à définir et ne tiendrait pas compte des nouvelles connaissances sur les caractéristiques physiques de la matière en question.</w:t>
      </w:r>
    </w:p>
    <w:p w14:paraId="6622A64A" w14:textId="77777777" w:rsidR="00C6613C" w:rsidRPr="00084167" w:rsidRDefault="00C6613C" w:rsidP="00C6613C">
      <w:pPr>
        <w:pStyle w:val="HChG"/>
        <w:rPr>
          <w:lang w:val="fr-FR"/>
        </w:rPr>
      </w:pPr>
      <w:bookmarkStart w:id="4" w:name="_Hlk26796557"/>
      <w:r w:rsidRPr="00084167">
        <w:rPr>
          <w:lang w:val="fr-FR"/>
        </w:rPr>
        <w:tab/>
      </w:r>
      <w:r w:rsidRPr="00084167">
        <w:rPr>
          <w:lang w:val="fr-FR"/>
        </w:rPr>
        <w:tab/>
        <w:t>Proposition</w:t>
      </w:r>
    </w:p>
    <w:p w14:paraId="5A525799" w14:textId="77777777" w:rsidR="00C6613C" w:rsidRPr="00084167" w:rsidRDefault="00C6613C" w:rsidP="00C6613C">
      <w:pPr>
        <w:pStyle w:val="SingleTxtG"/>
        <w:rPr>
          <w:lang w:val="fr-FR"/>
        </w:rPr>
      </w:pPr>
      <w:r w:rsidRPr="00084167">
        <w:rPr>
          <w:lang w:val="fr-FR"/>
        </w:rPr>
        <w:t>18.</w:t>
      </w:r>
      <w:r w:rsidRPr="00084167">
        <w:rPr>
          <w:lang w:val="fr-FR"/>
        </w:rPr>
        <w:tab/>
        <w:t>Le Sous-Comité est invité à examiner la proposition d</w:t>
      </w:r>
      <w:r>
        <w:rPr>
          <w:lang w:val="fr-FR"/>
        </w:rPr>
        <w:t>’</w:t>
      </w:r>
      <w:r w:rsidRPr="00084167">
        <w:rPr>
          <w:lang w:val="fr-FR"/>
        </w:rPr>
        <w:t>affectation d</w:t>
      </w:r>
      <w:r>
        <w:rPr>
          <w:lang w:val="fr-FR"/>
        </w:rPr>
        <w:t>’</w:t>
      </w:r>
      <w:r w:rsidRPr="00084167">
        <w:rPr>
          <w:lang w:val="fr-FR"/>
        </w:rPr>
        <w:t>un nouveau numéro ONU au dihydroxyde de cobalt raffiné, classé comme toxique par inhalation</w:t>
      </w:r>
      <w:r>
        <w:rPr>
          <w:lang w:val="fr-FR"/>
        </w:rPr>
        <w:t xml:space="preserve"> et comme appartenant à </w:t>
      </w:r>
      <w:r w:rsidRPr="00084167">
        <w:rPr>
          <w:lang w:val="fr-FR"/>
        </w:rPr>
        <w:t xml:space="preserve">la </w:t>
      </w:r>
      <w:r>
        <w:rPr>
          <w:lang w:val="fr-FR"/>
        </w:rPr>
        <w:t>division</w:t>
      </w:r>
      <w:r w:rsidRPr="00084167">
        <w:rPr>
          <w:lang w:val="fr-FR"/>
        </w:rPr>
        <w:t xml:space="preserve"> 6.1 et </w:t>
      </w:r>
      <w:r>
        <w:rPr>
          <w:lang w:val="fr-FR"/>
        </w:rPr>
        <w:t>au</w:t>
      </w:r>
      <w:r w:rsidRPr="00084167">
        <w:rPr>
          <w:lang w:val="fr-FR"/>
        </w:rPr>
        <w:t xml:space="preserve"> </w:t>
      </w:r>
      <w:r>
        <w:rPr>
          <w:lang w:val="fr-FR"/>
        </w:rPr>
        <w:t>groupe d’emballage</w:t>
      </w:r>
      <w:r w:rsidRPr="00084167">
        <w:rPr>
          <w:lang w:val="fr-FR"/>
        </w:rPr>
        <w:t xml:space="preserve"> I, avec les instructions d</w:t>
      </w:r>
      <w:r>
        <w:rPr>
          <w:lang w:val="fr-FR"/>
        </w:rPr>
        <w:t>’</w:t>
      </w:r>
      <w:r w:rsidRPr="00084167">
        <w:rPr>
          <w:lang w:val="fr-FR"/>
        </w:rPr>
        <w:t>emballage et les dispositions spéciales indiquées dans le tableau ci-dessous pour la «</w:t>
      </w:r>
      <w:r w:rsidR="00EE4A0C">
        <w:rPr>
          <w:lang w:val="fr-FR"/>
        </w:rPr>
        <w:t> </w:t>
      </w:r>
      <w:r w:rsidRPr="00084167">
        <w:rPr>
          <w:lang w:val="fr-FR"/>
        </w:rPr>
        <w:t xml:space="preserve">POUDRE DE DIHYDROXYDE DE COBALT </w:t>
      </w:r>
      <w:r>
        <w:rPr>
          <w:lang w:val="fr-FR"/>
        </w:rPr>
        <w:t xml:space="preserve">ayant une teneur en </w:t>
      </w:r>
      <w:r w:rsidRPr="00084167">
        <w:rPr>
          <w:lang w:val="fr-FR"/>
        </w:rPr>
        <w:t>particules respirables</w:t>
      </w:r>
      <w:r>
        <w:rPr>
          <w:lang w:val="fr-FR"/>
        </w:rPr>
        <w:t xml:space="preserve"> supérieure ou égale à </w:t>
      </w:r>
      <w:r w:rsidRPr="00811FF3">
        <w:rPr>
          <w:lang w:val="fr-FR"/>
        </w:rPr>
        <w:t>10</w:t>
      </w:r>
      <w:r w:rsidR="00EE4A0C">
        <w:rPr>
          <w:lang w:val="fr-FR"/>
        </w:rPr>
        <w:t> </w:t>
      </w:r>
      <w:r w:rsidRPr="00811FF3">
        <w:rPr>
          <w:lang w:val="fr-FR"/>
        </w:rPr>
        <w:t>%</w:t>
      </w:r>
      <w:r w:rsidRPr="00084167">
        <w:rPr>
          <w:lang w:val="fr-FR"/>
        </w:rPr>
        <w:t> ».</w:t>
      </w:r>
    </w:p>
    <w:p w14:paraId="23F765F2" w14:textId="77777777" w:rsidR="00C6613C" w:rsidRPr="00084167" w:rsidRDefault="00C6613C" w:rsidP="00C6613C">
      <w:pPr>
        <w:pStyle w:val="H1G"/>
        <w:rPr>
          <w:lang w:val="fr-FR"/>
        </w:rPr>
      </w:pPr>
      <w:r w:rsidRPr="00084167">
        <w:rPr>
          <w:lang w:val="fr-FR"/>
        </w:rPr>
        <w:tab/>
      </w:r>
      <w:r w:rsidRPr="00084167">
        <w:rPr>
          <w:lang w:val="fr-FR"/>
        </w:rPr>
        <w:tab/>
        <w:t xml:space="preserve">Chapitre 3.2 </w:t>
      </w:r>
      <w:r>
        <w:rPr>
          <w:lang w:val="fr-FR"/>
        </w:rPr>
        <w:t>(L</w:t>
      </w:r>
      <w:r w:rsidRPr="00084167">
        <w:rPr>
          <w:lang w:val="fr-FR"/>
        </w:rPr>
        <w:t>iste des marchandises dangereuses</w:t>
      </w:r>
      <w:r>
        <w:rPr>
          <w:lang w:val="fr-FR"/>
        </w:rPr>
        <w:t>)</w:t>
      </w:r>
    </w:p>
    <w:p w14:paraId="650EB4D3" w14:textId="77777777" w:rsidR="00C6613C" w:rsidRPr="00EE4A0C" w:rsidRDefault="00C6613C" w:rsidP="00C6613C">
      <w:pPr>
        <w:pStyle w:val="SingleTxtG"/>
        <w:rPr>
          <w:spacing w:val="-2"/>
          <w:lang w:val="fr-FR"/>
        </w:rPr>
      </w:pPr>
      <w:r w:rsidRPr="00EE4A0C">
        <w:rPr>
          <w:spacing w:val="-2"/>
          <w:lang w:val="fr-FR"/>
        </w:rPr>
        <w:t>19.</w:t>
      </w:r>
      <w:r w:rsidRPr="00EE4A0C">
        <w:rPr>
          <w:spacing w:val="-2"/>
          <w:lang w:val="fr-FR"/>
        </w:rPr>
        <w:tab/>
        <w:t>Ajouter une nouvelle rubrique dans la Liste des marchandises dangereuses, comme suit :</w:t>
      </w:r>
      <w:bookmarkEnd w:id="4"/>
    </w:p>
    <w:tbl>
      <w:tblPr>
        <w:tblStyle w:val="TableGrid"/>
        <w:tblW w:w="9637" w:type="dxa"/>
        <w:tblLook w:val="04A0" w:firstRow="1" w:lastRow="0" w:firstColumn="1" w:lastColumn="0" w:noHBand="0" w:noVBand="1"/>
      </w:tblPr>
      <w:tblGrid>
        <w:gridCol w:w="564"/>
        <w:gridCol w:w="1590"/>
        <w:gridCol w:w="625"/>
        <w:gridCol w:w="599"/>
        <w:gridCol w:w="908"/>
        <w:gridCol w:w="900"/>
        <w:gridCol w:w="348"/>
        <w:gridCol w:w="438"/>
        <w:gridCol w:w="922"/>
        <w:gridCol w:w="913"/>
        <w:gridCol w:w="930"/>
        <w:gridCol w:w="900"/>
      </w:tblGrid>
      <w:tr w:rsidR="00C6613C" w:rsidRPr="00EE4A0C" w14:paraId="28FAB328" w14:textId="77777777" w:rsidTr="00EE4A0C">
        <w:trPr>
          <w:trHeight w:val="20"/>
        </w:trPr>
        <w:tc>
          <w:tcPr>
            <w:tcW w:w="550" w:type="dxa"/>
            <w:vMerge w:val="restart"/>
            <w:tcBorders>
              <w:top w:val="single" w:sz="4" w:space="0" w:color="auto"/>
              <w:left w:val="single" w:sz="4" w:space="0" w:color="auto"/>
              <w:bottom w:val="single" w:sz="4" w:space="0" w:color="auto"/>
              <w:right w:val="single" w:sz="4" w:space="0" w:color="auto"/>
            </w:tcBorders>
          </w:tcPr>
          <w:p w14:paraId="003C0089" w14:textId="77777777" w:rsidR="00C6613C" w:rsidRPr="00EE4A0C" w:rsidRDefault="00C6613C" w:rsidP="00EE4A0C">
            <w:pPr>
              <w:spacing w:before="60" w:after="60" w:line="240" w:lineRule="auto"/>
              <w:ind w:left="57" w:right="57"/>
              <w:jc w:val="center"/>
              <w:rPr>
                <w:rFonts w:asciiTheme="majorBidi" w:hAnsiTheme="majorBidi" w:cstheme="majorBidi"/>
                <w:b/>
                <w:sz w:val="15"/>
                <w:szCs w:val="15"/>
                <w:lang w:val="fr-FR"/>
              </w:rPr>
            </w:pPr>
            <w:r w:rsidRPr="00EE4A0C">
              <w:rPr>
                <w:rFonts w:asciiTheme="majorBidi" w:hAnsiTheme="majorBidi" w:cstheme="majorBidi"/>
                <w:b/>
                <w:sz w:val="15"/>
                <w:szCs w:val="15"/>
                <w:lang w:val="fr-FR"/>
              </w:rPr>
              <w:t>N</w:t>
            </w:r>
            <w:r w:rsidR="00EE4A0C" w:rsidRPr="00EE4A0C">
              <w:rPr>
                <w:rFonts w:asciiTheme="majorBidi" w:hAnsiTheme="majorBidi" w:cstheme="majorBidi"/>
                <w:b/>
                <w:sz w:val="15"/>
                <w:szCs w:val="15"/>
                <w:vertAlign w:val="superscript"/>
                <w:lang w:val="fr-FR"/>
              </w:rPr>
              <w:t>o</w:t>
            </w:r>
            <w:r w:rsidRPr="00EE4A0C">
              <w:rPr>
                <w:rFonts w:asciiTheme="majorBidi" w:hAnsiTheme="majorBidi" w:cstheme="majorBidi"/>
                <w:b/>
                <w:sz w:val="15"/>
                <w:szCs w:val="15"/>
                <w:lang w:val="fr-FR"/>
              </w:rPr>
              <w:t xml:space="preserve"> ONU</w:t>
            </w:r>
          </w:p>
        </w:tc>
        <w:tc>
          <w:tcPr>
            <w:tcW w:w="1954" w:type="dxa"/>
            <w:vMerge w:val="restart"/>
            <w:tcBorders>
              <w:top w:val="single" w:sz="4" w:space="0" w:color="auto"/>
              <w:left w:val="single" w:sz="4" w:space="0" w:color="auto"/>
              <w:bottom w:val="single" w:sz="4" w:space="0" w:color="auto"/>
              <w:right w:val="single" w:sz="4" w:space="0" w:color="auto"/>
            </w:tcBorders>
            <w:hideMark/>
          </w:tcPr>
          <w:p w14:paraId="18ED413E" w14:textId="77777777" w:rsidR="00C6613C" w:rsidRPr="00EE4A0C" w:rsidRDefault="00C6613C" w:rsidP="00EE4A0C">
            <w:pPr>
              <w:spacing w:before="60" w:after="60" w:line="240" w:lineRule="auto"/>
              <w:ind w:left="57" w:right="57"/>
              <w:jc w:val="both"/>
              <w:rPr>
                <w:rFonts w:asciiTheme="majorBidi" w:hAnsiTheme="majorBidi" w:cstheme="majorBidi"/>
                <w:b/>
                <w:sz w:val="15"/>
                <w:szCs w:val="15"/>
                <w:lang w:val="fr-FR"/>
              </w:rPr>
            </w:pPr>
            <w:r w:rsidRPr="00EE4A0C">
              <w:rPr>
                <w:rFonts w:asciiTheme="majorBidi" w:hAnsiTheme="majorBidi" w:cstheme="majorBidi"/>
                <w:b/>
                <w:sz w:val="15"/>
                <w:szCs w:val="15"/>
                <w:lang w:val="fr-FR"/>
              </w:rPr>
              <w:t>Nom et description</w:t>
            </w:r>
          </w:p>
        </w:tc>
        <w:tc>
          <w:tcPr>
            <w:tcW w:w="611" w:type="dxa"/>
            <w:vMerge w:val="restart"/>
            <w:tcBorders>
              <w:top w:val="single" w:sz="4" w:space="0" w:color="auto"/>
              <w:left w:val="single" w:sz="4" w:space="0" w:color="auto"/>
              <w:bottom w:val="single" w:sz="4" w:space="0" w:color="auto"/>
              <w:right w:val="single" w:sz="4" w:space="0" w:color="auto"/>
            </w:tcBorders>
            <w:hideMark/>
          </w:tcPr>
          <w:p w14:paraId="60ECA736" w14:textId="77777777" w:rsidR="00C6613C" w:rsidRPr="00EE4A0C" w:rsidRDefault="00C6613C" w:rsidP="00EE4A0C">
            <w:pPr>
              <w:spacing w:before="60" w:after="60" w:line="240" w:lineRule="auto"/>
              <w:ind w:left="57" w:right="57"/>
              <w:jc w:val="center"/>
              <w:rPr>
                <w:rFonts w:asciiTheme="majorBidi" w:hAnsiTheme="majorBidi" w:cstheme="majorBidi"/>
                <w:b/>
                <w:sz w:val="15"/>
                <w:szCs w:val="15"/>
                <w:lang w:val="fr-FR"/>
              </w:rPr>
            </w:pPr>
            <w:r w:rsidRPr="00EE4A0C">
              <w:rPr>
                <w:rFonts w:asciiTheme="majorBidi" w:hAnsiTheme="majorBidi" w:cstheme="majorBidi"/>
                <w:b/>
                <w:sz w:val="15"/>
                <w:szCs w:val="15"/>
                <w:lang w:val="fr-FR"/>
              </w:rPr>
              <w:t>Classe ou division</w:t>
            </w:r>
          </w:p>
        </w:tc>
        <w:tc>
          <w:tcPr>
            <w:tcW w:w="497" w:type="dxa"/>
            <w:vMerge w:val="restart"/>
            <w:tcBorders>
              <w:top w:val="single" w:sz="4" w:space="0" w:color="auto"/>
              <w:left w:val="single" w:sz="4" w:space="0" w:color="auto"/>
              <w:bottom w:val="single" w:sz="4" w:space="0" w:color="auto"/>
              <w:right w:val="single" w:sz="4" w:space="0" w:color="auto"/>
            </w:tcBorders>
            <w:hideMark/>
          </w:tcPr>
          <w:p w14:paraId="71D7B9F5" w14:textId="77777777" w:rsidR="00C6613C" w:rsidRPr="00EE4A0C" w:rsidRDefault="00C6613C" w:rsidP="00EE4A0C">
            <w:pPr>
              <w:spacing w:before="60" w:after="60" w:line="240" w:lineRule="auto"/>
              <w:ind w:left="57" w:right="57"/>
              <w:jc w:val="center"/>
              <w:rPr>
                <w:rFonts w:asciiTheme="majorBidi" w:hAnsiTheme="majorBidi" w:cstheme="majorBidi"/>
                <w:b/>
                <w:sz w:val="15"/>
                <w:szCs w:val="15"/>
                <w:lang w:val="fr-FR"/>
              </w:rPr>
            </w:pPr>
            <w:r w:rsidRPr="00EE4A0C">
              <w:rPr>
                <w:rFonts w:asciiTheme="majorBidi" w:hAnsiTheme="majorBidi" w:cstheme="majorBidi"/>
                <w:b/>
                <w:sz w:val="15"/>
                <w:szCs w:val="15"/>
                <w:lang w:val="fr-FR"/>
              </w:rPr>
              <w:t>Danger subsi-diaire</w:t>
            </w:r>
          </w:p>
        </w:tc>
        <w:tc>
          <w:tcPr>
            <w:tcW w:w="734" w:type="dxa"/>
            <w:vMerge w:val="restart"/>
            <w:tcBorders>
              <w:top w:val="single" w:sz="4" w:space="0" w:color="auto"/>
              <w:left w:val="single" w:sz="4" w:space="0" w:color="auto"/>
              <w:bottom w:val="single" w:sz="4" w:space="0" w:color="auto"/>
              <w:right w:val="single" w:sz="4" w:space="0" w:color="auto"/>
            </w:tcBorders>
            <w:hideMark/>
          </w:tcPr>
          <w:p w14:paraId="7C05DB45" w14:textId="77777777" w:rsidR="00C6613C" w:rsidRPr="00EE4A0C" w:rsidRDefault="00C6613C" w:rsidP="00EE4A0C">
            <w:pPr>
              <w:spacing w:before="60" w:after="60" w:line="240" w:lineRule="auto"/>
              <w:ind w:left="57" w:right="57"/>
              <w:jc w:val="center"/>
              <w:rPr>
                <w:rFonts w:asciiTheme="majorBidi" w:hAnsiTheme="majorBidi" w:cstheme="majorBidi"/>
                <w:b/>
                <w:sz w:val="15"/>
                <w:szCs w:val="15"/>
                <w:lang w:val="fr-FR"/>
              </w:rPr>
            </w:pPr>
            <w:r w:rsidRPr="00EE4A0C">
              <w:rPr>
                <w:rFonts w:asciiTheme="majorBidi" w:hAnsiTheme="majorBidi" w:cstheme="majorBidi"/>
                <w:b/>
                <w:sz w:val="15"/>
                <w:szCs w:val="15"/>
                <w:lang w:val="fr-FR"/>
              </w:rPr>
              <w:t>Groupe d’emballage</w:t>
            </w:r>
          </w:p>
        </w:tc>
        <w:tc>
          <w:tcPr>
            <w:tcW w:w="754" w:type="dxa"/>
            <w:vMerge w:val="restart"/>
            <w:tcBorders>
              <w:top w:val="single" w:sz="4" w:space="0" w:color="auto"/>
              <w:left w:val="single" w:sz="4" w:space="0" w:color="auto"/>
              <w:bottom w:val="single" w:sz="4" w:space="0" w:color="auto"/>
              <w:right w:val="single" w:sz="4" w:space="0" w:color="auto"/>
            </w:tcBorders>
            <w:hideMark/>
          </w:tcPr>
          <w:p w14:paraId="07B9DC3B" w14:textId="77777777" w:rsidR="00C6613C" w:rsidRPr="00EE4A0C" w:rsidRDefault="00C6613C" w:rsidP="00EE4A0C">
            <w:pPr>
              <w:spacing w:before="60" w:after="60" w:line="240" w:lineRule="auto"/>
              <w:ind w:left="57" w:right="57"/>
              <w:jc w:val="center"/>
              <w:rPr>
                <w:rFonts w:asciiTheme="majorBidi" w:hAnsiTheme="majorBidi" w:cstheme="majorBidi"/>
                <w:b/>
                <w:sz w:val="15"/>
                <w:szCs w:val="15"/>
                <w:lang w:val="fr-FR"/>
              </w:rPr>
            </w:pPr>
            <w:r w:rsidRPr="00EE4A0C">
              <w:rPr>
                <w:rFonts w:asciiTheme="majorBidi" w:hAnsiTheme="majorBidi" w:cstheme="majorBidi"/>
                <w:b/>
                <w:sz w:val="15"/>
                <w:szCs w:val="15"/>
                <w:lang w:val="fr-FR"/>
              </w:rPr>
              <w:t>Dispositions spéciales</w:t>
            </w:r>
          </w:p>
        </w:tc>
        <w:tc>
          <w:tcPr>
            <w:tcW w:w="881" w:type="dxa"/>
            <w:gridSpan w:val="2"/>
            <w:vMerge w:val="restart"/>
            <w:tcBorders>
              <w:top w:val="single" w:sz="4" w:space="0" w:color="auto"/>
              <w:left w:val="single" w:sz="4" w:space="0" w:color="auto"/>
              <w:bottom w:val="single" w:sz="4" w:space="0" w:color="auto"/>
              <w:right w:val="single" w:sz="4" w:space="0" w:color="auto"/>
            </w:tcBorders>
            <w:hideMark/>
          </w:tcPr>
          <w:p w14:paraId="00428826" w14:textId="77777777" w:rsidR="00C6613C" w:rsidRPr="00EE4A0C" w:rsidRDefault="00C6613C" w:rsidP="00EE4A0C">
            <w:pPr>
              <w:spacing w:before="60" w:after="60" w:line="240" w:lineRule="auto"/>
              <w:ind w:left="57" w:right="57"/>
              <w:jc w:val="center"/>
              <w:rPr>
                <w:rFonts w:asciiTheme="majorBidi" w:hAnsiTheme="majorBidi" w:cstheme="majorBidi"/>
                <w:b/>
                <w:sz w:val="15"/>
                <w:szCs w:val="15"/>
                <w:lang w:val="fr-FR"/>
              </w:rPr>
            </w:pPr>
            <w:r w:rsidRPr="00EE4A0C">
              <w:rPr>
                <w:rFonts w:asciiTheme="majorBidi" w:hAnsiTheme="majorBidi" w:cstheme="majorBidi"/>
                <w:b/>
                <w:sz w:val="15"/>
                <w:szCs w:val="15"/>
                <w:lang w:val="fr-FR"/>
              </w:rPr>
              <w:t>Quantités limitées et quantités exceptées</w:t>
            </w:r>
          </w:p>
        </w:tc>
        <w:tc>
          <w:tcPr>
            <w:tcW w:w="1906" w:type="dxa"/>
            <w:gridSpan w:val="2"/>
            <w:tcBorders>
              <w:top w:val="single" w:sz="4" w:space="0" w:color="auto"/>
              <w:left w:val="single" w:sz="4" w:space="0" w:color="auto"/>
              <w:bottom w:val="single" w:sz="4" w:space="0" w:color="auto"/>
              <w:right w:val="single" w:sz="4" w:space="0" w:color="auto"/>
            </w:tcBorders>
            <w:hideMark/>
          </w:tcPr>
          <w:p w14:paraId="136DBC93" w14:textId="77777777" w:rsidR="00C6613C" w:rsidRPr="00EE4A0C" w:rsidRDefault="00C6613C" w:rsidP="00EE4A0C">
            <w:pPr>
              <w:spacing w:before="60" w:after="60" w:line="240" w:lineRule="auto"/>
              <w:ind w:left="57" w:right="57"/>
              <w:jc w:val="center"/>
              <w:rPr>
                <w:rFonts w:asciiTheme="majorBidi" w:hAnsiTheme="majorBidi" w:cstheme="majorBidi"/>
                <w:b/>
                <w:sz w:val="15"/>
                <w:szCs w:val="15"/>
                <w:lang w:val="fr-FR"/>
              </w:rPr>
            </w:pPr>
            <w:r w:rsidRPr="00EE4A0C">
              <w:rPr>
                <w:rFonts w:asciiTheme="majorBidi" w:hAnsiTheme="majorBidi" w:cstheme="majorBidi"/>
                <w:b/>
                <w:sz w:val="15"/>
                <w:szCs w:val="15"/>
                <w:lang w:val="fr-FR"/>
              </w:rPr>
              <w:t>Emballages et GRV</w:t>
            </w:r>
          </w:p>
        </w:tc>
        <w:tc>
          <w:tcPr>
            <w:tcW w:w="1887" w:type="dxa"/>
            <w:gridSpan w:val="2"/>
            <w:tcBorders>
              <w:top w:val="single" w:sz="4" w:space="0" w:color="auto"/>
              <w:left w:val="single" w:sz="4" w:space="0" w:color="auto"/>
              <w:bottom w:val="single" w:sz="4" w:space="0" w:color="auto"/>
              <w:right w:val="single" w:sz="4" w:space="0" w:color="auto"/>
            </w:tcBorders>
            <w:hideMark/>
          </w:tcPr>
          <w:p w14:paraId="73E811AB" w14:textId="77777777" w:rsidR="00C6613C" w:rsidRPr="00EE4A0C" w:rsidRDefault="00C6613C" w:rsidP="00EE4A0C">
            <w:pPr>
              <w:spacing w:before="60" w:after="60" w:line="240" w:lineRule="auto"/>
              <w:ind w:left="57" w:right="57"/>
              <w:jc w:val="center"/>
              <w:rPr>
                <w:rFonts w:asciiTheme="majorBidi" w:hAnsiTheme="majorBidi" w:cstheme="majorBidi"/>
                <w:b/>
                <w:sz w:val="15"/>
                <w:szCs w:val="15"/>
                <w:lang w:val="fr-FR"/>
              </w:rPr>
            </w:pPr>
            <w:r w:rsidRPr="00EE4A0C">
              <w:rPr>
                <w:rFonts w:asciiTheme="majorBidi" w:hAnsiTheme="majorBidi" w:cstheme="majorBidi"/>
                <w:b/>
                <w:sz w:val="15"/>
                <w:szCs w:val="15"/>
                <w:lang w:val="fr-FR"/>
              </w:rPr>
              <w:t>Citernes mobiles</w:t>
            </w:r>
            <w:r w:rsidR="00EE4A0C" w:rsidRPr="00EE4A0C">
              <w:rPr>
                <w:rFonts w:asciiTheme="majorBidi" w:hAnsiTheme="majorBidi" w:cstheme="majorBidi"/>
                <w:b/>
                <w:sz w:val="15"/>
                <w:szCs w:val="15"/>
                <w:lang w:val="fr-FR"/>
              </w:rPr>
              <w:br/>
            </w:r>
            <w:r w:rsidRPr="00EE4A0C">
              <w:rPr>
                <w:rFonts w:asciiTheme="majorBidi" w:hAnsiTheme="majorBidi" w:cstheme="majorBidi"/>
                <w:b/>
                <w:sz w:val="15"/>
                <w:szCs w:val="15"/>
                <w:lang w:val="fr-FR"/>
              </w:rPr>
              <w:t>et conteneurs pour vrac</w:t>
            </w:r>
          </w:p>
        </w:tc>
      </w:tr>
      <w:tr w:rsidR="00C6613C" w:rsidRPr="00EE4A0C" w14:paraId="54108EE7" w14:textId="77777777" w:rsidTr="00EE4A0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7D016" w14:textId="77777777" w:rsidR="00C6613C" w:rsidRPr="00EE4A0C" w:rsidRDefault="00C6613C" w:rsidP="00EE4A0C">
            <w:pPr>
              <w:spacing w:before="60" w:after="60" w:line="240" w:lineRule="auto"/>
              <w:ind w:left="57" w:right="57"/>
              <w:rPr>
                <w:rFonts w:asciiTheme="majorBidi" w:hAnsiTheme="majorBidi" w:cstheme="majorBidi"/>
                <w:b/>
                <w:sz w:val="15"/>
                <w:szCs w:val="15"/>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6AB92" w14:textId="77777777" w:rsidR="00C6613C" w:rsidRPr="00EE4A0C" w:rsidRDefault="00C6613C" w:rsidP="00EE4A0C">
            <w:pPr>
              <w:spacing w:before="60" w:after="60" w:line="240" w:lineRule="auto"/>
              <w:ind w:left="57" w:right="57"/>
              <w:rPr>
                <w:rFonts w:asciiTheme="majorBidi" w:hAnsiTheme="majorBidi" w:cstheme="majorBidi"/>
                <w:b/>
                <w:sz w:val="15"/>
                <w:szCs w:val="15"/>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0AFC5" w14:textId="77777777" w:rsidR="00C6613C" w:rsidRPr="00EE4A0C" w:rsidRDefault="00C6613C" w:rsidP="00EE4A0C">
            <w:pPr>
              <w:spacing w:before="60" w:after="60" w:line="240" w:lineRule="auto"/>
              <w:ind w:left="57" w:right="57"/>
              <w:rPr>
                <w:rFonts w:asciiTheme="majorBidi" w:hAnsiTheme="majorBidi" w:cstheme="majorBidi"/>
                <w:b/>
                <w:sz w:val="15"/>
                <w:szCs w:val="15"/>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3E717" w14:textId="77777777" w:rsidR="00C6613C" w:rsidRPr="00EE4A0C" w:rsidRDefault="00C6613C" w:rsidP="00EE4A0C">
            <w:pPr>
              <w:spacing w:before="60" w:after="60" w:line="240" w:lineRule="auto"/>
              <w:ind w:left="57" w:right="57"/>
              <w:rPr>
                <w:rFonts w:asciiTheme="majorBidi" w:hAnsiTheme="majorBidi" w:cstheme="majorBidi"/>
                <w:b/>
                <w:sz w:val="15"/>
                <w:szCs w:val="15"/>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544FB" w14:textId="77777777" w:rsidR="00C6613C" w:rsidRPr="00EE4A0C" w:rsidRDefault="00C6613C" w:rsidP="00EE4A0C">
            <w:pPr>
              <w:spacing w:before="60" w:after="60" w:line="240" w:lineRule="auto"/>
              <w:ind w:left="57" w:right="57"/>
              <w:rPr>
                <w:rFonts w:asciiTheme="majorBidi" w:hAnsiTheme="majorBidi" w:cstheme="majorBidi"/>
                <w:b/>
                <w:sz w:val="15"/>
                <w:szCs w:val="15"/>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4331D" w14:textId="77777777" w:rsidR="00C6613C" w:rsidRPr="00EE4A0C" w:rsidRDefault="00C6613C" w:rsidP="00EE4A0C">
            <w:pPr>
              <w:spacing w:before="60" w:after="60" w:line="240" w:lineRule="auto"/>
              <w:ind w:left="57" w:right="57"/>
              <w:rPr>
                <w:rFonts w:asciiTheme="majorBidi" w:hAnsiTheme="majorBidi" w:cstheme="majorBidi"/>
                <w:b/>
                <w:sz w:val="15"/>
                <w:szCs w:val="15"/>
                <w:lang w:val="fr-F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19C8E2" w14:textId="77777777" w:rsidR="00C6613C" w:rsidRPr="00EE4A0C" w:rsidRDefault="00C6613C" w:rsidP="00EE4A0C">
            <w:pPr>
              <w:spacing w:before="60" w:after="60" w:line="240" w:lineRule="auto"/>
              <w:ind w:left="57" w:right="57"/>
              <w:jc w:val="center"/>
              <w:rPr>
                <w:rFonts w:asciiTheme="majorBidi" w:hAnsiTheme="majorBidi" w:cstheme="majorBidi"/>
                <w:b/>
                <w:sz w:val="15"/>
                <w:szCs w:val="15"/>
                <w:lang w:val="fr-FR"/>
              </w:rPr>
            </w:pPr>
          </w:p>
        </w:tc>
        <w:tc>
          <w:tcPr>
            <w:tcW w:w="960" w:type="dxa"/>
            <w:tcBorders>
              <w:top w:val="single" w:sz="4" w:space="0" w:color="auto"/>
              <w:left w:val="single" w:sz="4" w:space="0" w:color="auto"/>
              <w:bottom w:val="single" w:sz="4" w:space="0" w:color="auto"/>
              <w:right w:val="single" w:sz="4" w:space="0" w:color="auto"/>
            </w:tcBorders>
            <w:hideMark/>
          </w:tcPr>
          <w:p w14:paraId="6F3C6EEC" w14:textId="77777777" w:rsidR="00C6613C" w:rsidRPr="00EE4A0C" w:rsidRDefault="00C6613C" w:rsidP="00EE4A0C">
            <w:pPr>
              <w:spacing w:before="60" w:after="60" w:line="240" w:lineRule="auto"/>
              <w:ind w:left="57" w:right="57"/>
              <w:jc w:val="center"/>
              <w:rPr>
                <w:rFonts w:asciiTheme="majorBidi" w:hAnsiTheme="majorBidi" w:cstheme="majorBidi"/>
                <w:b/>
                <w:sz w:val="15"/>
                <w:szCs w:val="15"/>
                <w:lang w:val="fr-FR"/>
              </w:rPr>
            </w:pPr>
            <w:r w:rsidRPr="00EE4A0C">
              <w:rPr>
                <w:rFonts w:asciiTheme="majorBidi" w:hAnsiTheme="majorBidi" w:cstheme="majorBidi"/>
                <w:b/>
                <w:sz w:val="15"/>
                <w:szCs w:val="15"/>
                <w:lang w:val="fr-FR"/>
              </w:rPr>
              <w:t>Instructions d’emballage</w:t>
            </w:r>
          </w:p>
        </w:tc>
        <w:tc>
          <w:tcPr>
            <w:tcW w:w="946" w:type="dxa"/>
            <w:tcBorders>
              <w:top w:val="single" w:sz="4" w:space="0" w:color="auto"/>
              <w:left w:val="single" w:sz="4" w:space="0" w:color="auto"/>
              <w:bottom w:val="single" w:sz="4" w:space="0" w:color="auto"/>
              <w:right w:val="single" w:sz="4" w:space="0" w:color="auto"/>
            </w:tcBorders>
            <w:hideMark/>
          </w:tcPr>
          <w:p w14:paraId="7C78585B" w14:textId="77777777" w:rsidR="00C6613C" w:rsidRPr="00EE4A0C" w:rsidRDefault="00C6613C" w:rsidP="00EE4A0C">
            <w:pPr>
              <w:spacing w:before="60" w:after="60" w:line="240" w:lineRule="auto"/>
              <w:ind w:left="57" w:right="57"/>
              <w:jc w:val="center"/>
              <w:rPr>
                <w:rFonts w:asciiTheme="majorBidi" w:hAnsiTheme="majorBidi" w:cstheme="majorBidi"/>
                <w:b/>
                <w:sz w:val="15"/>
                <w:szCs w:val="15"/>
                <w:lang w:val="fr-FR"/>
              </w:rPr>
            </w:pPr>
            <w:r w:rsidRPr="00EE4A0C">
              <w:rPr>
                <w:rFonts w:asciiTheme="majorBidi" w:hAnsiTheme="majorBidi" w:cstheme="majorBidi"/>
                <w:b/>
                <w:sz w:val="15"/>
                <w:szCs w:val="15"/>
                <w:lang w:val="fr-FR"/>
              </w:rPr>
              <w:t>Dispositions spéciales</w:t>
            </w:r>
          </w:p>
        </w:tc>
        <w:tc>
          <w:tcPr>
            <w:tcW w:w="1009" w:type="dxa"/>
            <w:tcBorders>
              <w:top w:val="single" w:sz="4" w:space="0" w:color="auto"/>
              <w:left w:val="single" w:sz="4" w:space="0" w:color="auto"/>
              <w:bottom w:val="single" w:sz="4" w:space="0" w:color="auto"/>
              <w:right w:val="single" w:sz="4" w:space="0" w:color="auto"/>
            </w:tcBorders>
            <w:hideMark/>
          </w:tcPr>
          <w:p w14:paraId="2FE28861" w14:textId="77777777" w:rsidR="00C6613C" w:rsidRPr="00EE4A0C" w:rsidRDefault="00C6613C" w:rsidP="00EE4A0C">
            <w:pPr>
              <w:spacing w:before="60" w:after="60" w:line="240" w:lineRule="auto"/>
              <w:ind w:left="57" w:right="57"/>
              <w:jc w:val="center"/>
              <w:rPr>
                <w:rFonts w:asciiTheme="majorBidi" w:hAnsiTheme="majorBidi" w:cstheme="majorBidi"/>
                <w:b/>
                <w:sz w:val="15"/>
                <w:szCs w:val="15"/>
                <w:lang w:val="fr-FR"/>
              </w:rPr>
            </w:pPr>
            <w:r w:rsidRPr="00EE4A0C">
              <w:rPr>
                <w:rFonts w:asciiTheme="majorBidi" w:hAnsiTheme="majorBidi" w:cstheme="majorBidi"/>
                <w:b/>
                <w:sz w:val="15"/>
                <w:szCs w:val="15"/>
                <w:lang w:val="fr-FR"/>
              </w:rPr>
              <w:t>Instructions de transport</w:t>
            </w:r>
          </w:p>
        </w:tc>
        <w:tc>
          <w:tcPr>
            <w:tcW w:w="878" w:type="dxa"/>
            <w:tcBorders>
              <w:top w:val="single" w:sz="4" w:space="0" w:color="auto"/>
              <w:left w:val="single" w:sz="4" w:space="0" w:color="auto"/>
              <w:bottom w:val="single" w:sz="4" w:space="0" w:color="auto"/>
              <w:right w:val="single" w:sz="4" w:space="0" w:color="auto"/>
            </w:tcBorders>
            <w:hideMark/>
          </w:tcPr>
          <w:p w14:paraId="2096CBAE" w14:textId="77777777" w:rsidR="00C6613C" w:rsidRPr="00EE4A0C" w:rsidRDefault="00C6613C" w:rsidP="00EE4A0C">
            <w:pPr>
              <w:spacing w:before="60" w:after="60" w:line="240" w:lineRule="auto"/>
              <w:ind w:left="57" w:right="57"/>
              <w:jc w:val="center"/>
              <w:rPr>
                <w:rFonts w:asciiTheme="majorBidi" w:hAnsiTheme="majorBidi" w:cstheme="majorBidi"/>
                <w:b/>
                <w:sz w:val="15"/>
                <w:szCs w:val="15"/>
                <w:lang w:val="fr-FR"/>
              </w:rPr>
            </w:pPr>
            <w:r w:rsidRPr="00EE4A0C">
              <w:rPr>
                <w:rFonts w:asciiTheme="majorBidi" w:hAnsiTheme="majorBidi" w:cstheme="majorBidi"/>
                <w:b/>
                <w:sz w:val="15"/>
                <w:szCs w:val="15"/>
                <w:lang w:val="fr-FR"/>
              </w:rPr>
              <w:t>Dispositions spéciales</w:t>
            </w:r>
          </w:p>
        </w:tc>
      </w:tr>
      <w:tr w:rsidR="00C6613C" w:rsidRPr="00EE4A0C" w14:paraId="6DC538E9" w14:textId="77777777" w:rsidTr="00EE4A0C">
        <w:trPr>
          <w:trHeight w:val="20"/>
        </w:trPr>
        <w:tc>
          <w:tcPr>
            <w:tcW w:w="550" w:type="dxa"/>
            <w:tcBorders>
              <w:top w:val="single" w:sz="4" w:space="0" w:color="auto"/>
              <w:left w:val="single" w:sz="4" w:space="0" w:color="auto"/>
              <w:bottom w:val="single" w:sz="4" w:space="0" w:color="auto"/>
              <w:right w:val="single" w:sz="4" w:space="0" w:color="auto"/>
            </w:tcBorders>
            <w:hideMark/>
          </w:tcPr>
          <w:p w14:paraId="1A4712B4" w14:textId="77777777" w:rsidR="00C6613C" w:rsidRPr="00EE4A0C" w:rsidRDefault="00C6613C" w:rsidP="00EE4A0C">
            <w:pPr>
              <w:spacing w:before="40" w:after="40" w:line="240" w:lineRule="auto"/>
              <w:ind w:left="57" w:right="57"/>
              <w:jc w:val="center"/>
              <w:rPr>
                <w:rFonts w:asciiTheme="majorBidi" w:hAnsiTheme="majorBidi" w:cstheme="majorBidi"/>
                <w:sz w:val="18"/>
                <w:szCs w:val="18"/>
                <w:lang w:val="fr-FR"/>
              </w:rPr>
            </w:pPr>
            <w:r w:rsidRPr="00EE4A0C">
              <w:rPr>
                <w:rFonts w:asciiTheme="majorBidi" w:hAnsiTheme="majorBidi" w:cstheme="majorBidi"/>
                <w:sz w:val="18"/>
                <w:szCs w:val="18"/>
                <w:lang w:val="fr-FR"/>
              </w:rPr>
              <w:t>35XX</w:t>
            </w:r>
          </w:p>
        </w:tc>
        <w:tc>
          <w:tcPr>
            <w:tcW w:w="1954" w:type="dxa"/>
            <w:tcBorders>
              <w:top w:val="single" w:sz="4" w:space="0" w:color="auto"/>
              <w:left w:val="single" w:sz="4" w:space="0" w:color="auto"/>
              <w:bottom w:val="single" w:sz="4" w:space="0" w:color="auto"/>
              <w:right w:val="single" w:sz="4" w:space="0" w:color="auto"/>
            </w:tcBorders>
            <w:hideMark/>
          </w:tcPr>
          <w:p w14:paraId="33A5549D" w14:textId="77777777" w:rsidR="00C6613C" w:rsidRPr="00EE4A0C" w:rsidRDefault="00C6613C" w:rsidP="00EE4A0C">
            <w:pPr>
              <w:spacing w:before="40" w:after="40" w:line="240" w:lineRule="auto"/>
              <w:ind w:left="57" w:right="57"/>
              <w:rPr>
                <w:rFonts w:asciiTheme="majorBidi" w:hAnsiTheme="majorBidi" w:cstheme="majorBidi"/>
                <w:sz w:val="18"/>
                <w:szCs w:val="18"/>
                <w:lang w:val="fr-FR"/>
              </w:rPr>
            </w:pPr>
            <w:r w:rsidRPr="00EE4A0C">
              <w:rPr>
                <w:rFonts w:asciiTheme="majorBidi" w:hAnsiTheme="majorBidi" w:cstheme="majorBidi"/>
                <w:sz w:val="18"/>
                <w:szCs w:val="18"/>
                <w:lang w:val="fr-FR"/>
              </w:rPr>
              <w:t>POUDRE DE DIHYDROXYDE DE COBALT ayant</w:t>
            </w:r>
            <w:r w:rsidR="00EE4A0C">
              <w:rPr>
                <w:rFonts w:asciiTheme="majorBidi" w:hAnsiTheme="majorBidi" w:cstheme="majorBidi"/>
                <w:sz w:val="18"/>
                <w:szCs w:val="18"/>
                <w:lang w:val="fr-FR"/>
              </w:rPr>
              <w:t> </w:t>
            </w:r>
            <w:r w:rsidRPr="00EE4A0C">
              <w:rPr>
                <w:rFonts w:asciiTheme="majorBidi" w:hAnsiTheme="majorBidi" w:cstheme="majorBidi"/>
                <w:sz w:val="18"/>
                <w:szCs w:val="18"/>
                <w:lang w:val="fr-FR"/>
              </w:rPr>
              <w:t>une teneur en</w:t>
            </w:r>
            <w:r w:rsidR="00EE4A0C">
              <w:rPr>
                <w:rFonts w:asciiTheme="majorBidi" w:hAnsiTheme="majorBidi" w:cstheme="majorBidi"/>
                <w:sz w:val="18"/>
                <w:szCs w:val="18"/>
                <w:lang w:val="fr-FR"/>
              </w:rPr>
              <w:t> </w:t>
            </w:r>
            <w:r w:rsidRPr="00EE4A0C">
              <w:rPr>
                <w:rFonts w:asciiTheme="majorBidi" w:hAnsiTheme="majorBidi" w:cstheme="majorBidi"/>
                <w:sz w:val="18"/>
                <w:szCs w:val="18"/>
                <w:lang w:val="fr-FR"/>
              </w:rPr>
              <w:t>particules respirables supérieure ou égale</w:t>
            </w:r>
            <w:r w:rsidR="00EE4A0C">
              <w:rPr>
                <w:rFonts w:asciiTheme="majorBidi" w:hAnsiTheme="majorBidi" w:cstheme="majorBidi"/>
                <w:sz w:val="18"/>
                <w:szCs w:val="18"/>
                <w:lang w:val="fr-FR"/>
              </w:rPr>
              <w:t> </w:t>
            </w:r>
            <w:r w:rsidRPr="00EE4A0C">
              <w:rPr>
                <w:rFonts w:asciiTheme="majorBidi" w:hAnsiTheme="majorBidi" w:cstheme="majorBidi"/>
                <w:sz w:val="18"/>
                <w:szCs w:val="18"/>
                <w:lang w:val="fr-FR"/>
              </w:rPr>
              <w:t>à 10 %</w:t>
            </w:r>
          </w:p>
        </w:tc>
        <w:tc>
          <w:tcPr>
            <w:tcW w:w="611" w:type="dxa"/>
            <w:tcBorders>
              <w:top w:val="single" w:sz="4" w:space="0" w:color="auto"/>
              <w:left w:val="single" w:sz="4" w:space="0" w:color="auto"/>
              <w:bottom w:val="single" w:sz="4" w:space="0" w:color="auto"/>
              <w:right w:val="single" w:sz="4" w:space="0" w:color="auto"/>
            </w:tcBorders>
            <w:hideMark/>
          </w:tcPr>
          <w:p w14:paraId="68ABE0FA" w14:textId="77777777" w:rsidR="00C6613C" w:rsidRPr="00EE4A0C" w:rsidRDefault="00C6613C" w:rsidP="00EE4A0C">
            <w:pPr>
              <w:spacing w:before="40" w:after="40" w:line="240" w:lineRule="auto"/>
              <w:ind w:left="57" w:right="57"/>
              <w:jc w:val="center"/>
              <w:rPr>
                <w:rFonts w:asciiTheme="majorBidi" w:hAnsiTheme="majorBidi" w:cstheme="majorBidi"/>
                <w:sz w:val="18"/>
                <w:szCs w:val="18"/>
                <w:lang w:val="fr-FR"/>
              </w:rPr>
            </w:pPr>
            <w:r w:rsidRPr="00EE4A0C">
              <w:rPr>
                <w:rFonts w:asciiTheme="majorBidi" w:hAnsiTheme="majorBidi" w:cstheme="majorBidi"/>
                <w:sz w:val="18"/>
                <w:szCs w:val="18"/>
                <w:lang w:val="fr-FR"/>
              </w:rPr>
              <w:t>6.1</w:t>
            </w:r>
          </w:p>
        </w:tc>
        <w:tc>
          <w:tcPr>
            <w:tcW w:w="497" w:type="dxa"/>
            <w:tcBorders>
              <w:top w:val="single" w:sz="4" w:space="0" w:color="auto"/>
              <w:left w:val="single" w:sz="4" w:space="0" w:color="auto"/>
              <w:bottom w:val="single" w:sz="4" w:space="0" w:color="auto"/>
              <w:right w:val="single" w:sz="4" w:space="0" w:color="auto"/>
            </w:tcBorders>
          </w:tcPr>
          <w:p w14:paraId="24E2BDC6" w14:textId="77777777" w:rsidR="00C6613C" w:rsidRPr="00EE4A0C" w:rsidRDefault="00C6613C" w:rsidP="00EE4A0C">
            <w:pPr>
              <w:spacing w:before="40" w:after="40" w:line="240" w:lineRule="auto"/>
              <w:ind w:left="57" w:right="57"/>
              <w:jc w:val="center"/>
              <w:rPr>
                <w:rFonts w:asciiTheme="majorBidi" w:hAnsiTheme="majorBidi" w:cstheme="majorBidi"/>
                <w:sz w:val="18"/>
                <w:szCs w:val="18"/>
                <w:highlight w:val="yellow"/>
                <w:lang w:val="fr-FR"/>
              </w:rPr>
            </w:pPr>
          </w:p>
        </w:tc>
        <w:tc>
          <w:tcPr>
            <w:tcW w:w="734" w:type="dxa"/>
            <w:tcBorders>
              <w:top w:val="single" w:sz="4" w:space="0" w:color="auto"/>
              <w:left w:val="single" w:sz="4" w:space="0" w:color="auto"/>
              <w:bottom w:val="single" w:sz="4" w:space="0" w:color="auto"/>
              <w:right w:val="single" w:sz="4" w:space="0" w:color="auto"/>
            </w:tcBorders>
            <w:hideMark/>
          </w:tcPr>
          <w:p w14:paraId="29971E70" w14:textId="77777777" w:rsidR="00C6613C" w:rsidRPr="00EE4A0C" w:rsidRDefault="00C6613C" w:rsidP="00EE4A0C">
            <w:pPr>
              <w:spacing w:before="40" w:after="40" w:line="240" w:lineRule="auto"/>
              <w:ind w:left="57" w:right="57"/>
              <w:jc w:val="center"/>
              <w:rPr>
                <w:rFonts w:asciiTheme="majorBidi" w:hAnsiTheme="majorBidi" w:cstheme="majorBidi"/>
                <w:sz w:val="18"/>
                <w:szCs w:val="18"/>
                <w:highlight w:val="yellow"/>
                <w:lang w:val="fr-FR"/>
              </w:rPr>
            </w:pPr>
            <w:r w:rsidRPr="00EE4A0C">
              <w:rPr>
                <w:rFonts w:asciiTheme="majorBidi" w:hAnsiTheme="majorBidi" w:cstheme="majorBidi"/>
                <w:sz w:val="18"/>
                <w:szCs w:val="18"/>
                <w:lang w:val="fr-FR"/>
              </w:rPr>
              <w:t>I</w:t>
            </w:r>
          </w:p>
        </w:tc>
        <w:tc>
          <w:tcPr>
            <w:tcW w:w="754" w:type="dxa"/>
            <w:tcBorders>
              <w:top w:val="single" w:sz="4" w:space="0" w:color="auto"/>
              <w:left w:val="single" w:sz="4" w:space="0" w:color="auto"/>
              <w:bottom w:val="single" w:sz="4" w:space="0" w:color="auto"/>
              <w:right w:val="single" w:sz="4" w:space="0" w:color="auto"/>
            </w:tcBorders>
            <w:hideMark/>
          </w:tcPr>
          <w:p w14:paraId="2577696F" w14:textId="77777777" w:rsidR="00C6613C" w:rsidRPr="00EE4A0C" w:rsidRDefault="00EE4A0C" w:rsidP="00EE4A0C">
            <w:pPr>
              <w:spacing w:before="40" w:after="40" w:line="240" w:lineRule="auto"/>
              <w:ind w:left="57" w:right="57"/>
              <w:rPr>
                <w:rFonts w:asciiTheme="majorBidi" w:hAnsiTheme="majorBidi" w:cstheme="majorBidi"/>
                <w:sz w:val="18"/>
                <w:szCs w:val="18"/>
                <w:lang w:val="fr-FR"/>
              </w:rPr>
            </w:pPr>
            <w:r>
              <w:rPr>
                <w:rFonts w:asciiTheme="majorBidi" w:hAnsiTheme="majorBidi" w:cstheme="majorBidi"/>
                <w:sz w:val="18"/>
                <w:szCs w:val="18"/>
                <w:lang w:val="fr-FR"/>
              </w:rPr>
              <w:t>SP</w:t>
            </w:r>
            <w:r w:rsidR="00C6613C" w:rsidRPr="00EE4A0C">
              <w:rPr>
                <w:rFonts w:asciiTheme="majorBidi" w:hAnsiTheme="majorBidi" w:cstheme="majorBidi"/>
                <w:sz w:val="18"/>
                <w:szCs w:val="18"/>
                <w:lang w:val="fr-FR"/>
              </w:rPr>
              <w:t>xxx</w:t>
            </w:r>
          </w:p>
        </w:tc>
        <w:tc>
          <w:tcPr>
            <w:tcW w:w="392" w:type="dxa"/>
            <w:tcBorders>
              <w:top w:val="single" w:sz="4" w:space="0" w:color="auto"/>
              <w:left w:val="single" w:sz="4" w:space="0" w:color="auto"/>
              <w:bottom w:val="single" w:sz="4" w:space="0" w:color="auto"/>
              <w:right w:val="single" w:sz="4" w:space="0" w:color="auto"/>
            </w:tcBorders>
            <w:hideMark/>
          </w:tcPr>
          <w:p w14:paraId="71148A62" w14:textId="77777777" w:rsidR="00C6613C" w:rsidRPr="00EE4A0C" w:rsidRDefault="00C6613C" w:rsidP="00EE4A0C">
            <w:pPr>
              <w:spacing w:before="40" w:after="40" w:line="240" w:lineRule="auto"/>
              <w:ind w:left="57" w:right="57"/>
              <w:jc w:val="center"/>
              <w:rPr>
                <w:rFonts w:asciiTheme="majorBidi" w:hAnsiTheme="majorBidi" w:cstheme="majorBidi"/>
                <w:sz w:val="18"/>
                <w:szCs w:val="18"/>
                <w:lang w:val="fr-FR"/>
              </w:rPr>
            </w:pPr>
            <w:r w:rsidRPr="00EE4A0C">
              <w:rPr>
                <w:rFonts w:asciiTheme="majorBidi" w:hAnsiTheme="majorBidi" w:cstheme="majorBidi"/>
                <w:sz w:val="18"/>
                <w:szCs w:val="18"/>
                <w:lang w:val="fr-FR"/>
              </w:rPr>
              <w:t>0</w:t>
            </w:r>
          </w:p>
        </w:tc>
        <w:tc>
          <w:tcPr>
            <w:tcW w:w="489" w:type="dxa"/>
            <w:tcBorders>
              <w:top w:val="single" w:sz="4" w:space="0" w:color="auto"/>
              <w:left w:val="single" w:sz="4" w:space="0" w:color="auto"/>
              <w:bottom w:val="single" w:sz="4" w:space="0" w:color="auto"/>
              <w:right w:val="single" w:sz="4" w:space="0" w:color="auto"/>
            </w:tcBorders>
            <w:hideMark/>
          </w:tcPr>
          <w:p w14:paraId="3C0DC13F" w14:textId="77777777" w:rsidR="00C6613C" w:rsidRPr="00EE4A0C" w:rsidRDefault="00C6613C" w:rsidP="00EE4A0C">
            <w:pPr>
              <w:spacing w:before="40" w:after="40" w:line="240" w:lineRule="auto"/>
              <w:ind w:left="57" w:right="57"/>
              <w:jc w:val="center"/>
              <w:rPr>
                <w:rFonts w:asciiTheme="majorBidi" w:hAnsiTheme="majorBidi" w:cstheme="majorBidi"/>
                <w:sz w:val="18"/>
                <w:szCs w:val="18"/>
                <w:lang w:val="fr-FR"/>
              </w:rPr>
            </w:pPr>
            <w:r w:rsidRPr="00EE4A0C">
              <w:rPr>
                <w:rFonts w:asciiTheme="majorBidi" w:hAnsiTheme="majorBidi" w:cstheme="majorBidi"/>
                <w:sz w:val="18"/>
                <w:szCs w:val="18"/>
                <w:lang w:val="fr-FR"/>
              </w:rPr>
              <w:t>E5</w:t>
            </w:r>
          </w:p>
        </w:tc>
        <w:tc>
          <w:tcPr>
            <w:tcW w:w="960" w:type="dxa"/>
            <w:tcBorders>
              <w:top w:val="single" w:sz="4" w:space="0" w:color="auto"/>
              <w:left w:val="single" w:sz="4" w:space="0" w:color="auto"/>
              <w:bottom w:val="single" w:sz="4" w:space="0" w:color="auto"/>
              <w:right w:val="single" w:sz="4" w:space="0" w:color="auto"/>
            </w:tcBorders>
          </w:tcPr>
          <w:p w14:paraId="76BB5A3C" w14:textId="77777777" w:rsidR="00C6613C" w:rsidRPr="00EE4A0C" w:rsidRDefault="00C6613C" w:rsidP="00EE4A0C">
            <w:pPr>
              <w:spacing w:before="40" w:after="40" w:line="240" w:lineRule="auto"/>
              <w:ind w:left="57" w:right="57"/>
              <w:jc w:val="center"/>
              <w:rPr>
                <w:rFonts w:asciiTheme="majorBidi" w:hAnsiTheme="majorBidi" w:cstheme="majorBidi"/>
                <w:strike/>
                <w:sz w:val="18"/>
                <w:szCs w:val="18"/>
                <w:lang w:val="fr-FR"/>
              </w:rPr>
            </w:pPr>
            <w:r w:rsidRPr="00EE4A0C">
              <w:rPr>
                <w:rFonts w:asciiTheme="majorBidi" w:hAnsiTheme="majorBidi" w:cstheme="majorBidi"/>
                <w:sz w:val="18"/>
                <w:szCs w:val="18"/>
                <w:lang w:val="fr-FR"/>
              </w:rPr>
              <w:t>P002</w:t>
            </w:r>
            <w:r w:rsidR="00EE4A0C" w:rsidRPr="00EE4A0C">
              <w:rPr>
                <w:rFonts w:asciiTheme="majorBidi" w:hAnsiTheme="majorBidi" w:cstheme="majorBidi"/>
                <w:sz w:val="18"/>
                <w:szCs w:val="18"/>
                <w:lang w:val="fr-FR"/>
              </w:rPr>
              <w:br/>
            </w:r>
            <w:r w:rsidRPr="00EE4A0C">
              <w:rPr>
                <w:rFonts w:asciiTheme="majorBidi" w:hAnsiTheme="majorBidi" w:cstheme="majorBidi"/>
                <w:sz w:val="18"/>
                <w:szCs w:val="18"/>
                <w:lang w:val="fr-FR"/>
              </w:rPr>
              <w:t>IBC07</w:t>
            </w:r>
          </w:p>
        </w:tc>
        <w:tc>
          <w:tcPr>
            <w:tcW w:w="946" w:type="dxa"/>
            <w:tcBorders>
              <w:top w:val="single" w:sz="4" w:space="0" w:color="auto"/>
              <w:left w:val="single" w:sz="4" w:space="0" w:color="auto"/>
              <w:bottom w:val="single" w:sz="4" w:space="0" w:color="auto"/>
              <w:right w:val="single" w:sz="4" w:space="0" w:color="auto"/>
            </w:tcBorders>
            <w:hideMark/>
          </w:tcPr>
          <w:p w14:paraId="0C81B386" w14:textId="77777777" w:rsidR="00C6613C" w:rsidRPr="00EE4A0C" w:rsidRDefault="00C6613C" w:rsidP="00EE4A0C">
            <w:pPr>
              <w:spacing w:before="40" w:after="40" w:line="240" w:lineRule="auto"/>
              <w:ind w:left="57" w:right="57"/>
              <w:jc w:val="center"/>
              <w:rPr>
                <w:rFonts w:asciiTheme="majorBidi" w:hAnsiTheme="majorBidi" w:cstheme="majorBidi"/>
                <w:sz w:val="18"/>
                <w:szCs w:val="18"/>
                <w:lang w:val="fr-FR"/>
              </w:rPr>
            </w:pPr>
            <w:r w:rsidRPr="00EE4A0C">
              <w:rPr>
                <w:rFonts w:asciiTheme="majorBidi" w:hAnsiTheme="majorBidi" w:cstheme="majorBidi"/>
                <w:sz w:val="18"/>
                <w:szCs w:val="18"/>
                <w:lang w:val="fr-FR"/>
              </w:rPr>
              <w:t>[B1]</w:t>
            </w:r>
            <w:r w:rsidR="00EE4A0C" w:rsidRPr="00EE4A0C">
              <w:rPr>
                <w:rFonts w:asciiTheme="majorBidi" w:hAnsiTheme="majorBidi" w:cstheme="majorBidi"/>
                <w:sz w:val="18"/>
                <w:szCs w:val="18"/>
                <w:lang w:val="fr-FR"/>
              </w:rPr>
              <w:br/>
            </w:r>
            <w:r w:rsidRPr="00EE4A0C">
              <w:rPr>
                <w:rFonts w:asciiTheme="majorBidi" w:hAnsiTheme="majorBidi" w:cstheme="majorBidi"/>
                <w:sz w:val="18"/>
                <w:szCs w:val="18"/>
                <w:lang w:val="fr-FR"/>
              </w:rPr>
              <w:t>Bx</w:t>
            </w:r>
          </w:p>
        </w:tc>
        <w:tc>
          <w:tcPr>
            <w:tcW w:w="1009" w:type="dxa"/>
            <w:tcBorders>
              <w:top w:val="single" w:sz="4" w:space="0" w:color="auto"/>
              <w:left w:val="single" w:sz="4" w:space="0" w:color="auto"/>
              <w:bottom w:val="single" w:sz="4" w:space="0" w:color="auto"/>
              <w:right w:val="single" w:sz="4" w:space="0" w:color="auto"/>
            </w:tcBorders>
            <w:hideMark/>
          </w:tcPr>
          <w:p w14:paraId="66D0DBBE" w14:textId="77777777" w:rsidR="00C6613C" w:rsidRPr="00EE4A0C" w:rsidRDefault="00C6613C" w:rsidP="00EE4A0C">
            <w:pPr>
              <w:spacing w:before="40" w:after="40" w:line="240" w:lineRule="auto"/>
              <w:ind w:left="57" w:right="57"/>
              <w:jc w:val="center"/>
              <w:rPr>
                <w:rFonts w:asciiTheme="majorBidi" w:hAnsiTheme="majorBidi" w:cstheme="majorBidi"/>
                <w:sz w:val="18"/>
                <w:szCs w:val="18"/>
                <w:lang w:val="fr-FR"/>
              </w:rPr>
            </w:pPr>
            <w:r w:rsidRPr="00EE4A0C">
              <w:rPr>
                <w:rFonts w:asciiTheme="majorBidi" w:hAnsiTheme="majorBidi" w:cstheme="majorBidi"/>
                <w:sz w:val="18"/>
                <w:szCs w:val="18"/>
                <w:lang w:val="fr-FR"/>
              </w:rPr>
              <w:t>T6</w:t>
            </w:r>
          </w:p>
        </w:tc>
        <w:tc>
          <w:tcPr>
            <w:tcW w:w="878" w:type="dxa"/>
            <w:tcBorders>
              <w:top w:val="single" w:sz="4" w:space="0" w:color="auto"/>
              <w:left w:val="single" w:sz="4" w:space="0" w:color="auto"/>
              <w:bottom w:val="single" w:sz="4" w:space="0" w:color="auto"/>
              <w:right w:val="single" w:sz="4" w:space="0" w:color="auto"/>
            </w:tcBorders>
            <w:hideMark/>
          </w:tcPr>
          <w:p w14:paraId="758AED79" w14:textId="77777777" w:rsidR="00C6613C" w:rsidRPr="00EE4A0C" w:rsidRDefault="00C6613C" w:rsidP="00EE4A0C">
            <w:pPr>
              <w:spacing w:before="40" w:after="40" w:line="240" w:lineRule="auto"/>
              <w:ind w:left="57" w:right="57"/>
              <w:jc w:val="center"/>
              <w:rPr>
                <w:rFonts w:asciiTheme="majorBidi" w:hAnsiTheme="majorBidi" w:cstheme="majorBidi"/>
                <w:sz w:val="18"/>
                <w:szCs w:val="18"/>
                <w:lang w:val="fr-FR"/>
              </w:rPr>
            </w:pPr>
            <w:r w:rsidRPr="00EE4A0C">
              <w:rPr>
                <w:rFonts w:asciiTheme="majorBidi" w:hAnsiTheme="majorBidi" w:cstheme="majorBidi"/>
                <w:sz w:val="18"/>
                <w:szCs w:val="18"/>
                <w:lang w:val="fr-FR"/>
              </w:rPr>
              <w:t>TP33</w:t>
            </w:r>
          </w:p>
        </w:tc>
      </w:tr>
    </w:tbl>
    <w:p w14:paraId="42252985" w14:textId="77777777" w:rsidR="00C6613C" w:rsidRPr="00084167" w:rsidRDefault="00C6613C" w:rsidP="00C6613C">
      <w:pPr>
        <w:pStyle w:val="H1G"/>
        <w:rPr>
          <w:lang w:val="fr-FR"/>
        </w:rPr>
      </w:pPr>
      <w:bookmarkStart w:id="5" w:name="_Hlk36672422"/>
      <w:r w:rsidRPr="00084167">
        <w:rPr>
          <w:lang w:val="fr-FR"/>
        </w:rPr>
        <w:lastRenderedPageBreak/>
        <w:tab/>
      </w:r>
      <w:r w:rsidRPr="00084167">
        <w:rPr>
          <w:lang w:val="fr-FR"/>
        </w:rPr>
        <w:tab/>
        <w:t xml:space="preserve">Chapitre 3.3 </w:t>
      </w:r>
      <w:r>
        <w:rPr>
          <w:lang w:val="fr-FR"/>
        </w:rPr>
        <w:t>(</w:t>
      </w:r>
      <w:r w:rsidRPr="00084167">
        <w:rPr>
          <w:lang w:val="fr-FR"/>
        </w:rPr>
        <w:t>Dispositions spéciales</w:t>
      </w:r>
      <w:r>
        <w:rPr>
          <w:lang w:val="fr-FR"/>
        </w:rPr>
        <w:t>)</w:t>
      </w:r>
    </w:p>
    <w:p w14:paraId="26B6BC4B" w14:textId="77777777" w:rsidR="00C6613C" w:rsidRDefault="00C6613C" w:rsidP="00C6613C">
      <w:pPr>
        <w:pStyle w:val="SingleTxtG"/>
        <w:rPr>
          <w:lang w:val="fr-FR"/>
        </w:rPr>
      </w:pPr>
      <w:r w:rsidRPr="00084167">
        <w:rPr>
          <w:lang w:val="fr-FR"/>
        </w:rPr>
        <w:t>20.</w:t>
      </w:r>
      <w:r w:rsidRPr="00084167">
        <w:rPr>
          <w:lang w:val="fr-FR"/>
        </w:rPr>
        <w:tab/>
        <w:t xml:space="preserve">Ajouter une nouvelle disposition spéciale apportant les précisions suivantes sur les matières </w:t>
      </w:r>
      <w:r>
        <w:rPr>
          <w:lang w:val="fr-FR"/>
        </w:rPr>
        <w:t xml:space="preserve">ayant une teneur en </w:t>
      </w:r>
      <w:r w:rsidRPr="00084167">
        <w:rPr>
          <w:lang w:val="fr-FR"/>
        </w:rPr>
        <w:t xml:space="preserve">particules respirables </w:t>
      </w:r>
      <w:r>
        <w:rPr>
          <w:lang w:val="fr-FR"/>
        </w:rPr>
        <w:t xml:space="preserve">inférieure à </w:t>
      </w:r>
      <w:r w:rsidRPr="00F70925">
        <w:rPr>
          <w:lang w:val="fr-FR"/>
        </w:rPr>
        <w:t>10 %</w:t>
      </w:r>
      <w:r>
        <w:rPr>
          <w:lang w:val="fr-FR"/>
        </w:rPr>
        <w:t> :</w:t>
      </w:r>
    </w:p>
    <w:p w14:paraId="4B624F14" w14:textId="77777777" w:rsidR="00C6613C" w:rsidRPr="00084167" w:rsidRDefault="00C6613C" w:rsidP="00C6613C">
      <w:pPr>
        <w:pStyle w:val="SingleTxtG"/>
        <w:ind w:left="1701"/>
        <w:rPr>
          <w:lang w:val="fr-FR"/>
        </w:rPr>
      </w:pPr>
      <w:r w:rsidRPr="00084167">
        <w:rPr>
          <w:lang w:val="fr-FR"/>
        </w:rPr>
        <w:t>«</w:t>
      </w:r>
      <w:r>
        <w:rPr>
          <w:lang w:val="fr-FR"/>
        </w:rPr>
        <w:t> </w:t>
      </w:r>
      <w:r w:rsidRPr="00084167">
        <w:rPr>
          <w:lang w:val="fr-FR"/>
        </w:rPr>
        <w:t>XXX</w:t>
      </w:r>
      <w:r w:rsidRPr="00084167">
        <w:rPr>
          <w:lang w:val="fr-FR"/>
        </w:rPr>
        <w:tab/>
        <w:t xml:space="preserve">Les solides </w:t>
      </w:r>
      <w:r>
        <w:rPr>
          <w:lang w:val="fr-FR"/>
        </w:rPr>
        <w:t xml:space="preserve">ayant une teneur en </w:t>
      </w:r>
      <w:r w:rsidRPr="00084167">
        <w:rPr>
          <w:lang w:val="fr-FR"/>
        </w:rPr>
        <w:t xml:space="preserve">particules respirables </w:t>
      </w:r>
      <w:r>
        <w:rPr>
          <w:lang w:val="fr-FR"/>
        </w:rPr>
        <w:t xml:space="preserve">inférieure à </w:t>
      </w:r>
      <w:r w:rsidRPr="00F70925">
        <w:rPr>
          <w:lang w:val="fr-FR"/>
        </w:rPr>
        <w:t xml:space="preserve">10 % </w:t>
      </w:r>
      <w:r>
        <w:rPr>
          <w:lang w:val="fr-FR"/>
        </w:rPr>
        <w:t>ne relèvent</w:t>
      </w:r>
      <w:r w:rsidRPr="00084167">
        <w:rPr>
          <w:lang w:val="fr-FR"/>
        </w:rPr>
        <w:t xml:space="preserve"> pas </w:t>
      </w:r>
      <w:r>
        <w:rPr>
          <w:lang w:val="fr-FR"/>
        </w:rPr>
        <w:t xml:space="preserve">de </w:t>
      </w:r>
      <w:r w:rsidRPr="00084167">
        <w:rPr>
          <w:lang w:val="fr-FR"/>
        </w:rPr>
        <w:t xml:space="preserve">la </w:t>
      </w:r>
      <w:r>
        <w:rPr>
          <w:lang w:val="fr-FR"/>
        </w:rPr>
        <w:t>division</w:t>
      </w:r>
      <w:r w:rsidRPr="00084167">
        <w:rPr>
          <w:lang w:val="fr-FR"/>
        </w:rPr>
        <w:t xml:space="preserve"> 6.1, et continueront d</w:t>
      </w:r>
      <w:r>
        <w:rPr>
          <w:lang w:val="fr-FR"/>
        </w:rPr>
        <w:t>’</w:t>
      </w:r>
      <w:r w:rsidRPr="00084167">
        <w:rPr>
          <w:lang w:val="fr-FR"/>
        </w:rPr>
        <w:t xml:space="preserve">être transportés </w:t>
      </w:r>
      <w:r>
        <w:rPr>
          <w:lang w:val="fr-FR"/>
        </w:rPr>
        <w:t xml:space="preserve">en tant que matière de la </w:t>
      </w:r>
      <w:r w:rsidRPr="00824AEF">
        <w:rPr>
          <w:lang w:val="fr-FR"/>
        </w:rPr>
        <w:t>classe 9</w:t>
      </w:r>
      <w:r>
        <w:rPr>
          <w:lang w:val="fr-FR"/>
        </w:rPr>
        <w:t xml:space="preserve"> et du </w:t>
      </w:r>
      <w:r w:rsidRPr="00824AEF">
        <w:rPr>
          <w:lang w:val="fr-FR"/>
        </w:rPr>
        <w:t>groupe d</w:t>
      </w:r>
      <w:r>
        <w:rPr>
          <w:lang w:val="fr-FR"/>
        </w:rPr>
        <w:t>’</w:t>
      </w:r>
      <w:r w:rsidRPr="00824AEF">
        <w:rPr>
          <w:lang w:val="fr-FR"/>
        </w:rPr>
        <w:t xml:space="preserve">emballage III, </w:t>
      </w:r>
      <w:r w:rsidRPr="00084167">
        <w:rPr>
          <w:lang w:val="fr-FR"/>
        </w:rPr>
        <w:t>sous le No ONU 3077 MATIÈRE DANGEREUSE DU POINT DE VUE DE L</w:t>
      </w:r>
      <w:r>
        <w:rPr>
          <w:lang w:val="fr-FR"/>
        </w:rPr>
        <w:t>’</w:t>
      </w:r>
      <w:r w:rsidRPr="00084167">
        <w:rPr>
          <w:lang w:val="fr-FR"/>
        </w:rPr>
        <w:t>ENVIRONNEMENT, SOLIDE, N.S.A. (contient du dihydroxyde de cobalt). ».</w:t>
      </w:r>
    </w:p>
    <w:p w14:paraId="15809732" w14:textId="77777777" w:rsidR="00C6613C" w:rsidRPr="00084167" w:rsidRDefault="00C6613C" w:rsidP="00C6613C">
      <w:pPr>
        <w:pStyle w:val="H1G"/>
        <w:rPr>
          <w:lang w:val="fr-FR"/>
        </w:rPr>
      </w:pPr>
      <w:r w:rsidRPr="00084167">
        <w:rPr>
          <w:lang w:val="fr-FR"/>
        </w:rPr>
        <w:tab/>
      </w:r>
      <w:r w:rsidRPr="00084167">
        <w:rPr>
          <w:lang w:val="fr-FR"/>
        </w:rPr>
        <w:tab/>
      </w:r>
      <w:r>
        <w:rPr>
          <w:lang w:val="fr-FR"/>
        </w:rPr>
        <w:t>Section</w:t>
      </w:r>
      <w:r w:rsidRPr="00084167">
        <w:rPr>
          <w:lang w:val="fr-FR"/>
        </w:rPr>
        <w:t xml:space="preserve"> 4.1.4 </w:t>
      </w:r>
      <w:r>
        <w:rPr>
          <w:lang w:val="fr-FR"/>
        </w:rPr>
        <w:t>(Liste des i</w:t>
      </w:r>
      <w:r w:rsidRPr="00084167">
        <w:rPr>
          <w:lang w:val="fr-FR"/>
        </w:rPr>
        <w:t>nstructions d</w:t>
      </w:r>
      <w:r>
        <w:rPr>
          <w:lang w:val="fr-FR"/>
        </w:rPr>
        <w:t>’</w:t>
      </w:r>
      <w:r w:rsidRPr="00084167">
        <w:rPr>
          <w:lang w:val="fr-FR"/>
        </w:rPr>
        <w:t>emballage</w:t>
      </w:r>
      <w:r>
        <w:rPr>
          <w:lang w:val="fr-FR"/>
        </w:rPr>
        <w:t>)</w:t>
      </w:r>
    </w:p>
    <w:p w14:paraId="01352658" w14:textId="77777777" w:rsidR="00C6613C" w:rsidRPr="00EE4A0C" w:rsidRDefault="00C6613C" w:rsidP="00C6613C">
      <w:pPr>
        <w:pStyle w:val="SingleTxtG"/>
        <w:ind w:left="2268" w:hanging="1134"/>
        <w:rPr>
          <w:lang w:val="fr-FR"/>
        </w:rPr>
      </w:pPr>
      <w:r w:rsidRPr="00084167">
        <w:rPr>
          <w:lang w:val="fr-FR"/>
        </w:rPr>
        <w:t>4.1.4.2</w:t>
      </w:r>
      <w:r w:rsidRPr="00084167">
        <w:rPr>
          <w:lang w:val="fr-FR"/>
        </w:rPr>
        <w:tab/>
        <w:t xml:space="preserve">Pour </w:t>
      </w:r>
      <w:r>
        <w:rPr>
          <w:lang w:val="fr-FR"/>
        </w:rPr>
        <w:t>l’instruction d’emballage</w:t>
      </w:r>
      <w:r w:rsidRPr="00084167">
        <w:rPr>
          <w:lang w:val="fr-FR"/>
        </w:rPr>
        <w:t xml:space="preserve"> </w:t>
      </w:r>
      <w:r>
        <w:rPr>
          <w:lang w:val="fr-FR"/>
        </w:rPr>
        <w:t>IBC</w:t>
      </w:r>
      <w:r w:rsidRPr="00084167">
        <w:rPr>
          <w:lang w:val="fr-FR"/>
        </w:rPr>
        <w:t xml:space="preserve">07, </w:t>
      </w:r>
      <w:r>
        <w:rPr>
          <w:lang w:val="fr-FR"/>
        </w:rPr>
        <w:t>ajouter</w:t>
      </w:r>
      <w:r w:rsidRPr="00084167">
        <w:rPr>
          <w:lang w:val="fr-FR"/>
        </w:rPr>
        <w:t xml:space="preserve"> une disposition spéciale </w:t>
      </w:r>
      <w:r w:rsidRPr="00EE4A0C">
        <w:rPr>
          <w:lang w:val="fr-FR"/>
        </w:rPr>
        <w:t>d’emballage « Bx » libellée comme suit :</w:t>
      </w:r>
    </w:p>
    <w:p w14:paraId="6F0CB4E3" w14:textId="77777777" w:rsidR="00C6613C" w:rsidRPr="00EE4A0C" w:rsidRDefault="00C6613C" w:rsidP="00C6613C">
      <w:pPr>
        <w:pStyle w:val="SingleTxtG"/>
        <w:tabs>
          <w:tab w:val="left" w:pos="2268"/>
        </w:tabs>
        <w:spacing w:before="120" w:line="240" w:lineRule="auto"/>
        <w:ind w:left="2268"/>
        <w:rPr>
          <w:lang w:val="fr-FR"/>
        </w:rPr>
      </w:pPr>
      <w:r w:rsidRPr="00EE4A0C">
        <w:rPr>
          <w:lang w:val="fr-FR"/>
        </w:rPr>
        <w:t>« </w:t>
      </w:r>
      <w:r w:rsidRPr="00EE4A0C">
        <w:rPr>
          <w:b/>
          <w:bCs/>
          <w:lang w:val="fr-FR"/>
        </w:rPr>
        <w:t>Bx</w:t>
      </w:r>
      <w:r w:rsidR="00EE4A0C">
        <w:rPr>
          <w:b/>
          <w:bCs/>
          <w:lang w:val="fr-FR"/>
        </w:rPr>
        <w:tab/>
      </w:r>
      <w:r w:rsidRPr="00EE4A0C">
        <w:rPr>
          <w:lang w:val="fr-FR"/>
        </w:rPr>
        <w:t>Le No ONU 35XX peut être transporté dans des GRV souples doublés du type 13H3 ou 13H4. »</w:t>
      </w:r>
      <w:r w:rsidR="00EE4A0C">
        <w:rPr>
          <w:lang w:val="fr-FR"/>
        </w:rPr>
        <w:t>.</w:t>
      </w:r>
    </w:p>
    <w:p w14:paraId="55846E23" w14:textId="77777777" w:rsidR="00C6613C" w:rsidRDefault="00C6613C" w:rsidP="00C6613C">
      <w:pPr>
        <w:pStyle w:val="SingleTxtG"/>
        <w:rPr>
          <w:lang w:val="fr-FR"/>
        </w:rPr>
      </w:pPr>
      <w:r w:rsidRPr="00084167">
        <w:rPr>
          <w:lang w:val="fr-FR"/>
        </w:rPr>
        <w:t>21.</w:t>
      </w:r>
      <w:r w:rsidRPr="00084167">
        <w:rPr>
          <w:lang w:val="fr-FR"/>
        </w:rPr>
        <w:tab/>
        <w:t>Dans le chapitre 3.2, B1 est placé entre crochets car c</w:t>
      </w:r>
      <w:r>
        <w:rPr>
          <w:lang w:val="fr-FR"/>
        </w:rPr>
        <w:t>’</w:t>
      </w:r>
      <w:r w:rsidRPr="00084167">
        <w:rPr>
          <w:lang w:val="fr-FR"/>
        </w:rPr>
        <w:t>est au Sous-Comité qu</w:t>
      </w:r>
      <w:r>
        <w:rPr>
          <w:lang w:val="fr-FR"/>
        </w:rPr>
        <w:t>’</w:t>
      </w:r>
      <w:r w:rsidRPr="00084167">
        <w:rPr>
          <w:lang w:val="fr-FR"/>
        </w:rPr>
        <w:t>il revient de décider d</w:t>
      </w:r>
      <w:r>
        <w:rPr>
          <w:lang w:val="fr-FR"/>
        </w:rPr>
        <w:t>’</w:t>
      </w:r>
      <w:r w:rsidRPr="00084167">
        <w:rPr>
          <w:lang w:val="fr-FR"/>
        </w:rPr>
        <w:t xml:space="preserve">utiliser ou non cette disposition, compte tenu des propriétés et des caractéristiques physiques </w:t>
      </w:r>
      <w:r>
        <w:rPr>
          <w:lang w:val="fr-FR"/>
        </w:rPr>
        <w:t>de</w:t>
      </w:r>
      <w:r w:rsidRPr="00084167">
        <w:rPr>
          <w:lang w:val="fr-FR"/>
        </w:rPr>
        <w:t xml:space="preserve"> la matière, de son </w:t>
      </w:r>
      <w:r>
        <w:rPr>
          <w:lang w:val="fr-FR"/>
        </w:rPr>
        <w:t>transport dans des récipients du</w:t>
      </w:r>
      <w:r w:rsidRPr="00084167">
        <w:rPr>
          <w:lang w:val="fr-FR"/>
        </w:rPr>
        <w:t xml:space="preserve"> type 13H3 ou 13H4 (GRV souple avec doublure ayant </w:t>
      </w:r>
      <w:r w:rsidRPr="008634B2">
        <w:rPr>
          <w:lang w:val="fr-FR"/>
        </w:rPr>
        <w:t>satisfait au niveau d</w:t>
      </w:r>
      <w:r>
        <w:rPr>
          <w:lang w:val="fr-FR"/>
        </w:rPr>
        <w:t>’</w:t>
      </w:r>
      <w:r w:rsidRPr="008634B2">
        <w:rPr>
          <w:lang w:val="fr-FR"/>
        </w:rPr>
        <w:t>épreuve du groupe d</w:t>
      </w:r>
      <w:r>
        <w:rPr>
          <w:lang w:val="fr-FR"/>
        </w:rPr>
        <w:t>’</w:t>
      </w:r>
      <w:r w:rsidRPr="008634B2">
        <w:rPr>
          <w:lang w:val="fr-FR"/>
        </w:rPr>
        <w:t>emballage</w:t>
      </w:r>
      <w:r w:rsidRPr="008634B2" w:rsidDel="008634B2">
        <w:rPr>
          <w:lang w:val="fr-FR"/>
        </w:rPr>
        <w:t xml:space="preserve"> </w:t>
      </w:r>
      <w:r w:rsidRPr="00084167">
        <w:rPr>
          <w:lang w:val="fr-FR"/>
        </w:rPr>
        <w:t>I) et du fait avéré qu</w:t>
      </w:r>
      <w:r>
        <w:rPr>
          <w:lang w:val="fr-FR"/>
        </w:rPr>
        <w:t>’</w:t>
      </w:r>
      <w:r w:rsidRPr="00084167">
        <w:rPr>
          <w:lang w:val="fr-FR"/>
        </w:rPr>
        <w:t xml:space="preserve">elle a été transportée sans risque pendant plus de quarante ans dans des sacs non doublés du </w:t>
      </w:r>
      <w:r>
        <w:rPr>
          <w:lang w:val="fr-FR"/>
        </w:rPr>
        <w:t>groupe d’emballage</w:t>
      </w:r>
      <w:r w:rsidRPr="00084167">
        <w:rPr>
          <w:lang w:val="fr-FR"/>
        </w:rPr>
        <w:t xml:space="preserve"> III sans qu</w:t>
      </w:r>
      <w:r>
        <w:rPr>
          <w:lang w:val="fr-FR"/>
        </w:rPr>
        <w:t>’</w:t>
      </w:r>
      <w:r w:rsidRPr="00084167">
        <w:rPr>
          <w:lang w:val="fr-FR"/>
        </w:rPr>
        <w:t>aucun problème de sécurité ni de santé n</w:t>
      </w:r>
      <w:r>
        <w:rPr>
          <w:lang w:val="fr-FR"/>
        </w:rPr>
        <w:t>’</w:t>
      </w:r>
      <w:r w:rsidRPr="00084167">
        <w:rPr>
          <w:lang w:val="fr-FR"/>
        </w:rPr>
        <w:t>ait été signalé.</w:t>
      </w:r>
    </w:p>
    <w:p w14:paraId="54821BE4" w14:textId="77777777" w:rsidR="00C6613C" w:rsidRPr="00696346" w:rsidRDefault="00C6613C" w:rsidP="00C6613C">
      <w:pPr>
        <w:pStyle w:val="SingleTxtG"/>
        <w:rPr>
          <w:i/>
          <w:iCs/>
          <w:spacing w:val="-2"/>
          <w:lang w:val="fr-FR"/>
        </w:rPr>
      </w:pPr>
      <w:r w:rsidRPr="00696346">
        <w:rPr>
          <w:i/>
          <w:iCs/>
          <w:spacing w:val="-2"/>
          <w:lang w:val="fr-FR"/>
        </w:rPr>
        <w:t>Note : La disposition spéciale B1 n’est pas attribuée dans l’ADR, et le transport de petites quantités dans de grands récipients n’est pas une solution durable, pratique ou économique.</w:t>
      </w:r>
    </w:p>
    <w:p w14:paraId="1E74D83D" w14:textId="77777777" w:rsidR="00C6613C" w:rsidRPr="00084167" w:rsidRDefault="00C6613C" w:rsidP="00C6613C">
      <w:pPr>
        <w:pStyle w:val="H1G"/>
        <w:rPr>
          <w:lang w:val="fr-FR"/>
        </w:rPr>
      </w:pPr>
      <w:r w:rsidRPr="00084167">
        <w:rPr>
          <w:lang w:val="fr-FR"/>
        </w:rPr>
        <w:tab/>
      </w:r>
      <w:r w:rsidRPr="00084167">
        <w:rPr>
          <w:lang w:val="fr-FR"/>
        </w:rPr>
        <w:tab/>
        <w:t>Principes directeurs</w:t>
      </w:r>
    </w:p>
    <w:p w14:paraId="039870E8" w14:textId="77777777" w:rsidR="00C6613C" w:rsidRPr="00084167" w:rsidRDefault="00C6613C" w:rsidP="00C6613C">
      <w:pPr>
        <w:pStyle w:val="SingleTxtG"/>
        <w:rPr>
          <w:lang w:val="fr-FR"/>
        </w:rPr>
      </w:pPr>
      <w:r w:rsidRPr="00084167">
        <w:rPr>
          <w:lang w:val="fr-FR"/>
        </w:rPr>
        <w:t>22.</w:t>
      </w:r>
      <w:r w:rsidRPr="00084167">
        <w:rPr>
          <w:lang w:val="fr-FR"/>
        </w:rPr>
        <w:tab/>
        <w:t xml:space="preserve">Il est proposé </w:t>
      </w:r>
      <w:r>
        <w:rPr>
          <w:lang w:val="fr-FR"/>
        </w:rPr>
        <w:t>de modifier</w:t>
      </w:r>
      <w:r w:rsidRPr="00084167">
        <w:rPr>
          <w:lang w:val="fr-FR"/>
        </w:rPr>
        <w:t xml:space="preserve"> les parties 2 et 4.2 des Principes directeurs </w:t>
      </w:r>
      <w:r>
        <w:rPr>
          <w:lang w:val="fr-FR"/>
        </w:rPr>
        <w:t>comme suit :</w:t>
      </w:r>
    </w:p>
    <w:p w14:paraId="0A303878" w14:textId="77777777" w:rsidR="00C6613C" w:rsidRPr="00084167" w:rsidRDefault="00C6613C" w:rsidP="00C6613C">
      <w:pPr>
        <w:pStyle w:val="H23G"/>
        <w:rPr>
          <w:lang w:val="fr-FR"/>
        </w:rPr>
      </w:pPr>
      <w:r w:rsidRPr="00084167">
        <w:rPr>
          <w:lang w:val="fr-FR"/>
        </w:rPr>
        <w:tab/>
      </w:r>
      <w:r w:rsidRPr="00084167">
        <w:rPr>
          <w:lang w:val="fr-FR"/>
        </w:rPr>
        <w:tab/>
        <w:t>Partie 2</w:t>
      </w:r>
    </w:p>
    <w:p w14:paraId="76F3124E" w14:textId="77777777" w:rsidR="00C6613C" w:rsidRDefault="00C6613C" w:rsidP="00C6613C">
      <w:pPr>
        <w:pStyle w:val="SingleTxtG"/>
        <w:rPr>
          <w:lang w:val="fr-FR"/>
        </w:rPr>
      </w:pPr>
      <w:r w:rsidRPr="00084167">
        <w:rPr>
          <w:lang w:val="fr-FR"/>
        </w:rPr>
        <w:t>23.</w:t>
      </w:r>
      <w:r w:rsidRPr="00084167">
        <w:rPr>
          <w:lang w:val="fr-FR"/>
        </w:rPr>
        <w:tab/>
        <w:t>Il est proposé d</w:t>
      </w:r>
      <w:r>
        <w:rPr>
          <w:lang w:val="fr-FR"/>
        </w:rPr>
        <w:t>’</w:t>
      </w:r>
      <w:r w:rsidRPr="00084167">
        <w:rPr>
          <w:lang w:val="fr-FR"/>
        </w:rPr>
        <w:t xml:space="preserve">ajouter le nouveau libellé suivant à la fin de la partie 2, afin </w:t>
      </w:r>
      <w:r>
        <w:rPr>
          <w:lang w:val="fr-FR"/>
        </w:rPr>
        <w:t>d’éclairer</w:t>
      </w:r>
      <w:r w:rsidRPr="00084167">
        <w:rPr>
          <w:lang w:val="fr-FR"/>
        </w:rPr>
        <w:t xml:space="preserve"> et d</w:t>
      </w:r>
      <w:r>
        <w:rPr>
          <w:lang w:val="fr-FR"/>
        </w:rPr>
        <w:t>’</w:t>
      </w:r>
      <w:r w:rsidRPr="00084167">
        <w:rPr>
          <w:lang w:val="fr-FR"/>
        </w:rPr>
        <w:t>orienter les futures questions d</w:t>
      </w:r>
      <w:r>
        <w:rPr>
          <w:lang w:val="fr-FR"/>
        </w:rPr>
        <w:t>’</w:t>
      </w:r>
      <w:r w:rsidRPr="00084167">
        <w:rPr>
          <w:lang w:val="fr-FR"/>
        </w:rPr>
        <w:t>affectation des emballages découlant du renforcement de l</w:t>
      </w:r>
      <w:r>
        <w:rPr>
          <w:lang w:val="fr-FR"/>
        </w:rPr>
        <w:t>’</w:t>
      </w:r>
      <w:r w:rsidRPr="00084167">
        <w:rPr>
          <w:lang w:val="fr-FR"/>
        </w:rPr>
        <w:t>harmonisation avec le SGH</w:t>
      </w:r>
      <w:r>
        <w:rPr>
          <w:lang w:val="fr-FR"/>
        </w:rPr>
        <w:t> :</w:t>
      </w:r>
    </w:p>
    <w:p w14:paraId="66123BCF" w14:textId="77777777" w:rsidR="00C6613C" w:rsidRPr="00C6613C" w:rsidRDefault="00C6613C" w:rsidP="00C6613C">
      <w:pPr>
        <w:pStyle w:val="SingleTxtG"/>
        <w:ind w:left="1701"/>
        <w:rPr>
          <w:lang w:val="en-US"/>
        </w:rPr>
      </w:pPr>
      <w:r>
        <w:rPr>
          <w:lang w:val="fr-FR"/>
        </w:rPr>
        <w:t>« </w:t>
      </w:r>
      <w:r w:rsidRPr="00C6613C">
        <w:rPr>
          <w:lang w:val="en-US"/>
        </w:rPr>
        <w:t>The basis of the classifications described above used testing methods and criteria appropriate to the period when they were developed. However, with the emergence of GHS and other chemical registrations such as REACH, new test methods and methods of assessment may result in the reclassification of certain substances.</w:t>
      </w:r>
    </w:p>
    <w:p w14:paraId="648D6F9B" w14:textId="77777777" w:rsidR="00C6613C" w:rsidRPr="00C6613C" w:rsidRDefault="00C6613C" w:rsidP="00C6613C">
      <w:pPr>
        <w:pStyle w:val="SingleTxtG"/>
        <w:ind w:left="1701"/>
        <w:rPr>
          <w:lang w:val="en-US"/>
        </w:rPr>
      </w:pPr>
      <w:r w:rsidRPr="00C6613C">
        <w:rPr>
          <w:lang w:val="en-US"/>
        </w:rPr>
        <w:t>When such evidence is presented to the Sub-Committee, they may decide that the existing entry provides sufficient safety in transport and that no material change is required (an SP may be added to the entry to acknowledge the alternative data and confirm the DG list entry).</w:t>
      </w:r>
    </w:p>
    <w:p w14:paraId="20FF6D5E" w14:textId="77777777" w:rsidR="00C6613C" w:rsidRDefault="00C6613C" w:rsidP="00C6613C">
      <w:pPr>
        <w:pStyle w:val="SingleTxtG"/>
        <w:ind w:left="1701"/>
        <w:rPr>
          <w:lang w:val="fr-FR"/>
        </w:rPr>
      </w:pPr>
      <w:r w:rsidRPr="00C6613C">
        <w:rPr>
          <w:lang w:val="en-US"/>
        </w:rPr>
        <w:t>Where the Sub-Committee agree that a new or amended entry is appropriate, then the Sub-Committee may take into account previous experience with the packing and transport safety record for that substance. Such considerations may result in the allocation of packaging, IBC and tank instructions not strictly in accordance with Part 4 of these Guiding Principles.</w:t>
      </w:r>
      <w:r>
        <w:t> »</w:t>
      </w:r>
      <w:r w:rsidRPr="00B4378B">
        <w:t>.</w:t>
      </w:r>
    </w:p>
    <w:p w14:paraId="021383BF" w14:textId="77777777" w:rsidR="00C6613C" w:rsidRDefault="00C6613C" w:rsidP="00C6613C">
      <w:pPr>
        <w:pStyle w:val="SingleTxtG"/>
        <w:ind w:left="1701"/>
        <w:rPr>
          <w:lang w:val="fr-FR"/>
        </w:rPr>
      </w:pPr>
      <w:r>
        <w:rPr>
          <w:lang w:val="fr-FR"/>
        </w:rPr>
        <w:t>(</w:t>
      </w:r>
      <w:r w:rsidRPr="00084167">
        <w:rPr>
          <w:lang w:val="fr-FR"/>
        </w:rPr>
        <w:t>Les classifications décrites ci-dessus sont fondées sur les critères et les méthodes d</w:t>
      </w:r>
      <w:r>
        <w:rPr>
          <w:lang w:val="fr-FR"/>
        </w:rPr>
        <w:t>’</w:t>
      </w:r>
      <w:r w:rsidRPr="00084167">
        <w:rPr>
          <w:lang w:val="fr-FR"/>
        </w:rPr>
        <w:t>essai correspondant à la période à laquelle elles ont été élaborées. Toutefois, avec l</w:t>
      </w:r>
      <w:r>
        <w:rPr>
          <w:lang w:val="fr-FR"/>
        </w:rPr>
        <w:t>’</w:t>
      </w:r>
      <w:r w:rsidRPr="00084167">
        <w:rPr>
          <w:lang w:val="fr-FR"/>
        </w:rPr>
        <w:t>apparition du SGH et d</w:t>
      </w:r>
      <w:r>
        <w:rPr>
          <w:lang w:val="fr-FR"/>
        </w:rPr>
        <w:t>’</w:t>
      </w:r>
      <w:r w:rsidRPr="00084167">
        <w:rPr>
          <w:lang w:val="fr-FR"/>
        </w:rPr>
        <w:t>autres règlements relatifs à l</w:t>
      </w:r>
      <w:r>
        <w:rPr>
          <w:lang w:val="fr-FR"/>
        </w:rPr>
        <w:t>’</w:t>
      </w:r>
      <w:r w:rsidRPr="00084167">
        <w:rPr>
          <w:lang w:val="fr-FR"/>
        </w:rPr>
        <w:t xml:space="preserve">enregistrement des produits chimiques, comme REACH, </w:t>
      </w:r>
      <w:r>
        <w:rPr>
          <w:lang w:val="fr-FR"/>
        </w:rPr>
        <w:t>de</w:t>
      </w:r>
      <w:r w:rsidRPr="00084167">
        <w:rPr>
          <w:lang w:val="fr-FR"/>
        </w:rPr>
        <w:t xml:space="preserve"> nouvelles méthodes d</w:t>
      </w:r>
      <w:r>
        <w:rPr>
          <w:lang w:val="fr-FR"/>
        </w:rPr>
        <w:t>’</w:t>
      </w:r>
      <w:r w:rsidRPr="00084167">
        <w:rPr>
          <w:lang w:val="fr-FR"/>
        </w:rPr>
        <w:t>essai et d</w:t>
      </w:r>
      <w:r>
        <w:rPr>
          <w:lang w:val="fr-FR"/>
        </w:rPr>
        <w:t>’</w:t>
      </w:r>
      <w:r w:rsidRPr="00084167">
        <w:rPr>
          <w:lang w:val="fr-FR"/>
        </w:rPr>
        <w:t>évaluation peuvent aboutir à la reclassification de certaines matières.</w:t>
      </w:r>
    </w:p>
    <w:p w14:paraId="41B1ECA3" w14:textId="77777777" w:rsidR="00C6613C" w:rsidRPr="00084167" w:rsidRDefault="00C6613C" w:rsidP="00C6613C">
      <w:pPr>
        <w:pStyle w:val="SingleTxtG"/>
        <w:ind w:left="1701"/>
        <w:rPr>
          <w:lang w:val="fr-FR"/>
        </w:rPr>
      </w:pPr>
      <w:r w:rsidRPr="00084167">
        <w:rPr>
          <w:lang w:val="fr-FR"/>
        </w:rPr>
        <w:lastRenderedPageBreak/>
        <w:t>Lorsque le Sous-Comité prend connaissance de telles informations, il peut décider que la rubrique actuelle offre une sécurité suffisante en matière de transport et qu</w:t>
      </w:r>
      <w:r>
        <w:rPr>
          <w:lang w:val="fr-FR"/>
        </w:rPr>
        <w:t>’</w:t>
      </w:r>
      <w:r w:rsidRPr="00084167">
        <w:rPr>
          <w:lang w:val="fr-FR"/>
        </w:rPr>
        <w:t>aucun changement important n</w:t>
      </w:r>
      <w:r>
        <w:rPr>
          <w:lang w:val="fr-FR"/>
        </w:rPr>
        <w:t>’</w:t>
      </w:r>
      <w:r w:rsidRPr="00084167">
        <w:rPr>
          <w:lang w:val="fr-FR"/>
        </w:rPr>
        <w:t xml:space="preserve">est nécessaire (une disposition spéciale peut être ajoutée à la rubrique pour prendre en compte les nouvelles données et confirmer </w:t>
      </w:r>
      <w:r>
        <w:rPr>
          <w:lang w:val="fr-FR"/>
        </w:rPr>
        <w:t>l’affectation</w:t>
      </w:r>
      <w:r w:rsidRPr="00084167">
        <w:rPr>
          <w:lang w:val="fr-FR"/>
        </w:rPr>
        <w:t xml:space="preserve"> de la matière </w:t>
      </w:r>
      <w:r>
        <w:rPr>
          <w:lang w:val="fr-FR"/>
        </w:rPr>
        <w:t xml:space="preserve">concernée à </w:t>
      </w:r>
      <w:r w:rsidRPr="00084167">
        <w:rPr>
          <w:lang w:val="fr-FR"/>
        </w:rPr>
        <w:t xml:space="preserve">la rubrique </w:t>
      </w:r>
      <w:r>
        <w:rPr>
          <w:lang w:val="fr-FR"/>
        </w:rPr>
        <w:t>en question</w:t>
      </w:r>
      <w:r w:rsidRPr="00084167">
        <w:rPr>
          <w:lang w:val="fr-FR"/>
        </w:rPr>
        <w:t>).</w:t>
      </w:r>
    </w:p>
    <w:p w14:paraId="61CFF02C" w14:textId="77777777" w:rsidR="00C6613C" w:rsidRPr="00084167" w:rsidRDefault="00C6613C" w:rsidP="00C6613C">
      <w:pPr>
        <w:pStyle w:val="SingleTxtG"/>
        <w:ind w:left="1701"/>
        <w:rPr>
          <w:lang w:val="fr-FR"/>
        </w:rPr>
      </w:pPr>
      <w:r w:rsidRPr="00084167">
        <w:rPr>
          <w:lang w:val="fr-FR"/>
        </w:rPr>
        <w:t>Si le Sous-Comité estime qu</w:t>
      </w:r>
      <w:r>
        <w:rPr>
          <w:lang w:val="fr-FR"/>
        </w:rPr>
        <w:t>’</w:t>
      </w:r>
      <w:r w:rsidRPr="00084167">
        <w:rPr>
          <w:lang w:val="fr-FR"/>
        </w:rPr>
        <w:t>il convient d</w:t>
      </w:r>
      <w:r>
        <w:rPr>
          <w:lang w:val="fr-FR"/>
        </w:rPr>
        <w:t>’</w:t>
      </w:r>
      <w:r w:rsidRPr="00084167">
        <w:rPr>
          <w:lang w:val="fr-FR"/>
        </w:rPr>
        <w:t xml:space="preserve">ajouter une rubrique ou de modifier une rubrique existante, il peut alors prendre en compte les informations </w:t>
      </w:r>
      <w:r w:rsidRPr="00F157D8">
        <w:rPr>
          <w:lang w:val="fr-FR"/>
        </w:rPr>
        <w:t xml:space="preserve">acquises au fil du temps </w:t>
      </w:r>
      <w:r w:rsidRPr="00084167">
        <w:rPr>
          <w:lang w:val="fr-FR"/>
        </w:rPr>
        <w:t>concernant la sécurité de l</w:t>
      </w:r>
      <w:r>
        <w:rPr>
          <w:lang w:val="fr-FR"/>
        </w:rPr>
        <w:t>’</w:t>
      </w:r>
      <w:r w:rsidRPr="00084167">
        <w:rPr>
          <w:lang w:val="fr-FR"/>
        </w:rPr>
        <w:t>emballage et du transport de cette matière. Ces éléments peuvent aboutir à l</w:t>
      </w:r>
      <w:r>
        <w:rPr>
          <w:lang w:val="fr-FR"/>
        </w:rPr>
        <w:t>’</w:t>
      </w:r>
      <w:r w:rsidRPr="00084167">
        <w:rPr>
          <w:lang w:val="fr-FR"/>
        </w:rPr>
        <w:t xml:space="preserve">affectation </w:t>
      </w:r>
      <w:r>
        <w:rPr>
          <w:lang w:val="fr-FR"/>
        </w:rPr>
        <w:t>d’</w:t>
      </w:r>
      <w:r w:rsidRPr="00084167">
        <w:rPr>
          <w:lang w:val="fr-FR"/>
        </w:rPr>
        <w:t>instructions relatives à l</w:t>
      </w:r>
      <w:r>
        <w:rPr>
          <w:lang w:val="fr-FR"/>
        </w:rPr>
        <w:t>’</w:t>
      </w:r>
      <w:r w:rsidRPr="00084167">
        <w:rPr>
          <w:lang w:val="fr-FR"/>
        </w:rPr>
        <w:t>emballage</w:t>
      </w:r>
      <w:r>
        <w:rPr>
          <w:lang w:val="fr-FR"/>
        </w:rPr>
        <w:t>,</w:t>
      </w:r>
      <w:r w:rsidRPr="00084167">
        <w:rPr>
          <w:lang w:val="fr-FR"/>
        </w:rPr>
        <w:t xml:space="preserve"> aux GRV et au transport en citernes mobiles qui ne soient pas strictement conformes à la partie 4 des présents Principes directeurs.</w:t>
      </w:r>
      <w:r>
        <w:rPr>
          <w:lang w:val="fr-FR"/>
        </w:rPr>
        <w:t>)</w:t>
      </w:r>
    </w:p>
    <w:p w14:paraId="013DB95B" w14:textId="77777777" w:rsidR="00C6613C" w:rsidRPr="00084167" w:rsidRDefault="00C6613C" w:rsidP="00C6613C">
      <w:pPr>
        <w:pStyle w:val="H23G"/>
        <w:rPr>
          <w:lang w:val="fr-FR"/>
        </w:rPr>
      </w:pPr>
      <w:r>
        <w:rPr>
          <w:lang w:val="fr-FR"/>
        </w:rPr>
        <w:tab/>
      </w:r>
      <w:r>
        <w:rPr>
          <w:lang w:val="fr-FR"/>
        </w:rPr>
        <w:tab/>
      </w:r>
      <w:r w:rsidRPr="00084167">
        <w:rPr>
          <w:lang w:val="fr-FR"/>
        </w:rPr>
        <w:t>Partie 4.2</w:t>
      </w:r>
    </w:p>
    <w:p w14:paraId="37FC84B7" w14:textId="77777777" w:rsidR="00C6613C" w:rsidRPr="00084167" w:rsidRDefault="00C6613C" w:rsidP="00C6613C">
      <w:pPr>
        <w:pStyle w:val="SingleTxtG"/>
        <w:rPr>
          <w:lang w:val="fr-FR"/>
        </w:rPr>
      </w:pPr>
      <w:r w:rsidRPr="00084167">
        <w:rPr>
          <w:lang w:val="fr-FR"/>
        </w:rPr>
        <w:t>24.</w:t>
      </w:r>
      <w:r w:rsidRPr="00084167">
        <w:rPr>
          <w:lang w:val="fr-FR"/>
        </w:rPr>
        <w:tab/>
        <w:t>Il est proposé d</w:t>
      </w:r>
      <w:r>
        <w:rPr>
          <w:lang w:val="fr-FR"/>
        </w:rPr>
        <w:t>’</w:t>
      </w:r>
      <w:r w:rsidRPr="00084167">
        <w:rPr>
          <w:lang w:val="fr-FR"/>
        </w:rPr>
        <w:t>ajouter le</w:t>
      </w:r>
      <w:r>
        <w:rPr>
          <w:lang w:val="fr-FR"/>
        </w:rPr>
        <w:t>s</w:t>
      </w:r>
      <w:r w:rsidRPr="00084167">
        <w:rPr>
          <w:lang w:val="fr-FR"/>
        </w:rPr>
        <w:t xml:space="preserve"> libellé</w:t>
      </w:r>
      <w:r>
        <w:rPr>
          <w:lang w:val="fr-FR"/>
        </w:rPr>
        <w:t>s</w:t>
      </w:r>
      <w:r w:rsidR="00696346">
        <w:rPr>
          <w:lang w:val="fr-FR"/>
        </w:rPr>
        <w:t xml:space="preserve"> </w:t>
      </w:r>
      <w:r w:rsidRPr="00084167">
        <w:rPr>
          <w:lang w:val="fr-FR"/>
        </w:rPr>
        <w:t>suivant</w:t>
      </w:r>
      <w:r>
        <w:rPr>
          <w:lang w:val="fr-FR"/>
        </w:rPr>
        <w:t>s</w:t>
      </w:r>
      <w:r w:rsidRPr="00084167">
        <w:rPr>
          <w:lang w:val="fr-FR"/>
        </w:rPr>
        <w:t xml:space="preserve"> </w:t>
      </w:r>
      <w:r>
        <w:rPr>
          <w:lang w:val="fr-FR"/>
        </w:rPr>
        <w:t>pour</w:t>
      </w:r>
      <w:r w:rsidRPr="00084167">
        <w:rPr>
          <w:lang w:val="fr-FR"/>
        </w:rPr>
        <w:t xml:space="preserve"> la </w:t>
      </w:r>
      <w:r>
        <w:rPr>
          <w:lang w:val="fr-FR"/>
        </w:rPr>
        <w:t>division</w:t>
      </w:r>
      <w:r w:rsidRPr="00084167">
        <w:rPr>
          <w:lang w:val="fr-FR"/>
        </w:rPr>
        <w:t xml:space="preserve"> 6.1, </w:t>
      </w:r>
      <w:r>
        <w:rPr>
          <w:lang w:val="fr-FR"/>
        </w:rPr>
        <w:t xml:space="preserve">et </w:t>
      </w:r>
      <w:r w:rsidRPr="00084167">
        <w:rPr>
          <w:lang w:val="fr-FR"/>
        </w:rPr>
        <w:t>après le tableau relatif à l</w:t>
      </w:r>
      <w:r>
        <w:rPr>
          <w:lang w:val="fr-FR"/>
        </w:rPr>
        <w:t>’</w:t>
      </w:r>
      <w:r w:rsidRPr="00084167">
        <w:rPr>
          <w:lang w:val="fr-FR"/>
        </w:rPr>
        <w:t>affectation des instructions d</w:t>
      </w:r>
      <w:r>
        <w:rPr>
          <w:lang w:val="fr-FR"/>
        </w:rPr>
        <w:t>’</w:t>
      </w:r>
      <w:r w:rsidRPr="00084167">
        <w:rPr>
          <w:lang w:val="fr-FR"/>
        </w:rPr>
        <w:t xml:space="preserve">emballage </w:t>
      </w:r>
      <w:r>
        <w:rPr>
          <w:lang w:val="fr-FR"/>
        </w:rPr>
        <w:t>IBC :</w:t>
      </w:r>
    </w:p>
    <w:p w14:paraId="6D7C4435" w14:textId="77777777" w:rsidR="00C6613C" w:rsidRPr="00084167" w:rsidRDefault="00C6613C" w:rsidP="00C6613C">
      <w:pPr>
        <w:pStyle w:val="SingleTxtG"/>
        <w:ind w:left="1701"/>
        <w:rPr>
          <w:rFonts w:asciiTheme="majorBidi" w:hAnsiTheme="majorBidi" w:cstheme="majorBidi"/>
          <w:lang w:val="fr-FR"/>
        </w:rPr>
      </w:pPr>
      <w:r w:rsidRPr="00084167">
        <w:rPr>
          <w:lang w:val="fr-FR"/>
        </w:rPr>
        <w:t>Ajouter une ligne dans le tableau 4.2</w:t>
      </w:r>
      <w:r>
        <w:rPr>
          <w:lang w:val="fr-FR"/>
        </w:rPr>
        <w:t>, division</w:t>
      </w:r>
      <w:r w:rsidRPr="00084167">
        <w:rPr>
          <w:lang w:val="fr-FR"/>
        </w:rPr>
        <w:t xml:space="preserve"> 6.1, sous </w:t>
      </w:r>
      <w:r>
        <w:rPr>
          <w:lang w:val="fr-FR"/>
        </w:rPr>
        <w:t>« </w:t>
      </w:r>
      <w:r w:rsidRPr="00E2039B">
        <w:t>Solids without a subsidiary risk</w:t>
      </w:r>
      <w:r w:rsidR="00933027">
        <w:t> »</w:t>
      </w:r>
      <w:r w:rsidRPr="00084167">
        <w:rPr>
          <w:lang w:val="fr-FR"/>
        </w:rPr>
        <w:t xml:space="preserve">, </w:t>
      </w:r>
      <w:r>
        <w:rPr>
          <w:lang w:val="fr-FR"/>
        </w:rPr>
        <w:t>et y inscrire la rubrique</w:t>
      </w:r>
      <w:r w:rsidRPr="00084167">
        <w:rPr>
          <w:lang w:val="fr-FR"/>
        </w:rPr>
        <w:t xml:space="preserve"> </w:t>
      </w:r>
      <w:r>
        <w:rPr>
          <w:lang w:val="fr-FR"/>
        </w:rPr>
        <w:t>« </w:t>
      </w:r>
      <w:r w:rsidRPr="002B6DF5">
        <w:t>UN 35XX COBALT DIHYDROXIDE POWDER, containing ≥</w:t>
      </w:r>
      <w:r w:rsidR="00696346">
        <w:t> </w:t>
      </w:r>
      <w:r w:rsidRPr="002B6DF5">
        <w:t>10% respirable particles</w:t>
      </w:r>
      <w:r w:rsidR="00933027">
        <w:t> »</w:t>
      </w:r>
      <w:r>
        <w:rPr>
          <w:lang w:val="fr-FR"/>
        </w:rPr>
        <w:t>, groupe d’emballage I,</w:t>
      </w:r>
      <w:r w:rsidRPr="00084167">
        <w:rPr>
          <w:lang w:val="fr-FR"/>
        </w:rPr>
        <w:t xml:space="preserve"> </w:t>
      </w:r>
      <w:r>
        <w:rPr>
          <w:lang w:val="fr-FR"/>
        </w:rPr>
        <w:t>ainsi qu’un appel de note</w:t>
      </w:r>
      <w:r w:rsidR="00933027">
        <w:rPr>
          <w:lang w:val="fr-FR"/>
        </w:rPr>
        <w:t xml:space="preserve"> </w:t>
      </w:r>
      <w:r w:rsidRPr="00084167">
        <w:rPr>
          <w:lang w:val="fr-FR"/>
        </w:rPr>
        <w:t>*</w:t>
      </w:r>
      <w:r>
        <w:rPr>
          <w:lang w:val="fr-FR"/>
        </w:rPr>
        <w:t>.</w:t>
      </w:r>
    </w:p>
    <w:p w14:paraId="5351A7DA" w14:textId="77777777" w:rsidR="00C6613C" w:rsidRPr="00084167" w:rsidRDefault="00C6613C" w:rsidP="00C6613C">
      <w:pPr>
        <w:pStyle w:val="SingleTxtG"/>
        <w:ind w:left="1701"/>
        <w:rPr>
          <w:lang w:val="fr-FR"/>
        </w:rPr>
      </w:pPr>
      <w:r>
        <w:rPr>
          <w:lang w:val="fr-FR"/>
        </w:rPr>
        <w:t xml:space="preserve">À la suite du </w:t>
      </w:r>
      <w:r w:rsidRPr="00084167">
        <w:rPr>
          <w:lang w:val="fr-FR"/>
        </w:rPr>
        <w:t>tableau</w:t>
      </w:r>
      <w:r>
        <w:rPr>
          <w:lang w:val="fr-FR"/>
        </w:rPr>
        <w:t>, ajouter la note suivante :</w:t>
      </w:r>
    </w:p>
    <w:p w14:paraId="7EA1471C" w14:textId="77777777" w:rsidR="00C6613C" w:rsidRPr="00C6613C" w:rsidRDefault="00C6613C" w:rsidP="00C6613C">
      <w:pPr>
        <w:pStyle w:val="SingleTxtG"/>
        <w:ind w:left="1701"/>
        <w:rPr>
          <w:lang w:val="en-US"/>
        </w:rPr>
      </w:pPr>
      <w:r>
        <w:t>« </w:t>
      </w:r>
      <w:r w:rsidRPr="00C6613C">
        <w:rPr>
          <w:lang w:val="en-US"/>
        </w:rPr>
        <w:t>* For this new entry UN35XX COBALT DIHYDROXIDE POWDER, containing ≥</w:t>
      </w:r>
      <w:r w:rsidR="00696346">
        <w:rPr>
          <w:lang w:val="en-US"/>
        </w:rPr>
        <w:t> </w:t>
      </w:r>
      <w:r w:rsidRPr="00C6613C">
        <w:rPr>
          <w:lang w:val="en-US"/>
        </w:rPr>
        <w:t>10% respirable powders, CLASS 6.1 and PG I, an exemption was agreed to allow and assign IBC 07 for transport in FIBCs of 13H3 OR 13H4. This was based on the fact that cobalt dihydroxide powder has no other transport hazards and had been transported safely in unlined FIBCs of PG III for more than 40 years as non-hazardous and then UN 3077 until full GHS Classification was required under REACH Registration, which lead to reclassification of this substance as toxic by inhalation, which created a change from UN 3077 Class 9, packing group III to Class 6.1, packing group I.</w:t>
      </w:r>
    </w:p>
    <w:p w14:paraId="0C31F31D" w14:textId="77777777" w:rsidR="00C6613C" w:rsidRDefault="00C6613C" w:rsidP="00C6613C">
      <w:pPr>
        <w:pStyle w:val="SingleTxtG"/>
        <w:ind w:left="1701"/>
        <w:rPr>
          <w:lang w:val="fr-FR"/>
        </w:rPr>
      </w:pPr>
      <w:r w:rsidRPr="00C6613C">
        <w:rPr>
          <w:lang w:val="en-US"/>
        </w:rPr>
        <w:t>Based on the long standing experience of transporting cobalt dihydroxide powder in unlined FIBCs with no recorded incidents or health issues, it was agreed to create a new entry for cobalt dihydroxide powder with ≥ 10% respirable particles, to allow its continued transport in lined FIBCs of 13H3 of 13H4, that meet the test criteria for packing group I</w:t>
      </w:r>
      <w:r w:rsidRPr="00B4378B">
        <w:rPr>
          <w:rFonts w:hint="eastAsia"/>
        </w:rPr>
        <w:t>.</w:t>
      </w:r>
      <w:r>
        <w:t> ».</w:t>
      </w:r>
    </w:p>
    <w:p w14:paraId="73484F69" w14:textId="77777777" w:rsidR="00C6613C" w:rsidRPr="00696346" w:rsidRDefault="00C6613C" w:rsidP="00C6613C">
      <w:pPr>
        <w:pStyle w:val="SingleTxtG"/>
        <w:ind w:left="1701"/>
        <w:rPr>
          <w:rFonts w:asciiTheme="majorBidi" w:hAnsiTheme="majorBidi"/>
          <w:spacing w:val="-2"/>
          <w:lang w:val="fr-FR"/>
        </w:rPr>
      </w:pPr>
      <w:r w:rsidRPr="00696346">
        <w:rPr>
          <w:rFonts w:asciiTheme="majorBidi" w:hAnsiTheme="majorBidi" w:cstheme="majorBidi"/>
          <w:spacing w:val="-2"/>
          <w:lang w:val="fr-FR"/>
        </w:rPr>
        <w:t>(*</w:t>
      </w:r>
      <w:r w:rsidRPr="00696346">
        <w:rPr>
          <w:rFonts w:asciiTheme="majorBidi" w:hAnsiTheme="majorBidi" w:cs="Arial"/>
          <w:spacing w:val="-2"/>
          <w:lang w:val="fr-FR"/>
        </w:rPr>
        <w:t xml:space="preserve"> </w:t>
      </w:r>
      <w:r w:rsidRPr="00696346">
        <w:rPr>
          <w:rFonts w:asciiTheme="majorBidi" w:hAnsiTheme="majorBidi"/>
          <w:spacing w:val="-2"/>
          <w:lang w:val="fr-FR"/>
        </w:rPr>
        <w:t>Pour cette nouvelle rubrique « ONU 35XX POUDRE DE DIHYDROXYDE DE COBALT ayant une teneur en particules respirables supérieure ou égale à 10 % », relevant de la division 6.1 et du groupe d’emballage</w:t>
      </w:r>
      <w:r w:rsidR="00696346" w:rsidRPr="00696346">
        <w:rPr>
          <w:rFonts w:asciiTheme="majorBidi" w:hAnsiTheme="majorBidi"/>
          <w:spacing w:val="-2"/>
          <w:lang w:val="fr-FR"/>
        </w:rPr>
        <w:t xml:space="preserve"> </w:t>
      </w:r>
      <w:r w:rsidRPr="00696346">
        <w:rPr>
          <w:rFonts w:asciiTheme="majorBidi" w:hAnsiTheme="majorBidi"/>
          <w:spacing w:val="-2"/>
          <w:lang w:val="fr-FR"/>
        </w:rPr>
        <w:t>I, l’affectation de l’instruction d’emballage IBC07 pour le transport de cette matière dans des GRV souples des types 13H3 ou 13H4 a été autorisée à titre dérogatoire. Cela se justifie par le fait que le dihydroxyde de cobalt ne présente pas d’autre risque lié au transport et a été transporté en toute sécurité pendant plus de quarante ans dans des GRV souples non doublés relevant du groupe d’emballage III en tant que matière non dangereuse, puis sous le No ONU 3077, jusqu’à ce qu’une classification conforme au SGH soit requise dans le cadre de son enregistrement REACH. Cela a conduit à la reclassification de cette matière comme matière toxique par inhalation relevant de la division 6.1 et du groupe d’emballage I, et non plus du No ONU 3077, classe 9, groupe d’emballage III.</w:t>
      </w:r>
    </w:p>
    <w:p w14:paraId="381B71F8" w14:textId="77777777" w:rsidR="00C6613C" w:rsidRPr="00084167" w:rsidRDefault="00C6613C" w:rsidP="00696346">
      <w:pPr>
        <w:pStyle w:val="SingleTxtG"/>
        <w:spacing w:after="0"/>
        <w:ind w:left="1701"/>
        <w:rPr>
          <w:lang w:val="fr-FR"/>
        </w:rPr>
      </w:pPr>
      <w:r>
        <w:rPr>
          <w:lang w:val="fr-FR"/>
        </w:rPr>
        <w:t xml:space="preserve">Compte tenu </w:t>
      </w:r>
      <w:r w:rsidRPr="00084167">
        <w:rPr>
          <w:lang w:val="fr-FR"/>
        </w:rPr>
        <w:t xml:space="preserve">du </w:t>
      </w:r>
      <w:r>
        <w:rPr>
          <w:lang w:val="fr-FR"/>
        </w:rPr>
        <w:t xml:space="preserve">fait que le </w:t>
      </w:r>
      <w:r w:rsidRPr="00084167">
        <w:rPr>
          <w:lang w:val="fr-FR"/>
        </w:rPr>
        <w:t xml:space="preserve">dihydroxyde de cobalt </w:t>
      </w:r>
      <w:r>
        <w:rPr>
          <w:lang w:val="fr-FR"/>
        </w:rPr>
        <w:t xml:space="preserve">a pendant longtemps été transporté </w:t>
      </w:r>
      <w:r w:rsidRPr="00084167">
        <w:rPr>
          <w:lang w:val="fr-FR"/>
        </w:rPr>
        <w:t xml:space="preserve">dans des </w:t>
      </w:r>
      <w:bookmarkStart w:id="6" w:name="_Hlk55239290"/>
      <w:r w:rsidRPr="00084167">
        <w:rPr>
          <w:lang w:val="fr-FR"/>
        </w:rPr>
        <w:t xml:space="preserve">GRV souples </w:t>
      </w:r>
      <w:bookmarkEnd w:id="6"/>
      <w:r w:rsidRPr="00084167">
        <w:rPr>
          <w:lang w:val="fr-FR"/>
        </w:rPr>
        <w:t>non doublés sans qu</w:t>
      </w:r>
      <w:r>
        <w:rPr>
          <w:lang w:val="fr-FR"/>
        </w:rPr>
        <w:t>’</w:t>
      </w:r>
      <w:r w:rsidRPr="00084167">
        <w:rPr>
          <w:lang w:val="fr-FR"/>
        </w:rPr>
        <w:t>aucun incident ou problème de santé n</w:t>
      </w:r>
      <w:r>
        <w:rPr>
          <w:lang w:val="fr-FR"/>
        </w:rPr>
        <w:t>’</w:t>
      </w:r>
      <w:r w:rsidRPr="00084167">
        <w:rPr>
          <w:lang w:val="fr-FR"/>
        </w:rPr>
        <w:t xml:space="preserve">ait été signalé, il a été décidé de créer une nouvelle rubrique pour la poudre de dihydroxyde de cobalt </w:t>
      </w:r>
      <w:r>
        <w:rPr>
          <w:lang w:val="fr-FR"/>
        </w:rPr>
        <w:t xml:space="preserve">ayant une teneur en </w:t>
      </w:r>
      <w:r w:rsidRPr="00084167">
        <w:rPr>
          <w:lang w:val="fr-FR"/>
        </w:rPr>
        <w:t>particules respirables</w:t>
      </w:r>
      <w:r>
        <w:rPr>
          <w:lang w:val="fr-FR"/>
        </w:rPr>
        <w:t xml:space="preserve"> supérieure ou égale à 10 %</w:t>
      </w:r>
      <w:r w:rsidRPr="00084167">
        <w:rPr>
          <w:lang w:val="fr-FR"/>
        </w:rPr>
        <w:t xml:space="preserve">, afin de pouvoir continuer à la transporter dans des GRV souples doublés des types 13H3 ou 13H4 qui satisfont </w:t>
      </w:r>
      <w:r w:rsidRPr="006F1195">
        <w:rPr>
          <w:lang w:val="fr-FR"/>
        </w:rPr>
        <w:t>au niveau d</w:t>
      </w:r>
      <w:r>
        <w:rPr>
          <w:lang w:val="fr-FR"/>
        </w:rPr>
        <w:t>’</w:t>
      </w:r>
      <w:r w:rsidRPr="006F1195">
        <w:rPr>
          <w:lang w:val="fr-FR"/>
        </w:rPr>
        <w:t xml:space="preserve">épreuve </w:t>
      </w:r>
      <w:r>
        <w:rPr>
          <w:lang w:val="fr-FR"/>
        </w:rPr>
        <w:t>d</w:t>
      </w:r>
      <w:r w:rsidRPr="00084167">
        <w:rPr>
          <w:lang w:val="fr-FR"/>
        </w:rPr>
        <w:t>u groupe d</w:t>
      </w:r>
      <w:r>
        <w:rPr>
          <w:lang w:val="fr-FR"/>
        </w:rPr>
        <w:t>’</w:t>
      </w:r>
      <w:r w:rsidRPr="00084167">
        <w:rPr>
          <w:lang w:val="fr-FR"/>
        </w:rPr>
        <w:t>emballage I.</w:t>
      </w:r>
      <w:bookmarkEnd w:id="5"/>
      <w:r>
        <w:rPr>
          <w:lang w:val="fr-FR"/>
        </w:rPr>
        <w:t>)</w:t>
      </w:r>
    </w:p>
    <w:p w14:paraId="0FF016A1" w14:textId="77777777" w:rsidR="00C6613C" w:rsidRPr="00C6613C" w:rsidRDefault="00C6613C" w:rsidP="00C6613C">
      <w:pPr>
        <w:pStyle w:val="SingleTxtG"/>
        <w:spacing w:before="240" w:after="0"/>
        <w:jc w:val="center"/>
        <w:rPr>
          <w:u w:val="single"/>
        </w:rPr>
      </w:pPr>
      <w:r>
        <w:rPr>
          <w:u w:val="single"/>
        </w:rPr>
        <w:tab/>
      </w:r>
      <w:r>
        <w:rPr>
          <w:u w:val="single"/>
        </w:rPr>
        <w:tab/>
      </w:r>
      <w:r>
        <w:rPr>
          <w:u w:val="single"/>
        </w:rPr>
        <w:tab/>
      </w:r>
    </w:p>
    <w:sectPr w:rsidR="00C6613C" w:rsidRPr="00C6613C" w:rsidSect="00A303FB">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C102E" w14:textId="77777777" w:rsidR="00C6613C" w:rsidRDefault="00C6613C" w:rsidP="00F95C08">
      <w:pPr>
        <w:spacing w:line="240" w:lineRule="auto"/>
      </w:pPr>
    </w:p>
  </w:endnote>
  <w:endnote w:type="continuationSeparator" w:id="0">
    <w:p w14:paraId="48A1FE3D" w14:textId="77777777" w:rsidR="00C6613C" w:rsidRPr="00AC3823" w:rsidRDefault="00C6613C" w:rsidP="00AC3823">
      <w:pPr>
        <w:pStyle w:val="Footer"/>
      </w:pPr>
    </w:p>
  </w:endnote>
  <w:endnote w:type="continuationNotice" w:id="1">
    <w:p w14:paraId="5649931F" w14:textId="77777777" w:rsidR="00C6613C" w:rsidRDefault="00C661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4139" w14:textId="77777777" w:rsidR="00C6613C" w:rsidRPr="00A303FB" w:rsidRDefault="00C6613C" w:rsidP="00A303FB">
    <w:pPr>
      <w:pStyle w:val="Footer"/>
      <w:tabs>
        <w:tab w:val="right" w:pos="9638"/>
      </w:tabs>
    </w:pPr>
    <w:r w:rsidRPr="00A303FB">
      <w:rPr>
        <w:b/>
        <w:sz w:val="18"/>
      </w:rPr>
      <w:fldChar w:fldCharType="begin"/>
    </w:r>
    <w:r w:rsidRPr="00A303FB">
      <w:rPr>
        <w:b/>
        <w:sz w:val="18"/>
      </w:rPr>
      <w:instrText xml:space="preserve"> PAGE  \* MERGEFORMAT </w:instrText>
    </w:r>
    <w:r w:rsidRPr="00A303FB">
      <w:rPr>
        <w:b/>
        <w:sz w:val="18"/>
      </w:rPr>
      <w:fldChar w:fldCharType="separate"/>
    </w:r>
    <w:r w:rsidRPr="00A303FB">
      <w:rPr>
        <w:b/>
        <w:noProof/>
        <w:sz w:val="18"/>
      </w:rPr>
      <w:t>2</w:t>
    </w:r>
    <w:r w:rsidRPr="00A303FB">
      <w:rPr>
        <w:b/>
        <w:sz w:val="18"/>
      </w:rPr>
      <w:fldChar w:fldCharType="end"/>
    </w:r>
    <w:r>
      <w:rPr>
        <w:b/>
        <w:sz w:val="18"/>
      </w:rPr>
      <w:tab/>
    </w:r>
    <w:r>
      <w:t>GE.20-11573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8188" w14:textId="77777777" w:rsidR="00C6613C" w:rsidRPr="00A303FB" w:rsidRDefault="00C6613C" w:rsidP="00A303FB">
    <w:pPr>
      <w:pStyle w:val="Footer"/>
      <w:tabs>
        <w:tab w:val="right" w:pos="9638"/>
      </w:tabs>
      <w:rPr>
        <w:b/>
        <w:sz w:val="18"/>
      </w:rPr>
    </w:pPr>
    <w:r>
      <w:t>GE.20-11573</w:t>
    </w:r>
    <w:r>
      <w:tab/>
    </w:r>
    <w:r w:rsidRPr="00A303FB">
      <w:rPr>
        <w:b/>
        <w:sz w:val="18"/>
      </w:rPr>
      <w:fldChar w:fldCharType="begin"/>
    </w:r>
    <w:r w:rsidRPr="00A303FB">
      <w:rPr>
        <w:b/>
        <w:sz w:val="18"/>
      </w:rPr>
      <w:instrText xml:space="preserve"> PAGE  \* MERGEFORMAT </w:instrText>
    </w:r>
    <w:r w:rsidRPr="00A303FB">
      <w:rPr>
        <w:b/>
        <w:sz w:val="18"/>
      </w:rPr>
      <w:fldChar w:fldCharType="separate"/>
    </w:r>
    <w:r w:rsidRPr="00A303FB">
      <w:rPr>
        <w:b/>
        <w:noProof/>
        <w:sz w:val="18"/>
      </w:rPr>
      <w:t>3</w:t>
    </w:r>
    <w:r w:rsidRPr="00A303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FB89" w14:textId="77777777" w:rsidR="00C6613C" w:rsidRPr="00A303FB" w:rsidRDefault="00C6613C" w:rsidP="00A303FB">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4B0ABDB" wp14:editId="58BDB9D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20-11573  (F)    201120    201120</w:t>
    </w:r>
    <w:r>
      <w:rPr>
        <w:sz w:val="20"/>
      </w:rPr>
      <w:br/>
    </w:r>
    <w:r w:rsidRPr="00A303FB">
      <w:rPr>
        <w:rFonts w:ascii="C39T30Lfz" w:hAnsi="C39T30Lfz"/>
        <w:sz w:val="56"/>
      </w:rPr>
      <w:t>*2011573*</w:t>
    </w:r>
    <w:r>
      <w:rPr>
        <w:noProof/>
        <w:sz w:val="20"/>
      </w:rPr>
      <w:drawing>
        <wp:anchor distT="0" distB="0" distL="114300" distR="114300" simplePos="0" relativeHeight="251658240" behindDoc="0" locked="0" layoutInCell="1" allowOverlap="1" wp14:anchorId="018F3950" wp14:editId="6E965B1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EB54" w14:textId="77777777" w:rsidR="00C6613C" w:rsidRPr="00AC3823" w:rsidRDefault="00C6613C" w:rsidP="00AC3823">
      <w:pPr>
        <w:pStyle w:val="Footer"/>
        <w:tabs>
          <w:tab w:val="right" w:pos="2155"/>
        </w:tabs>
        <w:spacing w:after="80" w:line="240" w:lineRule="atLeast"/>
        <w:ind w:left="680"/>
        <w:rPr>
          <w:u w:val="single"/>
        </w:rPr>
      </w:pPr>
      <w:r>
        <w:rPr>
          <w:u w:val="single"/>
        </w:rPr>
        <w:tab/>
      </w:r>
    </w:p>
  </w:footnote>
  <w:footnote w:type="continuationSeparator" w:id="0">
    <w:p w14:paraId="11FA4B5F" w14:textId="77777777" w:rsidR="00C6613C" w:rsidRPr="00AC3823" w:rsidRDefault="00C6613C" w:rsidP="00AC3823">
      <w:pPr>
        <w:pStyle w:val="Footer"/>
        <w:tabs>
          <w:tab w:val="right" w:pos="2155"/>
        </w:tabs>
        <w:spacing w:after="80" w:line="240" w:lineRule="atLeast"/>
        <w:ind w:left="680"/>
        <w:rPr>
          <w:u w:val="single"/>
        </w:rPr>
      </w:pPr>
      <w:r>
        <w:rPr>
          <w:u w:val="single"/>
        </w:rPr>
        <w:tab/>
      </w:r>
    </w:p>
  </w:footnote>
  <w:footnote w:type="continuationNotice" w:id="1">
    <w:p w14:paraId="50538654" w14:textId="77777777" w:rsidR="00C6613C" w:rsidRPr="00AC3823" w:rsidRDefault="00C6613C">
      <w:pPr>
        <w:spacing w:line="240" w:lineRule="auto"/>
        <w:rPr>
          <w:sz w:val="2"/>
          <w:szCs w:val="2"/>
        </w:rPr>
      </w:pPr>
    </w:p>
  </w:footnote>
  <w:footnote w:id="2">
    <w:p w14:paraId="1932A2C9" w14:textId="77777777" w:rsidR="00C6613C" w:rsidRPr="0084529D" w:rsidRDefault="00C6613C" w:rsidP="00C6613C">
      <w:pPr>
        <w:pStyle w:val="FootnoteText"/>
        <w:rPr>
          <w:szCs w:val="18"/>
        </w:rPr>
      </w:pPr>
      <w:r w:rsidRPr="0084529D">
        <w:rPr>
          <w:rStyle w:val="FootnoteReference"/>
          <w:vertAlign w:val="baseline"/>
        </w:rPr>
        <w:tab/>
      </w:r>
      <w:r w:rsidRPr="0084529D">
        <w:rPr>
          <w:rStyle w:val="FootnoteReference"/>
          <w:sz w:val="20"/>
          <w:vertAlign w:val="baseline"/>
        </w:rPr>
        <w:t>*</w:t>
      </w:r>
      <w:r w:rsidRPr="0084529D">
        <w:rPr>
          <w:rStyle w:val="FootnoteReference"/>
          <w:sz w:val="20"/>
          <w:vertAlign w:val="baseline"/>
        </w:rPr>
        <w:tab/>
      </w:r>
      <w:r w:rsidRPr="0084529D">
        <w:rPr>
          <w:rStyle w:val="FootnoteReference"/>
          <w:szCs w:val="18"/>
          <w:vertAlign w:val="baseline"/>
        </w:rPr>
        <w:t>Sous-programme 2 du budget-programme pour 2020 (A/74/6 (Sect.</w:t>
      </w:r>
      <w:r w:rsidR="00CF13C0">
        <w:rPr>
          <w:rStyle w:val="FootnoteReference"/>
          <w:szCs w:val="18"/>
          <w:vertAlign w:val="baseline"/>
        </w:rPr>
        <w:t> </w:t>
      </w:r>
      <w:r w:rsidRPr="0084529D">
        <w:rPr>
          <w:rStyle w:val="FootnoteReference"/>
          <w:szCs w:val="18"/>
          <w:vertAlign w:val="baseline"/>
        </w:rPr>
        <w:t>20) et informations complémentaires.</w:t>
      </w:r>
    </w:p>
  </w:footnote>
  <w:footnote w:id="3">
    <w:p w14:paraId="469BB509" w14:textId="77777777" w:rsidR="00C6613C" w:rsidRPr="003924B7" w:rsidRDefault="00C6613C" w:rsidP="00C6613C">
      <w:pPr>
        <w:pStyle w:val="FootnoteText"/>
      </w:pPr>
      <w:r>
        <w:tab/>
      </w:r>
      <w:r w:rsidRPr="00B4378B">
        <w:rPr>
          <w:rStyle w:val="FootnoteReference"/>
        </w:rPr>
        <w:footnoteRef/>
      </w:r>
      <w:r>
        <w:tab/>
      </w:r>
      <w:r w:rsidRPr="003924B7">
        <w:t xml:space="preserve">Règlement (CE) </w:t>
      </w:r>
      <w:r w:rsidR="0084529D">
        <w:rPr>
          <w:rFonts w:eastAsia="MS Mincho"/>
        </w:rPr>
        <w:t>n</w:t>
      </w:r>
      <w:r w:rsidR="0084529D">
        <w:rPr>
          <w:rFonts w:eastAsia="MS Mincho"/>
          <w:vertAlign w:val="superscript"/>
        </w:rPr>
        <w:t>o</w:t>
      </w:r>
      <w:r w:rsidR="0084529D">
        <w:t> </w:t>
      </w:r>
      <w:r w:rsidRPr="003924B7">
        <w:t>1907/2006 du Parlement européen et du Conseil du 18</w:t>
      </w:r>
      <w:r w:rsidR="0084529D">
        <w:t> </w:t>
      </w:r>
      <w:r w:rsidRPr="003924B7">
        <w:t>décembre 2006 (</w:t>
      </w:r>
      <w:r w:rsidRPr="003924B7">
        <w:rPr>
          <w:i/>
          <w:iCs/>
        </w:rPr>
        <w:t>Journal officiel de l’Union européenne</w:t>
      </w:r>
      <w:r w:rsidRPr="003924B7">
        <w:t>, L396).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FA83" w14:textId="77777777" w:rsidR="00C6613C" w:rsidRPr="00A303FB" w:rsidRDefault="00BE7088">
    <w:pPr>
      <w:pStyle w:val="Header"/>
    </w:pPr>
    <w:r>
      <w:fldChar w:fldCharType="begin"/>
    </w:r>
    <w:r>
      <w:instrText xml:space="preserve"> TITLE  \* MERGEFORMAT </w:instrText>
    </w:r>
    <w:r>
      <w:fldChar w:fldCharType="separate"/>
    </w:r>
    <w:r>
      <w:t>ST/SG/AC.10/C.3/2020/21/Rev.1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BABB" w14:textId="77777777" w:rsidR="00C6613C" w:rsidRPr="00A303FB" w:rsidRDefault="00BE7088" w:rsidP="00A303FB">
    <w:pPr>
      <w:pStyle w:val="Header"/>
      <w:jc w:val="right"/>
    </w:pPr>
    <w:r>
      <w:fldChar w:fldCharType="begin"/>
    </w:r>
    <w:r>
      <w:instrText xml:space="preserve"> TITLE  \* MERGEFORMAT </w:instrText>
    </w:r>
    <w:r>
      <w:fldChar w:fldCharType="separate"/>
    </w:r>
    <w:r>
      <w:t>ST/SG/AC.10/C.3/2020/21/Rev.1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A942D6"/>
    <w:multiLevelType w:val="hybridMultilevel"/>
    <w:tmpl w:val="9B1AE32C"/>
    <w:lvl w:ilvl="0" w:tplc="D0FE2102">
      <w:start w:val="1"/>
      <w:numFmt w:val="bullet"/>
      <w:lvlText w:val="•"/>
      <w:lvlJc w:val="left"/>
      <w:pPr>
        <w:tabs>
          <w:tab w:val="num" w:pos="720"/>
        </w:tabs>
        <w:ind w:left="720" w:hanging="360"/>
      </w:pPr>
      <w:rPr>
        <w:rFonts w:ascii="Arial" w:hAnsi="Arial" w:hint="default"/>
      </w:rPr>
    </w:lvl>
    <w:lvl w:ilvl="1" w:tplc="BDF86B84" w:tentative="1">
      <w:start w:val="1"/>
      <w:numFmt w:val="bullet"/>
      <w:lvlText w:val="•"/>
      <w:lvlJc w:val="left"/>
      <w:pPr>
        <w:tabs>
          <w:tab w:val="num" w:pos="1440"/>
        </w:tabs>
        <w:ind w:left="1440" w:hanging="360"/>
      </w:pPr>
      <w:rPr>
        <w:rFonts w:ascii="Arial" w:hAnsi="Arial" w:hint="default"/>
      </w:rPr>
    </w:lvl>
    <w:lvl w:ilvl="2" w:tplc="26A60F14" w:tentative="1">
      <w:start w:val="1"/>
      <w:numFmt w:val="bullet"/>
      <w:lvlText w:val="•"/>
      <w:lvlJc w:val="left"/>
      <w:pPr>
        <w:tabs>
          <w:tab w:val="num" w:pos="2160"/>
        </w:tabs>
        <w:ind w:left="2160" w:hanging="360"/>
      </w:pPr>
      <w:rPr>
        <w:rFonts w:ascii="Arial" w:hAnsi="Arial" w:hint="default"/>
      </w:rPr>
    </w:lvl>
    <w:lvl w:ilvl="3" w:tplc="DA626C30" w:tentative="1">
      <w:start w:val="1"/>
      <w:numFmt w:val="bullet"/>
      <w:lvlText w:val="•"/>
      <w:lvlJc w:val="left"/>
      <w:pPr>
        <w:tabs>
          <w:tab w:val="num" w:pos="2880"/>
        </w:tabs>
        <w:ind w:left="2880" w:hanging="360"/>
      </w:pPr>
      <w:rPr>
        <w:rFonts w:ascii="Arial" w:hAnsi="Arial" w:hint="default"/>
      </w:rPr>
    </w:lvl>
    <w:lvl w:ilvl="4" w:tplc="CB10D2A2" w:tentative="1">
      <w:start w:val="1"/>
      <w:numFmt w:val="bullet"/>
      <w:lvlText w:val="•"/>
      <w:lvlJc w:val="left"/>
      <w:pPr>
        <w:tabs>
          <w:tab w:val="num" w:pos="3600"/>
        </w:tabs>
        <w:ind w:left="3600" w:hanging="360"/>
      </w:pPr>
      <w:rPr>
        <w:rFonts w:ascii="Arial" w:hAnsi="Arial" w:hint="default"/>
      </w:rPr>
    </w:lvl>
    <w:lvl w:ilvl="5" w:tplc="2F3C92D2" w:tentative="1">
      <w:start w:val="1"/>
      <w:numFmt w:val="bullet"/>
      <w:lvlText w:val="•"/>
      <w:lvlJc w:val="left"/>
      <w:pPr>
        <w:tabs>
          <w:tab w:val="num" w:pos="4320"/>
        </w:tabs>
        <w:ind w:left="4320" w:hanging="360"/>
      </w:pPr>
      <w:rPr>
        <w:rFonts w:ascii="Arial" w:hAnsi="Arial" w:hint="default"/>
      </w:rPr>
    </w:lvl>
    <w:lvl w:ilvl="6" w:tplc="1D9C586A" w:tentative="1">
      <w:start w:val="1"/>
      <w:numFmt w:val="bullet"/>
      <w:lvlText w:val="•"/>
      <w:lvlJc w:val="left"/>
      <w:pPr>
        <w:tabs>
          <w:tab w:val="num" w:pos="5040"/>
        </w:tabs>
        <w:ind w:left="5040" w:hanging="360"/>
      </w:pPr>
      <w:rPr>
        <w:rFonts w:ascii="Arial" w:hAnsi="Arial" w:hint="default"/>
      </w:rPr>
    </w:lvl>
    <w:lvl w:ilvl="7" w:tplc="647C4FDC" w:tentative="1">
      <w:start w:val="1"/>
      <w:numFmt w:val="bullet"/>
      <w:lvlText w:val="•"/>
      <w:lvlJc w:val="left"/>
      <w:pPr>
        <w:tabs>
          <w:tab w:val="num" w:pos="5760"/>
        </w:tabs>
        <w:ind w:left="5760" w:hanging="360"/>
      </w:pPr>
      <w:rPr>
        <w:rFonts w:ascii="Arial" w:hAnsi="Arial" w:hint="default"/>
      </w:rPr>
    </w:lvl>
    <w:lvl w:ilvl="8" w:tplc="19205B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6871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667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4BC41ADC"/>
    <w:lvl w:ilvl="0" w:tplc="D5E8D334">
      <w:start w:val="1"/>
      <w:numFmt w:val="bullet"/>
      <w:pStyle w:val="Bullet1G"/>
      <w:lvlText w:val="•"/>
      <w:lvlJc w:val="left"/>
      <w:pPr>
        <w:tabs>
          <w:tab w:val="num" w:pos="1701"/>
        </w:tabs>
        <w:ind w:left="1701" w:hanging="170"/>
      </w:pPr>
      <w:rPr>
        <w:rFonts w:ascii="Times New Roman" w:hAnsi="Times New Roman" w:cs="Times New Roman" w:hint="default"/>
        <w:sz w:val="20"/>
        <w:szCs w:val="20"/>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62F42BB"/>
    <w:multiLevelType w:val="hybridMultilevel"/>
    <w:tmpl w:val="72BAD39A"/>
    <w:lvl w:ilvl="0" w:tplc="D0FE2102">
      <w:start w:val="1"/>
      <w:numFmt w:val="bullet"/>
      <w:lvlText w:val="•"/>
      <w:lvlJc w:val="left"/>
      <w:pPr>
        <w:ind w:left="1854" w:hanging="360"/>
      </w:pPr>
      <w:rPr>
        <w:rFonts w:ascii="Arial" w:hAnsi="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2"/>
  </w:num>
  <w:num w:numId="2">
    <w:abstractNumId w:val="19"/>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9"/>
  </w:num>
  <w:num w:numId="16">
    <w:abstractNumId w:val="13"/>
  </w:num>
  <w:num w:numId="17">
    <w:abstractNumId w:val="18"/>
  </w:num>
  <w:num w:numId="18">
    <w:abstractNumId w:val="16"/>
  </w:num>
  <w:num w:numId="19">
    <w:abstractNumId w:val="10"/>
  </w:num>
  <w:num w:numId="20">
    <w:abstractNumId w:val="20"/>
  </w:num>
  <w:num w:numId="21">
    <w:abstractNumId w:val="14"/>
  </w:num>
  <w:num w:numId="22">
    <w:abstractNumId w:val="17"/>
  </w:num>
  <w:num w:numId="23">
    <w:abstractNumId w:val="15"/>
  </w:num>
  <w:num w:numId="24">
    <w:abstractNumId w:val="11"/>
  </w:num>
  <w:num w:numId="25">
    <w:abstractNumId w:val="21"/>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4F"/>
    <w:rsid w:val="00017F94"/>
    <w:rsid w:val="00023842"/>
    <w:rsid w:val="000305D3"/>
    <w:rsid w:val="000334F9"/>
    <w:rsid w:val="0007796D"/>
    <w:rsid w:val="000B7790"/>
    <w:rsid w:val="00111F2F"/>
    <w:rsid w:val="00132EA9"/>
    <w:rsid w:val="0014365E"/>
    <w:rsid w:val="00176178"/>
    <w:rsid w:val="00181E5D"/>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8456F"/>
    <w:rsid w:val="00696346"/>
    <w:rsid w:val="0071601D"/>
    <w:rsid w:val="007175CC"/>
    <w:rsid w:val="007A62E6"/>
    <w:rsid w:val="0080684C"/>
    <w:rsid w:val="0084529D"/>
    <w:rsid w:val="00871C75"/>
    <w:rsid w:val="008776DC"/>
    <w:rsid w:val="008B40CD"/>
    <w:rsid w:val="00933027"/>
    <w:rsid w:val="009705C8"/>
    <w:rsid w:val="009C1CF4"/>
    <w:rsid w:val="00A30353"/>
    <w:rsid w:val="00A303FB"/>
    <w:rsid w:val="00AC3823"/>
    <w:rsid w:val="00AE323C"/>
    <w:rsid w:val="00B00181"/>
    <w:rsid w:val="00B00B0D"/>
    <w:rsid w:val="00B572D5"/>
    <w:rsid w:val="00B765F7"/>
    <w:rsid w:val="00BA0CA9"/>
    <w:rsid w:val="00BE7088"/>
    <w:rsid w:val="00C02897"/>
    <w:rsid w:val="00C378FB"/>
    <w:rsid w:val="00C6124F"/>
    <w:rsid w:val="00C6613C"/>
    <w:rsid w:val="00CF13C0"/>
    <w:rsid w:val="00D3439C"/>
    <w:rsid w:val="00DB1831"/>
    <w:rsid w:val="00DD3BFD"/>
    <w:rsid w:val="00DF6678"/>
    <w:rsid w:val="00EE4A0C"/>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38932"/>
  <w15:docId w15:val="{693A3EDA-3A4F-49BE-B7E7-5F394CF3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C6613C"/>
    <w:rPr>
      <w:rFonts w:ascii="Times New Roman" w:eastAsiaTheme="minorHAnsi" w:hAnsi="Times New Roman" w:cs="Times New Roman"/>
      <w:b/>
      <w:sz w:val="28"/>
      <w:szCs w:val="20"/>
      <w:lang w:eastAsia="en-US"/>
    </w:rPr>
  </w:style>
  <w:style w:type="character" w:customStyle="1" w:styleId="H1GChar">
    <w:name w:val="_ H_1_G Char"/>
    <w:link w:val="H1G"/>
    <w:locked/>
    <w:rsid w:val="00C6613C"/>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C6613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0FCDF-110A-4522-AFDF-E6661934B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F1576-6A6B-4BA0-B9D5-B55571408926}">
  <ds:schemaRefs>
    <ds:schemaRef ds:uri="http://schemas.microsoft.com/sharepoint/v3/contenttype/forms"/>
  </ds:schemaRefs>
</ds:datastoreItem>
</file>

<file path=customXml/itemProps3.xml><?xml version="1.0" encoding="utf-8"?>
<ds:datastoreItem xmlns:ds="http://schemas.openxmlformats.org/officeDocument/2006/customXml" ds:itemID="{76DBC927-12DF-439F-861C-DC6589F20C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2910</Words>
  <Characters>16591</Characters>
  <Application>Microsoft Office Word</Application>
  <DocSecurity>0</DocSecurity>
  <Lines>138</Lines>
  <Paragraphs>38</Paragraphs>
  <ScaleCrop>false</ScaleCrop>
  <HeadingPairs>
    <vt:vector size="2" baseType="variant">
      <vt:variant>
        <vt:lpstr>Titre</vt:lpstr>
      </vt:variant>
      <vt:variant>
        <vt:i4>1</vt:i4>
      </vt:variant>
    </vt:vector>
  </HeadingPairs>
  <TitlesOfParts>
    <vt:vector size="1" baseType="lpstr">
      <vt:lpstr>ST/SG/AC.10/C.3/2020/21/Rev.1</vt:lpstr>
    </vt:vector>
  </TitlesOfParts>
  <Company>DCM</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ST/SG/AC.10/C.3/2020/21/Rev.1</dc:title>
  <dc:subject/>
  <dc:creator>Nicolas MORIN</dc:creator>
  <cp:keywords/>
  <cp:lastModifiedBy>Laurence Berthet</cp:lastModifiedBy>
  <cp:revision>2</cp:revision>
  <cp:lastPrinted>2020-11-20T15:58:00Z</cp:lastPrinted>
  <dcterms:created xsi:type="dcterms:W3CDTF">2020-11-20T15:59:00Z</dcterms:created>
  <dcterms:modified xsi:type="dcterms:W3CDTF">2020-11-20T15:59:00Z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