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2E7FB5" w14:paraId="419E89AF" w14:textId="77777777" w:rsidTr="00F01738">
        <w:trPr>
          <w:trHeight w:hRule="exact" w:val="851"/>
        </w:trPr>
        <w:tc>
          <w:tcPr>
            <w:tcW w:w="1276" w:type="dxa"/>
            <w:tcBorders>
              <w:bottom w:val="single" w:sz="4" w:space="0" w:color="auto"/>
            </w:tcBorders>
          </w:tcPr>
          <w:p w14:paraId="5E553AA7" w14:textId="77777777" w:rsidR="00132EA9" w:rsidRPr="00DB58B5" w:rsidRDefault="00132EA9" w:rsidP="007C3C1A">
            <w:bookmarkStart w:id="0" w:name="_GoBack"/>
            <w:bookmarkEnd w:id="0"/>
          </w:p>
        </w:tc>
        <w:tc>
          <w:tcPr>
            <w:tcW w:w="2268" w:type="dxa"/>
            <w:tcBorders>
              <w:bottom w:val="single" w:sz="4" w:space="0" w:color="auto"/>
            </w:tcBorders>
            <w:vAlign w:val="bottom"/>
          </w:tcPr>
          <w:p w14:paraId="06B7FA3A"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B074994" w14:textId="77777777" w:rsidR="007C3C1A" w:rsidRPr="007C3C1A" w:rsidRDefault="007C3C1A" w:rsidP="007C3C1A">
            <w:pPr>
              <w:jc w:val="right"/>
              <w:rPr>
                <w:lang w:val="en-US"/>
              </w:rPr>
            </w:pPr>
            <w:r w:rsidRPr="007C3C1A">
              <w:rPr>
                <w:sz w:val="40"/>
                <w:lang w:val="en-US"/>
              </w:rPr>
              <w:t>ST</w:t>
            </w:r>
            <w:r w:rsidRPr="007C3C1A">
              <w:rPr>
                <w:lang w:val="en-US"/>
              </w:rPr>
              <w:t>/SG/AC.10/C.3/2020/20/Add.1−</w:t>
            </w:r>
            <w:r w:rsidRPr="007C3C1A">
              <w:rPr>
                <w:sz w:val="40"/>
                <w:lang w:val="en-US"/>
              </w:rPr>
              <w:t>ST</w:t>
            </w:r>
            <w:r w:rsidRPr="007C3C1A">
              <w:rPr>
                <w:lang w:val="en-US"/>
              </w:rPr>
              <w:t>/SG/AC.10/C.4/2020/5/Add.1</w:t>
            </w:r>
          </w:p>
        </w:tc>
      </w:tr>
      <w:tr w:rsidR="00132EA9" w:rsidRPr="00DB58B5" w14:paraId="67B3E1DB" w14:textId="77777777" w:rsidTr="00F01738">
        <w:trPr>
          <w:trHeight w:hRule="exact" w:val="2835"/>
        </w:trPr>
        <w:tc>
          <w:tcPr>
            <w:tcW w:w="1276" w:type="dxa"/>
            <w:tcBorders>
              <w:top w:val="single" w:sz="4" w:space="0" w:color="auto"/>
              <w:bottom w:val="single" w:sz="12" w:space="0" w:color="auto"/>
            </w:tcBorders>
          </w:tcPr>
          <w:p w14:paraId="7A14CD05" w14:textId="77777777" w:rsidR="00132EA9" w:rsidRPr="00DB58B5" w:rsidRDefault="00132EA9" w:rsidP="00F01738">
            <w:pPr>
              <w:spacing w:before="120"/>
              <w:jc w:val="center"/>
            </w:pPr>
            <w:r>
              <w:rPr>
                <w:noProof/>
                <w:lang w:eastAsia="fr-CH"/>
              </w:rPr>
              <w:drawing>
                <wp:inline distT="0" distB="0" distL="0" distR="0" wp14:anchorId="481B820E" wp14:editId="625931B8">
                  <wp:extent cx="714375" cy="590550"/>
                  <wp:effectExtent l="0" t="0" r="9525" b="0"/>
                  <wp:docPr id="1" name="Image 1" descr="Nations Un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0A3FD7"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33FDADF" w14:textId="77777777" w:rsidR="00132EA9" w:rsidRDefault="007C3C1A" w:rsidP="00F01738">
            <w:pPr>
              <w:spacing w:before="240"/>
            </w:pPr>
            <w:r>
              <w:t>Distr. générale</w:t>
            </w:r>
          </w:p>
          <w:p w14:paraId="63BC6697" w14:textId="77777777" w:rsidR="007C3C1A" w:rsidRDefault="007C3C1A" w:rsidP="007C3C1A">
            <w:pPr>
              <w:spacing w:line="240" w:lineRule="exact"/>
            </w:pPr>
            <w:r>
              <w:t>4 septembre 2020</w:t>
            </w:r>
          </w:p>
          <w:p w14:paraId="4DB896EE" w14:textId="77777777" w:rsidR="007C3C1A" w:rsidRDefault="007C3C1A" w:rsidP="007C3C1A">
            <w:pPr>
              <w:spacing w:line="240" w:lineRule="exact"/>
            </w:pPr>
            <w:r>
              <w:t>Français</w:t>
            </w:r>
          </w:p>
          <w:p w14:paraId="3D830DC4" w14:textId="77777777" w:rsidR="007C3C1A" w:rsidRPr="00DB58B5" w:rsidRDefault="007C3C1A" w:rsidP="007C3C1A">
            <w:pPr>
              <w:spacing w:line="240" w:lineRule="exact"/>
            </w:pPr>
            <w:r>
              <w:t>Original : anglais</w:t>
            </w:r>
          </w:p>
        </w:tc>
      </w:tr>
    </w:tbl>
    <w:p w14:paraId="7AEC7D99" w14:textId="77777777" w:rsidR="007C3C1A" w:rsidRPr="00CA0680" w:rsidRDefault="007C3C1A" w:rsidP="002E7FB5">
      <w:pPr>
        <w:pStyle w:val="HChG"/>
        <w:ind w:left="0" w:firstLine="0"/>
      </w:pPr>
      <w:r w:rsidRPr="00CA0680">
        <w:t>Comité d’experts du transport</w:t>
      </w:r>
      <w:r>
        <w:t xml:space="preserve"> </w:t>
      </w:r>
      <w:r w:rsidRPr="00CA0680">
        <w:t>des marchandises</w:t>
      </w:r>
      <w:r>
        <w:t xml:space="preserve"> </w:t>
      </w:r>
      <w:r w:rsidRPr="00CA0680">
        <w:t>dangereuses</w:t>
      </w:r>
      <w:r>
        <w:t xml:space="preserve"> </w:t>
      </w:r>
      <w:r>
        <w:br/>
      </w:r>
      <w:r w:rsidRPr="00CA0680">
        <w:t>et</w:t>
      </w:r>
      <w:r>
        <w:t xml:space="preserve"> </w:t>
      </w:r>
      <w:r w:rsidRPr="00CA0680">
        <w:t xml:space="preserve">du </w:t>
      </w:r>
      <w:r>
        <w:t>S</w:t>
      </w:r>
      <w:r w:rsidRPr="00CA0680">
        <w:t>ystème général harmonisé</w:t>
      </w:r>
      <w:r>
        <w:t xml:space="preserve"> </w:t>
      </w:r>
      <w:r w:rsidRPr="00CA0680">
        <w:t>de classification</w:t>
      </w:r>
      <w:r>
        <w:t xml:space="preserve"> </w:t>
      </w:r>
      <w:r>
        <w:br/>
      </w:r>
      <w:r w:rsidRPr="00CA0680">
        <w:t>et d’étiquetage</w:t>
      </w:r>
      <w:r>
        <w:t xml:space="preserve"> </w:t>
      </w:r>
      <w:r w:rsidRPr="00CA0680">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7C3C1A" w14:paraId="67CC7ED8" w14:textId="77777777" w:rsidTr="009C3129">
        <w:tc>
          <w:tcPr>
            <w:tcW w:w="4820" w:type="dxa"/>
          </w:tcPr>
          <w:p w14:paraId="5D9B5E20" w14:textId="77777777" w:rsidR="007C3C1A" w:rsidRDefault="007C3C1A" w:rsidP="009C3129">
            <w:pPr>
              <w:spacing w:before="120"/>
              <w:rPr>
                <w:b/>
              </w:rPr>
            </w:pPr>
            <w:r w:rsidRPr="00CA0680">
              <w:rPr>
                <w:b/>
              </w:rPr>
              <w:t>Sous</w:t>
            </w:r>
            <w:r>
              <w:rPr>
                <w:b/>
              </w:rPr>
              <w:t>-</w:t>
            </w:r>
            <w:r w:rsidRPr="00CA0680">
              <w:rPr>
                <w:b/>
              </w:rPr>
              <w:t>Comité d’experts du transport</w:t>
            </w:r>
            <w:r>
              <w:rPr>
                <w:b/>
              </w:rPr>
              <w:t xml:space="preserve"> </w:t>
            </w:r>
            <w:r>
              <w:rPr>
                <w:b/>
              </w:rPr>
              <w:br/>
            </w:r>
            <w:r w:rsidRPr="00CA0680">
              <w:rPr>
                <w:b/>
              </w:rPr>
              <w:t>des marchandises dangereuses</w:t>
            </w:r>
          </w:p>
        </w:tc>
        <w:tc>
          <w:tcPr>
            <w:tcW w:w="4820" w:type="dxa"/>
          </w:tcPr>
          <w:p w14:paraId="2C76E218" w14:textId="77777777" w:rsidR="007C3C1A" w:rsidRDefault="007C3C1A" w:rsidP="009C3129">
            <w:pPr>
              <w:spacing w:before="120"/>
              <w:rPr>
                <w:b/>
              </w:rPr>
            </w:pPr>
            <w:r>
              <w:rPr>
                <w:b/>
              </w:rPr>
              <w:t>Sous-Comité d’experts du Système général harmonisé de classification et d’étiquetage des produits chimiques</w:t>
            </w:r>
          </w:p>
        </w:tc>
      </w:tr>
      <w:tr w:rsidR="007C3C1A" w14:paraId="5D4B5D49" w14:textId="77777777" w:rsidTr="009C3129">
        <w:tc>
          <w:tcPr>
            <w:tcW w:w="4820" w:type="dxa"/>
          </w:tcPr>
          <w:p w14:paraId="2B2B134A" w14:textId="77777777" w:rsidR="007C3C1A" w:rsidRPr="00CA0680" w:rsidRDefault="007C3C1A" w:rsidP="009C3129">
            <w:pPr>
              <w:spacing w:before="120"/>
              <w:rPr>
                <w:b/>
              </w:rPr>
            </w:pPr>
            <w:r>
              <w:rPr>
                <w:b/>
              </w:rPr>
              <w:t xml:space="preserve">Cinquante-septième </w:t>
            </w:r>
            <w:r w:rsidRPr="00CA0680">
              <w:rPr>
                <w:b/>
              </w:rPr>
              <w:t>session</w:t>
            </w:r>
          </w:p>
        </w:tc>
        <w:tc>
          <w:tcPr>
            <w:tcW w:w="4820" w:type="dxa"/>
          </w:tcPr>
          <w:p w14:paraId="2E8FCA29" w14:textId="77777777" w:rsidR="007C3C1A" w:rsidRDefault="007C3C1A" w:rsidP="009C3129">
            <w:pPr>
              <w:spacing w:before="120"/>
              <w:rPr>
                <w:b/>
              </w:rPr>
            </w:pPr>
            <w:r>
              <w:rPr>
                <w:b/>
              </w:rPr>
              <w:t>Trente-neuvième session</w:t>
            </w:r>
          </w:p>
        </w:tc>
      </w:tr>
      <w:tr w:rsidR="007C3C1A" w14:paraId="2F6E7842" w14:textId="77777777" w:rsidTr="009C3129">
        <w:tc>
          <w:tcPr>
            <w:tcW w:w="4820" w:type="dxa"/>
          </w:tcPr>
          <w:p w14:paraId="2F46A3EB" w14:textId="77777777" w:rsidR="007C3C1A" w:rsidRDefault="007C3C1A" w:rsidP="009C3129">
            <w:r>
              <w:t>Genève, 30 novembre-8 décembre 2020</w:t>
            </w:r>
          </w:p>
          <w:p w14:paraId="440B4583" w14:textId="77777777" w:rsidR="007C3C1A" w:rsidRDefault="007C3C1A" w:rsidP="009C3129">
            <w:r>
              <w:t>Point 11 a) de l’ordre du jour provisoire</w:t>
            </w:r>
          </w:p>
          <w:p w14:paraId="7F7695F1" w14:textId="77777777" w:rsidR="007C3C1A" w:rsidRPr="008031A4" w:rsidRDefault="007C3C1A" w:rsidP="009C3129">
            <w:pPr>
              <w:rPr>
                <w:b/>
                <w:bCs/>
              </w:rPr>
            </w:pPr>
            <w:r w:rsidRPr="008031A4">
              <w:rPr>
                <w:b/>
                <w:bCs/>
                <w:lang w:val="fr-FR"/>
              </w:rPr>
              <w:t>Questions relatives au Système général harmonisé de classification et d’étiquetage des produits chimiques (SGH) : révision du chapitre 2.1</w:t>
            </w:r>
          </w:p>
        </w:tc>
        <w:tc>
          <w:tcPr>
            <w:tcW w:w="4820" w:type="dxa"/>
          </w:tcPr>
          <w:p w14:paraId="03633936" w14:textId="77777777" w:rsidR="007C3C1A" w:rsidRDefault="007C3C1A" w:rsidP="009C3129">
            <w:r>
              <w:t>Genève, 9-11 décembre 2020</w:t>
            </w:r>
          </w:p>
          <w:p w14:paraId="10968D6F" w14:textId="77777777" w:rsidR="007C3C1A" w:rsidRDefault="007C3C1A" w:rsidP="009C3129">
            <w:r>
              <w:t>Point 3 b) de l’ordre du jour provisoire</w:t>
            </w:r>
          </w:p>
          <w:p w14:paraId="7ABC935E" w14:textId="77777777" w:rsidR="007C3C1A" w:rsidRPr="008031A4" w:rsidRDefault="007C3C1A" w:rsidP="009C3129">
            <w:pPr>
              <w:rPr>
                <w:b/>
                <w:bCs/>
              </w:rPr>
            </w:pPr>
            <w:r w:rsidRPr="008031A4">
              <w:rPr>
                <w:b/>
                <w:bCs/>
                <w:lang w:val="fr-FR"/>
              </w:rPr>
              <w:t>Critères de classification et communication des dangers s’y rapportant : r</w:t>
            </w:r>
            <w:r w:rsidR="008031A4">
              <w:rPr>
                <w:b/>
                <w:bCs/>
                <w:lang w:val="fr-FR"/>
              </w:rPr>
              <w:t>évision</w:t>
            </w:r>
            <w:r w:rsidRPr="008031A4">
              <w:rPr>
                <w:b/>
                <w:bCs/>
                <w:lang w:val="fr-FR"/>
              </w:rPr>
              <w:t xml:space="preserve"> du chapitre 2.1</w:t>
            </w:r>
          </w:p>
        </w:tc>
      </w:tr>
    </w:tbl>
    <w:p w14:paraId="3C08403D" w14:textId="77777777" w:rsidR="007C3C1A" w:rsidRPr="00750E84" w:rsidRDefault="007C3C1A" w:rsidP="008031A4">
      <w:pPr>
        <w:pStyle w:val="HChG"/>
        <w:rPr>
          <w:lang w:val="fr-FR"/>
        </w:rPr>
      </w:pPr>
      <w:r w:rsidRPr="00750E84">
        <w:rPr>
          <w:lang w:val="fr-FR"/>
        </w:rPr>
        <w:tab/>
      </w:r>
      <w:r w:rsidR="008031A4">
        <w:rPr>
          <w:lang w:val="fr-FR"/>
        </w:rPr>
        <w:tab/>
      </w:r>
      <w:r w:rsidRPr="00750E84">
        <w:rPr>
          <w:lang w:val="fr-FR"/>
        </w:rPr>
        <w:t xml:space="preserve">Nouveau chapitre 2.1 du SGH </w:t>
      </w:r>
      <w:r w:rsidR="008031A4">
        <w:rPr>
          <w:lang w:val="fr-FR"/>
        </w:rPr>
        <w:t>−</w:t>
      </w:r>
      <w:r w:rsidRPr="00750E84">
        <w:rPr>
          <w:lang w:val="fr-FR"/>
        </w:rPr>
        <w:t xml:space="preserve"> modification du document ST/SG/AC.10/C.3/2020/20</w:t>
      </w:r>
      <w:r w:rsidR="008031A4">
        <w:rPr>
          <w:lang w:val="fr-FR"/>
        </w:rPr>
        <w:noBreakHyphen/>
      </w:r>
      <w:r w:rsidRPr="00750E84">
        <w:rPr>
          <w:lang w:val="fr-FR"/>
        </w:rPr>
        <w:t>ST/SG/AC.10/C.4/2020/5</w:t>
      </w:r>
    </w:p>
    <w:p w14:paraId="239529D8" w14:textId="77777777" w:rsidR="007C3C1A" w:rsidRPr="00D71B41" w:rsidRDefault="007C3C1A" w:rsidP="008031A4">
      <w:pPr>
        <w:pStyle w:val="H1G"/>
        <w:rPr>
          <w:lang w:val="fr-FR"/>
        </w:rPr>
      </w:pPr>
      <w:r>
        <w:rPr>
          <w:lang w:val="fr-FR"/>
        </w:rPr>
        <w:tab/>
      </w:r>
      <w:r>
        <w:rPr>
          <w:lang w:val="fr-FR"/>
        </w:rPr>
        <w:tab/>
        <w:t>Communication de l’expert de la Suède au nom du groupe de travail informel par correspondance chargé de la révision du chapitre</w:t>
      </w:r>
      <w:r w:rsidR="008031A4">
        <w:rPr>
          <w:lang w:val="fr-FR"/>
        </w:rPr>
        <w:t> </w:t>
      </w:r>
      <w:r>
        <w:rPr>
          <w:lang w:val="fr-FR"/>
        </w:rPr>
        <w:t>2.1</w:t>
      </w:r>
      <w:r w:rsidR="008031A4" w:rsidRPr="00DB76FA">
        <w:rPr>
          <w:rStyle w:val="FootnoteReference"/>
          <w:b w:val="0"/>
          <w:bCs/>
          <w:sz w:val="20"/>
          <w:vertAlign w:val="baseline"/>
        </w:rPr>
        <w:footnoteReference w:customMarkFollows="1" w:id="2"/>
        <w:t>*</w:t>
      </w:r>
    </w:p>
    <w:p w14:paraId="2C731A76" w14:textId="77777777" w:rsidR="007C3C1A" w:rsidRPr="00D71B41" w:rsidRDefault="007C3C1A" w:rsidP="008031A4">
      <w:pPr>
        <w:pStyle w:val="HChG"/>
        <w:rPr>
          <w:lang w:val="fr-FR"/>
        </w:rPr>
      </w:pPr>
      <w:r>
        <w:rPr>
          <w:lang w:val="fr-FR"/>
        </w:rPr>
        <w:tab/>
      </w:r>
      <w:r>
        <w:rPr>
          <w:lang w:val="fr-FR"/>
        </w:rPr>
        <w:tab/>
        <w:t>Introduction</w:t>
      </w:r>
    </w:p>
    <w:p w14:paraId="56CAF649" w14:textId="77777777" w:rsidR="007C3C1A" w:rsidRPr="00D71B41" w:rsidRDefault="007C3C1A" w:rsidP="008031A4">
      <w:pPr>
        <w:pStyle w:val="SingleTxtG"/>
        <w:rPr>
          <w:lang w:val="fr-FR"/>
        </w:rPr>
      </w:pPr>
      <w:r>
        <w:rPr>
          <w:lang w:val="fr-FR"/>
        </w:rPr>
        <w:t>1.</w:t>
      </w:r>
      <w:r>
        <w:rPr>
          <w:lang w:val="fr-FR"/>
        </w:rPr>
        <w:tab/>
        <w:t>L’annexe I du document ST/SG/AC.10/C.3/2020/20</w:t>
      </w:r>
      <w:r w:rsidR="008031A4">
        <w:rPr>
          <w:lang w:val="fr-FR"/>
        </w:rPr>
        <w:noBreakHyphen/>
      </w:r>
      <w:r>
        <w:rPr>
          <w:lang w:val="fr-FR"/>
        </w:rPr>
        <w:t>ST/SG/AC.10/C.4/2020/5 contient une proposition de nouveau chapitre</w:t>
      </w:r>
      <w:r w:rsidR="008031A4">
        <w:rPr>
          <w:lang w:val="fr-FR"/>
        </w:rPr>
        <w:t> </w:t>
      </w:r>
      <w:r>
        <w:rPr>
          <w:lang w:val="fr-FR"/>
        </w:rPr>
        <w:t>2.1 du SGH (Matières et objets explosibles). Il est suggéré dans le présent document d’apporter plusieurs modifications au texte de cette proposition, compte tenu des observations formulées par certains experts.</w:t>
      </w:r>
    </w:p>
    <w:p w14:paraId="43572B0E" w14:textId="77777777" w:rsidR="007C3C1A" w:rsidRPr="00D71B41" w:rsidRDefault="007C3C1A" w:rsidP="008031A4">
      <w:pPr>
        <w:pStyle w:val="HChG"/>
        <w:rPr>
          <w:lang w:val="fr-FR"/>
        </w:rPr>
      </w:pPr>
      <w:r>
        <w:rPr>
          <w:lang w:val="fr-FR"/>
        </w:rPr>
        <w:tab/>
      </w:r>
      <w:r>
        <w:rPr>
          <w:lang w:val="fr-FR"/>
        </w:rPr>
        <w:tab/>
        <w:t>Modifications proposées</w:t>
      </w:r>
    </w:p>
    <w:p w14:paraId="021B9E71" w14:textId="77777777" w:rsidR="007C3C1A" w:rsidRPr="00D71B41" w:rsidRDefault="007C3C1A" w:rsidP="008031A4">
      <w:pPr>
        <w:pStyle w:val="H1G"/>
        <w:rPr>
          <w:lang w:val="fr-FR"/>
        </w:rPr>
      </w:pPr>
      <w:r>
        <w:rPr>
          <w:lang w:val="fr-FR"/>
        </w:rPr>
        <w:tab/>
      </w:r>
      <w:r>
        <w:rPr>
          <w:lang w:val="fr-FR"/>
        </w:rPr>
        <w:tab/>
        <w:t>Exclusion des objets qui ne relèvent pas de la classe 1</w:t>
      </w:r>
    </w:p>
    <w:p w14:paraId="789A0D2B" w14:textId="77777777" w:rsidR="007C3C1A" w:rsidRPr="00D71B41" w:rsidRDefault="007C3C1A" w:rsidP="008031A4">
      <w:pPr>
        <w:pStyle w:val="SingleTxtG"/>
        <w:rPr>
          <w:lang w:val="fr-FR"/>
        </w:rPr>
      </w:pPr>
      <w:r>
        <w:rPr>
          <w:lang w:val="fr-FR"/>
        </w:rPr>
        <w:t>2.</w:t>
      </w:r>
      <w:r>
        <w:rPr>
          <w:lang w:val="fr-FR"/>
        </w:rPr>
        <w:tab/>
        <w:t>Comme le souligne le document informel UN/SCETDG/57/INF.16</w:t>
      </w:r>
      <w:r w:rsidR="008031A4">
        <w:rPr>
          <w:lang w:val="fr-FR"/>
        </w:rPr>
        <w:noBreakHyphen/>
      </w:r>
      <w:r w:rsidR="008031A4">
        <w:rPr>
          <w:lang w:val="fr-FR"/>
        </w:rPr>
        <w:br/>
      </w:r>
      <w:r>
        <w:rPr>
          <w:lang w:val="fr-FR"/>
        </w:rPr>
        <w:t>UN/SCEGHS/39/INF.13, la question de l’exclusion des objets explosibles affectés, pour le transport, à une classe autre que la classe 1</w:t>
      </w:r>
      <w:r w:rsidR="00DB76FA">
        <w:rPr>
          <w:lang w:val="fr-FR"/>
        </w:rPr>
        <w:t xml:space="preserve"> </w:t>
      </w:r>
      <w:r>
        <w:rPr>
          <w:lang w:val="fr-FR"/>
        </w:rPr>
        <w:t>n’a pas encore été tranchée. Lors de la session informelle tenue en ligne par le Sous-Comité, en juillet</w:t>
      </w:r>
      <w:r w:rsidR="008031A4">
        <w:rPr>
          <w:lang w:val="fr-FR"/>
        </w:rPr>
        <w:t xml:space="preserve"> </w:t>
      </w:r>
      <w:r>
        <w:rPr>
          <w:lang w:val="fr-FR"/>
        </w:rPr>
        <w:t>2020, elle a fait l’objet d’un débat lancé à partir des idées présentées dans le document informel UN/SCETDG/57/INF.15</w:t>
      </w:r>
      <w:r w:rsidR="008031A4">
        <w:rPr>
          <w:lang w:val="fr-FR"/>
        </w:rPr>
        <w:noBreakHyphen/>
      </w:r>
      <w:r w:rsidR="008031A4">
        <w:rPr>
          <w:lang w:val="fr-FR"/>
        </w:rPr>
        <w:br/>
      </w:r>
      <w:r>
        <w:rPr>
          <w:lang w:val="fr-FR"/>
        </w:rPr>
        <w:t>UN/SCEGHS/39/INF.10. Bien que plusieurs ébauches de solutions aient émergé à cette occasion, la question ne sera pas résolue dans les délais prévus pour la soumission des documents officiels en vue des sessions de décembre 2020 des sous-comités.</w:t>
      </w:r>
    </w:p>
    <w:p w14:paraId="48F82CB3" w14:textId="77777777" w:rsidR="007C3C1A" w:rsidRPr="00D71B41" w:rsidRDefault="007C3C1A" w:rsidP="008031A4">
      <w:pPr>
        <w:pStyle w:val="SingleTxtG"/>
        <w:rPr>
          <w:lang w:val="fr-FR"/>
        </w:rPr>
      </w:pPr>
      <w:r>
        <w:rPr>
          <w:lang w:val="fr-FR"/>
        </w:rPr>
        <w:lastRenderedPageBreak/>
        <w:t>3.</w:t>
      </w:r>
      <w:r>
        <w:rPr>
          <w:lang w:val="fr-FR"/>
        </w:rPr>
        <w:tab/>
        <w:t>Sachant que la recherche d’une solution est toujours en cours, il est proposé de supprimer, pour l’instant, la disposition</w:t>
      </w:r>
      <w:r w:rsidR="008031A4">
        <w:rPr>
          <w:lang w:val="fr-FR"/>
        </w:rPr>
        <w:t> </w:t>
      </w:r>
      <w:r>
        <w:rPr>
          <w:lang w:val="fr-FR"/>
        </w:rPr>
        <w:t>2.1.1.2.2 d) du chapitre 2.1 tel qu’elle figure dans le document ST/SG/AC.10/C.3/2020/20</w:t>
      </w:r>
      <w:r w:rsidR="008031A4">
        <w:rPr>
          <w:lang w:val="fr-FR"/>
        </w:rPr>
        <w:noBreakHyphen/>
      </w:r>
      <w:r>
        <w:rPr>
          <w:lang w:val="fr-FR"/>
        </w:rPr>
        <w:t>ST/SG/AC.10/C.4/2020/5. Cette mesure permettrait de maintenir le statu</w:t>
      </w:r>
      <w:r w:rsidR="00D47035">
        <w:rPr>
          <w:lang w:val="fr-FR"/>
        </w:rPr>
        <w:t> </w:t>
      </w:r>
      <w:r>
        <w:rPr>
          <w:lang w:val="fr-FR"/>
        </w:rPr>
        <w:t>quo, puisqu’il n’existe pas de disposition correspondante dans la version actuelle du chapitre 2.1 du SGH. Il convient donc de supprimer également le deuxième paragraphe</w:t>
      </w:r>
      <w:r w:rsidR="00D47035">
        <w:rPr>
          <w:lang w:val="fr-FR"/>
        </w:rPr>
        <w:t xml:space="preserve"> </w:t>
      </w:r>
      <w:r>
        <w:rPr>
          <w:lang w:val="fr-FR"/>
        </w:rPr>
        <w:t xml:space="preserve">du nota de la section 2.1.3 du chapitre, </w:t>
      </w:r>
      <w:r w:rsidRPr="001E7F53">
        <w:rPr>
          <w:lang w:val="fr-FR"/>
        </w:rPr>
        <w:t>qui renvoie</w:t>
      </w:r>
      <w:r>
        <w:rPr>
          <w:lang w:val="fr-FR"/>
        </w:rPr>
        <w:t xml:space="preserve"> aux objets exclus au titre du 2.1.1.2.2 d).</w:t>
      </w:r>
    </w:p>
    <w:p w14:paraId="73D7A62B" w14:textId="77777777" w:rsidR="007C3C1A" w:rsidRPr="00D71B41" w:rsidRDefault="007C3C1A" w:rsidP="008031A4">
      <w:pPr>
        <w:pStyle w:val="H1G"/>
        <w:rPr>
          <w:lang w:val="fr-FR"/>
        </w:rPr>
      </w:pPr>
      <w:r>
        <w:rPr>
          <w:lang w:val="fr-FR"/>
        </w:rPr>
        <w:tab/>
      </w:r>
      <w:r>
        <w:rPr>
          <w:lang w:val="fr-FR"/>
        </w:rPr>
        <w:tab/>
        <w:t>Classement par analogie</w:t>
      </w:r>
    </w:p>
    <w:p w14:paraId="330EA2FA" w14:textId="77777777" w:rsidR="007C3C1A" w:rsidRPr="00D71B41" w:rsidRDefault="007C3C1A" w:rsidP="008031A4">
      <w:pPr>
        <w:pStyle w:val="SingleTxtG"/>
        <w:rPr>
          <w:lang w:val="fr-FR"/>
        </w:rPr>
      </w:pPr>
      <w:r w:rsidRPr="00823432">
        <w:rPr>
          <w:spacing w:val="-1"/>
          <w:lang w:val="fr-FR"/>
        </w:rPr>
        <w:t>4.</w:t>
      </w:r>
      <w:r w:rsidRPr="00823432">
        <w:rPr>
          <w:spacing w:val="-1"/>
          <w:lang w:val="fr-FR"/>
        </w:rPr>
        <w:tab/>
        <w:t>L’affectation d’une matière ou d’un objet explosible à la sous-catégorie</w:t>
      </w:r>
      <w:r w:rsidR="008031A4" w:rsidRPr="00823432">
        <w:rPr>
          <w:spacing w:val="-1"/>
          <w:lang w:val="fr-FR"/>
        </w:rPr>
        <w:t> </w:t>
      </w:r>
      <w:r w:rsidRPr="00823432">
        <w:rPr>
          <w:spacing w:val="-1"/>
          <w:lang w:val="fr-FR"/>
        </w:rPr>
        <w:t>2B ou 2C semble rester subordonnée à des résultats d’épreuves, mais on ne dispose pas de données de ce type dans le cas des matières et objets explosibles classés sur la base de leur analogie avec des matières et objets éprouvés. Il existe déjà, dans le 2.1.4 du nouveau chapitre 2.1 du SGH, tel qu’il figure dans le document ST/SG/AC.10/C.3/2020/20</w:t>
      </w:r>
      <w:r w:rsidR="008031A4" w:rsidRPr="00823432">
        <w:rPr>
          <w:spacing w:val="-1"/>
          <w:lang w:val="fr-FR"/>
        </w:rPr>
        <w:noBreakHyphen/>
      </w:r>
      <w:r w:rsidRPr="00823432">
        <w:rPr>
          <w:spacing w:val="-1"/>
          <w:lang w:val="fr-FR"/>
        </w:rPr>
        <w:t>ST/SG/AC.10/C.4/2020/5,</w:t>
      </w:r>
      <w:r>
        <w:rPr>
          <w:lang w:val="fr-FR"/>
        </w:rPr>
        <w:t xml:space="preserve"> une phrase précisant que le classement par analogie est admis sous certaines conditions. Cette phrase a été reprise dans le 2.1.3 afin d’expliciter ce point également dans la « partie réglementaire » du chapitre.</w:t>
      </w:r>
    </w:p>
    <w:p w14:paraId="538F2543" w14:textId="77777777" w:rsidR="007C3C1A" w:rsidRPr="00D71B41" w:rsidRDefault="007C3C1A" w:rsidP="008031A4">
      <w:pPr>
        <w:pStyle w:val="H1G"/>
        <w:rPr>
          <w:lang w:val="fr-FR"/>
        </w:rPr>
      </w:pPr>
      <w:r>
        <w:rPr>
          <w:lang w:val="fr-FR"/>
        </w:rPr>
        <w:tab/>
      </w:r>
      <w:r>
        <w:rPr>
          <w:lang w:val="fr-FR"/>
        </w:rPr>
        <w:tab/>
        <w:t>Classement des matières et objets explosibles non finis</w:t>
      </w:r>
    </w:p>
    <w:p w14:paraId="35957061" w14:textId="77777777" w:rsidR="007C3C1A" w:rsidRPr="00D71B41" w:rsidRDefault="007C3C1A" w:rsidP="008031A4">
      <w:pPr>
        <w:pStyle w:val="SingleTxtG"/>
        <w:rPr>
          <w:lang w:val="fr-FR"/>
        </w:rPr>
      </w:pPr>
      <w:r>
        <w:rPr>
          <w:lang w:val="fr-FR"/>
        </w:rPr>
        <w:t>5.</w:t>
      </w:r>
      <w:r>
        <w:rPr>
          <w:lang w:val="fr-FR"/>
        </w:rPr>
        <w:tab/>
        <w:t>Les 2.1.4.3.4 et 2.1.4.3.5 ont été reformulés pour que les orientations données dans le chapitre ne s’appliquent pas uniquement « aux stades de la fabrication et du traitement », auxquels ces orientations ne se limitent pas. Il est aussi proposé de préciser le libellé de ces</w:t>
      </w:r>
      <w:r w:rsidR="00823432">
        <w:rPr>
          <w:lang w:val="fr-FR"/>
        </w:rPr>
        <w:t> </w:t>
      </w:r>
      <w:r>
        <w:rPr>
          <w:lang w:val="fr-FR"/>
        </w:rPr>
        <w:t>paragraphes.</w:t>
      </w:r>
    </w:p>
    <w:p w14:paraId="41050870" w14:textId="77777777" w:rsidR="007C3C1A" w:rsidRPr="00D71B41" w:rsidRDefault="007C3C1A" w:rsidP="008031A4">
      <w:pPr>
        <w:pStyle w:val="H1G"/>
        <w:rPr>
          <w:lang w:val="fr-FR"/>
        </w:rPr>
      </w:pPr>
      <w:r>
        <w:rPr>
          <w:lang w:val="fr-FR"/>
        </w:rPr>
        <w:tab/>
      </w:r>
      <w:r>
        <w:rPr>
          <w:lang w:val="fr-FR"/>
        </w:rPr>
        <w:tab/>
        <w:t>Fusion des tableaux des critères</w:t>
      </w:r>
      <w:r w:rsidR="008031A4">
        <w:rPr>
          <w:lang w:val="fr-FR"/>
        </w:rPr>
        <w:t xml:space="preserve"> </w:t>
      </w:r>
      <w:r>
        <w:rPr>
          <w:lang w:val="fr-FR"/>
        </w:rPr>
        <w:t>de classement</w:t>
      </w:r>
    </w:p>
    <w:p w14:paraId="79218A4C" w14:textId="77777777" w:rsidR="007C3C1A" w:rsidRPr="00D71B41" w:rsidRDefault="007C3C1A" w:rsidP="008031A4">
      <w:pPr>
        <w:pStyle w:val="SingleTxtG"/>
        <w:rPr>
          <w:lang w:val="fr-FR"/>
        </w:rPr>
      </w:pPr>
      <w:r>
        <w:rPr>
          <w:lang w:val="fr-FR"/>
        </w:rPr>
        <w:t>6.</w:t>
      </w:r>
      <w:r>
        <w:rPr>
          <w:lang w:val="fr-FR"/>
        </w:rPr>
        <w:tab/>
        <w:t>L’une des modifications suggérées, très visible mais de nature « cosmétique », consiste à fusionner les critères énoncés aux 2.1.2.1 et 2.1.2.3 concernant l’affectation aux sous-catégories applicables. Une nette majorité des membres du groupe de travail informel par correspondance le demande depuis un certain temps. Le contenu (à savoir les critères proprement dits) n’est cependant pas modifié. Il faudrait donc supprimer la totalité du 2.1.2.3 tel qu’il figure dans le ST/SG/AC.10/C.3/2020/20</w:t>
      </w:r>
      <w:r w:rsidR="00D47035">
        <w:rPr>
          <w:lang w:val="fr-FR"/>
        </w:rPr>
        <w:noBreakHyphen/>
      </w:r>
      <w:r>
        <w:rPr>
          <w:lang w:val="fr-FR"/>
        </w:rPr>
        <w:t>ST/SG/AC.10/C.4/2020/5.</w:t>
      </w:r>
    </w:p>
    <w:p w14:paraId="16C38F1B" w14:textId="77777777" w:rsidR="007C3C1A" w:rsidRPr="00D71B41" w:rsidRDefault="007C3C1A" w:rsidP="008031A4">
      <w:pPr>
        <w:pStyle w:val="H1G"/>
        <w:rPr>
          <w:lang w:val="fr-FR"/>
        </w:rPr>
      </w:pPr>
      <w:r>
        <w:rPr>
          <w:lang w:val="fr-FR"/>
        </w:rPr>
        <w:tab/>
      </w:r>
      <w:r>
        <w:rPr>
          <w:lang w:val="fr-FR"/>
        </w:rPr>
        <w:tab/>
        <w:t>Ordre des définitions, lisibilité et coquilles</w:t>
      </w:r>
    </w:p>
    <w:p w14:paraId="6755BE45" w14:textId="77777777" w:rsidR="007C3C1A" w:rsidRPr="00D71B41" w:rsidRDefault="007C3C1A" w:rsidP="008031A4">
      <w:pPr>
        <w:pStyle w:val="SingleTxtG"/>
        <w:rPr>
          <w:lang w:val="fr-FR"/>
        </w:rPr>
      </w:pPr>
      <w:r>
        <w:rPr>
          <w:lang w:val="fr-FR"/>
        </w:rPr>
        <w:t>7.</w:t>
      </w:r>
      <w:r>
        <w:rPr>
          <w:lang w:val="fr-FR"/>
        </w:rPr>
        <w:tab/>
      </w:r>
      <w:r w:rsidRPr="008031A4">
        <w:rPr>
          <w:lang w:val="fr-FR"/>
        </w:rPr>
        <w:t>En outre, au 2.1.1.1, la définition du terme « division » a été placée avant celle du terme « emballage primaire » dans la mesure où celle-ci renvoie à</w:t>
      </w:r>
      <w:r>
        <w:rPr>
          <w:lang w:val="fr-FR"/>
        </w:rPr>
        <w:t xml:space="preserve"> la notion de division. En</w:t>
      </w:r>
      <w:r w:rsidR="008031A4">
        <w:rPr>
          <w:lang w:val="fr-FR"/>
        </w:rPr>
        <w:t> </w:t>
      </w:r>
      <w:r>
        <w:rPr>
          <w:lang w:val="fr-FR"/>
        </w:rPr>
        <w:t>outre, le 2.1.4.3.1 a été scindé en deux paragraphes par souci de lisibilité. Deux erreurs typographiques ont été corrigées dans les versions anglaises des 2.1.1.3.4 et 2.1.4.3.2.</w:t>
      </w:r>
    </w:p>
    <w:p w14:paraId="5F71577F" w14:textId="77777777" w:rsidR="007C3C1A" w:rsidRPr="00D71B41" w:rsidRDefault="007C3C1A" w:rsidP="008031A4">
      <w:pPr>
        <w:pStyle w:val="HChG"/>
        <w:rPr>
          <w:lang w:val="fr-FR"/>
        </w:rPr>
      </w:pPr>
      <w:r>
        <w:rPr>
          <w:lang w:val="fr-FR"/>
        </w:rPr>
        <w:tab/>
      </w:r>
      <w:r>
        <w:rPr>
          <w:lang w:val="fr-FR"/>
        </w:rPr>
        <w:tab/>
        <w:t>Propositions</w:t>
      </w:r>
    </w:p>
    <w:p w14:paraId="1A369BB3" w14:textId="77777777" w:rsidR="007C3C1A" w:rsidRPr="00D71B41" w:rsidRDefault="007C3C1A" w:rsidP="008031A4">
      <w:pPr>
        <w:pStyle w:val="SingleTxtG"/>
        <w:rPr>
          <w:lang w:val="fr-FR"/>
        </w:rPr>
      </w:pPr>
      <w:r>
        <w:rPr>
          <w:lang w:val="fr-FR"/>
        </w:rPr>
        <w:t>8.</w:t>
      </w:r>
      <w:r>
        <w:rPr>
          <w:lang w:val="fr-FR"/>
        </w:rPr>
        <w:tab/>
        <w:t>On trouvera dans l’annexe</w:t>
      </w:r>
      <w:r w:rsidR="008031A4">
        <w:rPr>
          <w:lang w:val="fr-FR"/>
        </w:rPr>
        <w:t> </w:t>
      </w:r>
      <w:r>
        <w:rPr>
          <w:lang w:val="fr-FR"/>
        </w:rPr>
        <w:t>I du présent document la liste des propositions de modifications mentionnées ci-dessus, qui concernent le chapitre 2.1 tel qu’il figure dans l’annexe I du document ST/SG/AC.10/C.3/2020/20</w:t>
      </w:r>
      <w:r w:rsidR="008031A4">
        <w:rPr>
          <w:lang w:val="fr-FR"/>
        </w:rPr>
        <w:noBreakHyphen/>
      </w:r>
      <w:r>
        <w:rPr>
          <w:lang w:val="fr-FR"/>
        </w:rPr>
        <w:t>ST/SG/AC.10/C.4/2020/5. Le</w:t>
      </w:r>
      <w:r w:rsidR="008031A4">
        <w:rPr>
          <w:lang w:val="fr-FR"/>
        </w:rPr>
        <w:t> </w:t>
      </w:r>
      <w:r>
        <w:rPr>
          <w:lang w:val="fr-FR"/>
        </w:rPr>
        <w:t>document informel UN/SCETDG/57/INF.17</w:t>
      </w:r>
      <w:r w:rsidR="008031A4">
        <w:rPr>
          <w:lang w:val="fr-FR"/>
        </w:rPr>
        <w:noBreakHyphen/>
      </w:r>
      <w:r>
        <w:rPr>
          <w:lang w:val="fr-FR"/>
        </w:rPr>
        <w:t>UN/SCEGHS/39/INF.14 contient la totalité du projet de texte pour le chapitre, tel que modifié.</w:t>
      </w:r>
    </w:p>
    <w:p w14:paraId="3BFFDF78" w14:textId="77777777" w:rsidR="007C3C1A" w:rsidRDefault="007C3C1A" w:rsidP="008031A4">
      <w:pPr>
        <w:pStyle w:val="SingleTxtG"/>
        <w:rPr>
          <w:lang w:val="fr-FR"/>
        </w:rPr>
      </w:pPr>
      <w:r>
        <w:rPr>
          <w:lang w:val="fr-FR"/>
        </w:rPr>
        <w:t>9.</w:t>
      </w:r>
      <w:r>
        <w:rPr>
          <w:lang w:val="fr-FR"/>
        </w:rPr>
        <w:tab/>
        <w:t>Les propositions corollaires qui figurent dans les annexes II et III du document ST/SG/AC.10/C.3/2020/20</w:t>
      </w:r>
      <w:r w:rsidR="008031A4">
        <w:rPr>
          <w:lang w:val="fr-FR"/>
        </w:rPr>
        <w:noBreakHyphen/>
      </w:r>
      <w:r>
        <w:rPr>
          <w:lang w:val="fr-FR"/>
        </w:rPr>
        <w:t>ST/SG/AC.10/C.4/2020/5 restent inchangées. Les diagrammes de décision du 2.1.4.1 sont en cours d’élaboration et seront présentés dans un document distinct.</w:t>
      </w:r>
    </w:p>
    <w:p w14:paraId="622CD655" w14:textId="77777777" w:rsidR="007C3C1A" w:rsidRPr="00D71B41" w:rsidRDefault="007C3C1A" w:rsidP="008031A4">
      <w:pPr>
        <w:pStyle w:val="HChG"/>
        <w:rPr>
          <w:lang w:val="fr-FR"/>
        </w:rPr>
      </w:pPr>
      <w:r>
        <w:rPr>
          <w:lang w:val="fr-FR"/>
        </w:rPr>
        <w:br w:type="page"/>
      </w:r>
      <w:r>
        <w:rPr>
          <w:lang w:val="fr-FR"/>
        </w:rPr>
        <w:lastRenderedPageBreak/>
        <w:tab/>
        <w:t>Annexe I</w:t>
      </w:r>
    </w:p>
    <w:p w14:paraId="6D276F9D" w14:textId="77777777" w:rsidR="007C3C1A" w:rsidRPr="00D71B41" w:rsidRDefault="007C3C1A" w:rsidP="008031A4">
      <w:pPr>
        <w:pStyle w:val="HChG"/>
        <w:rPr>
          <w:lang w:val="fr-FR"/>
        </w:rPr>
      </w:pPr>
      <w:r>
        <w:rPr>
          <w:lang w:val="fr-FR"/>
        </w:rPr>
        <w:tab/>
      </w:r>
      <w:r>
        <w:rPr>
          <w:lang w:val="fr-FR"/>
        </w:rPr>
        <w:tab/>
        <w:t>Liste d’amendements au chapitre 2.1 du SGH tel qu’il figure dans l’annexe I du document ST/SG/AC.10/C.3/2020/20</w:t>
      </w:r>
      <w:r w:rsidR="008031A4">
        <w:rPr>
          <w:lang w:val="fr-FR"/>
        </w:rPr>
        <w:noBreakHyphen/>
      </w:r>
      <w:r w:rsidR="008031A4">
        <w:rPr>
          <w:lang w:val="fr-FR"/>
        </w:rPr>
        <w:br/>
      </w:r>
      <w:r>
        <w:rPr>
          <w:lang w:val="fr-FR"/>
        </w:rPr>
        <w:t>ST/SG/AC.10/C.4/2020/5</w:t>
      </w:r>
    </w:p>
    <w:p w14:paraId="1CF1DA17" w14:textId="77777777" w:rsidR="007C3C1A" w:rsidRPr="00D71B41" w:rsidRDefault="007C3C1A" w:rsidP="008031A4">
      <w:pPr>
        <w:pStyle w:val="Bullet1G"/>
        <w:rPr>
          <w:lang w:val="fr-FR"/>
        </w:rPr>
      </w:pPr>
      <w:r>
        <w:rPr>
          <w:lang w:val="fr-FR"/>
        </w:rPr>
        <w:t>Modifier l’ordre des définitions de sorte que le terme « division » soit placé juste avant le terme « emballage primaire » ;</w:t>
      </w:r>
    </w:p>
    <w:p w14:paraId="0548682B" w14:textId="77777777" w:rsidR="007C3C1A" w:rsidRPr="00D71B41" w:rsidRDefault="007C3C1A" w:rsidP="008031A4">
      <w:pPr>
        <w:pStyle w:val="Bullet1G"/>
        <w:rPr>
          <w:lang w:val="fr-FR"/>
        </w:rPr>
      </w:pPr>
      <w:r>
        <w:rPr>
          <w:lang w:val="fr-FR"/>
        </w:rPr>
        <w:t>Au 2.1.1.2.2, supprimer la totalité du texte de l’alinéa d). Supprimer aussi, par conséquent, le dernier paragraphe du nota, au 2.1.3 ;</w:t>
      </w:r>
    </w:p>
    <w:p w14:paraId="45D0FBDC" w14:textId="77777777" w:rsidR="007C3C1A" w:rsidRPr="00D71B41" w:rsidRDefault="007C3C1A" w:rsidP="008031A4">
      <w:pPr>
        <w:pStyle w:val="Bullet1G"/>
        <w:rPr>
          <w:lang w:val="fr-FR"/>
        </w:rPr>
      </w:pPr>
      <w:r>
        <w:rPr>
          <w:lang w:val="fr-FR"/>
        </w:rPr>
        <w:t>Au 2.1.1.3.1, ajouter une troisième phrase, comme suit :</w:t>
      </w:r>
    </w:p>
    <w:p w14:paraId="7D5AF046" w14:textId="77777777" w:rsidR="007C3C1A" w:rsidRPr="00D71B41" w:rsidRDefault="007C3C1A" w:rsidP="008031A4">
      <w:pPr>
        <w:pStyle w:val="SingleTxtG"/>
        <w:ind w:left="1701"/>
        <w:rPr>
          <w:lang w:val="fr-FR"/>
        </w:rPr>
      </w:pPr>
      <w:r>
        <w:rPr>
          <w:lang w:val="fr-FR"/>
        </w:rPr>
        <w:t>« On peut éventuellement procéder par analogie avec des matières ou objets explosibles éprouvés, en appréciant si les éventuelles modifications de la configuration peuvent avoir une incidence sur le danger présenté par comparaison avec la configuration éprouvée, et cette méthode est étroitement circonscrite en fonction de la quantité, de l’emballage et de la conception de la matière ou de l’objet explosible. » ;</w:t>
      </w:r>
    </w:p>
    <w:p w14:paraId="24C0A6F7" w14:textId="77777777" w:rsidR="007C3C1A" w:rsidRPr="00823432" w:rsidRDefault="007C3C1A" w:rsidP="008031A4">
      <w:pPr>
        <w:pStyle w:val="Bullet1G"/>
        <w:rPr>
          <w:lang w:val="fr-FR"/>
        </w:rPr>
      </w:pPr>
      <w:r>
        <w:rPr>
          <w:lang w:val="fr-FR"/>
        </w:rPr>
        <w:t xml:space="preserve">Au 2.1.2.1, modifier la première phrase comme suit </w:t>
      </w:r>
      <w:r w:rsidRPr="00823432">
        <w:rPr>
          <w:lang w:val="fr-FR"/>
        </w:rPr>
        <w:t xml:space="preserve">(les modifications qu’il est proposé d’apporter figurent en caractères </w:t>
      </w:r>
      <w:r w:rsidRPr="00436E0C">
        <w:rPr>
          <w:b/>
          <w:bCs/>
          <w:u w:val="single"/>
          <w:lang w:val="fr-FR"/>
        </w:rPr>
        <w:t>gras et soulignés</w:t>
      </w:r>
      <w:r w:rsidRPr="00823432">
        <w:rPr>
          <w:lang w:val="fr-FR"/>
        </w:rPr>
        <w:t xml:space="preserve"> pour les ajouts et </w:t>
      </w:r>
      <w:r w:rsidRPr="00436E0C">
        <w:rPr>
          <w:b/>
          <w:bCs/>
          <w:strike/>
          <w:lang w:val="fr-FR"/>
        </w:rPr>
        <w:t>gras et biffés</w:t>
      </w:r>
      <w:r w:rsidRPr="00823432">
        <w:rPr>
          <w:lang w:val="fr-FR"/>
        </w:rPr>
        <w:t xml:space="preserve"> pour les suppressions) :</w:t>
      </w:r>
    </w:p>
    <w:p w14:paraId="0DD21D30" w14:textId="77777777" w:rsidR="007C3C1A" w:rsidRPr="00D71B41" w:rsidRDefault="007C3C1A" w:rsidP="008031A4">
      <w:pPr>
        <w:pStyle w:val="SingleTxtG"/>
        <w:ind w:left="1701"/>
        <w:rPr>
          <w:lang w:val="fr-FR"/>
        </w:rPr>
      </w:pPr>
      <w:r>
        <w:rPr>
          <w:lang w:val="fr-FR"/>
        </w:rPr>
        <w:t xml:space="preserve">« Les matières et objets explosibles de cette classe relèvent de l’une des </w:t>
      </w:r>
      <w:r w:rsidRPr="00436E0C">
        <w:rPr>
          <w:b/>
          <w:bCs/>
          <w:strike/>
          <w:lang w:val="fr-FR"/>
        </w:rPr>
        <w:t>deux</w:t>
      </w:r>
      <w:r>
        <w:rPr>
          <w:lang w:val="fr-FR"/>
        </w:rPr>
        <w:t xml:space="preserve"> catégories </w:t>
      </w:r>
      <w:r w:rsidRPr="00436E0C">
        <w:rPr>
          <w:b/>
          <w:bCs/>
          <w:u w:val="single"/>
          <w:lang w:val="fr-FR"/>
        </w:rPr>
        <w:t>ou sous-catégories</w:t>
      </w:r>
      <w:r>
        <w:rPr>
          <w:lang w:val="fr-FR"/>
        </w:rPr>
        <w:t xml:space="preserve"> décrites dans le tableau suivant</w:t>
      </w:r>
      <w:r w:rsidRPr="00436E0C">
        <w:rPr>
          <w:lang w:val="fr-FR"/>
        </w:rPr>
        <w:t> </w:t>
      </w:r>
      <w:r>
        <w:rPr>
          <w:lang w:val="fr-FR"/>
        </w:rPr>
        <w:t>: »</w:t>
      </w:r>
    </w:p>
    <w:p w14:paraId="50B66A8A" w14:textId="77777777" w:rsidR="007C3C1A" w:rsidRPr="00D71B41" w:rsidRDefault="007C3C1A" w:rsidP="008031A4">
      <w:pPr>
        <w:pStyle w:val="Bullet1G"/>
        <w:rPr>
          <w:lang w:val="fr-FR"/>
        </w:rPr>
      </w:pPr>
      <w:r>
        <w:rPr>
          <w:lang w:val="fr-FR"/>
        </w:rPr>
        <w:t>Fusionner les tableaux des 2.1.2.1 et 2.1.2.3 en un seul tableau sous le 2.1.2.1, comme indiqué dans l’annexe II du présent document, et supprimer en conséquence le 2.1.2.3 dans son intégralité.</w:t>
      </w:r>
    </w:p>
    <w:p w14:paraId="01222181" w14:textId="77777777" w:rsidR="007C3C1A" w:rsidRPr="00D71B41" w:rsidRDefault="007C3C1A" w:rsidP="008031A4">
      <w:pPr>
        <w:pStyle w:val="Bullet1G"/>
        <w:rPr>
          <w:lang w:val="fr-FR"/>
        </w:rPr>
      </w:pPr>
      <w:r>
        <w:rPr>
          <w:lang w:val="fr-FR"/>
        </w:rPr>
        <w:t xml:space="preserve">Scinder le 2.1.4.3.1 en deux paragraphes après la phrase « La configuration est, en outre, régie par les prescriptions relatives à la conception et à l’emballage énoncées dans le </w:t>
      </w:r>
      <w:r>
        <w:rPr>
          <w:i/>
          <w:iCs/>
          <w:lang w:val="fr-FR"/>
        </w:rPr>
        <w:t>Règlement type de l’ONU</w:t>
      </w:r>
      <w:r>
        <w:rPr>
          <w:lang w:val="fr-FR"/>
        </w:rPr>
        <w:t>. », pour former les 2.1.4.3.1.1 et 2.1.4.3.1.2.</w:t>
      </w:r>
    </w:p>
    <w:p w14:paraId="156BFE86" w14:textId="77777777" w:rsidR="007C3C1A" w:rsidRPr="00D71B41" w:rsidRDefault="007C3C1A" w:rsidP="008031A4">
      <w:pPr>
        <w:pStyle w:val="Bullet1G"/>
        <w:rPr>
          <w:sz w:val="24"/>
          <w:lang w:val="fr-FR"/>
        </w:rPr>
      </w:pPr>
      <w:r>
        <w:rPr>
          <w:lang w:val="fr-FR"/>
        </w:rPr>
        <w:t xml:space="preserve">Modifier le 2.1.4.3.4 et le 2.1.4.3.5 comme suit (les modifications </w:t>
      </w:r>
      <w:r w:rsidRPr="00CF1563">
        <w:rPr>
          <w:lang w:val="fr-FR"/>
        </w:rPr>
        <w:t>qu</w:t>
      </w:r>
      <w:r>
        <w:rPr>
          <w:lang w:val="fr-FR"/>
        </w:rPr>
        <w:t>’</w:t>
      </w:r>
      <w:r w:rsidRPr="00CF1563">
        <w:rPr>
          <w:lang w:val="fr-FR"/>
        </w:rPr>
        <w:t>il est proposé d</w:t>
      </w:r>
      <w:r>
        <w:rPr>
          <w:lang w:val="fr-FR"/>
        </w:rPr>
        <w:t>’</w:t>
      </w:r>
      <w:r w:rsidRPr="00CF1563">
        <w:rPr>
          <w:lang w:val="fr-FR"/>
        </w:rPr>
        <w:t xml:space="preserve">apporter </w:t>
      </w:r>
      <w:r>
        <w:rPr>
          <w:lang w:val="fr-FR"/>
        </w:rPr>
        <w:t xml:space="preserve">figurent en caractères </w:t>
      </w:r>
      <w:r w:rsidRPr="004769CD">
        <w:rPr>
          <w:b/>
          <w:bCs/>
          <w:u w:val="single"/>
          <w:lang w:val="fr-FR"/>
        </w:rPr>
        <w:t>gras et soulignés</w:t>
      </w:r>
      <w:r>
        <w:rPr>
          <w:lang w:val="fr-FR"/>
        </w:rPr>
        <w:t xml:space="preserve"> pour les ajouts et </w:t>
      </w:r>
      <w:r w:rsidRPr="004769CD">
        <w:rPr>
          <w:b/>
          <w:bCs/>
          <w:strike/>
          <w:lang w:val="fr-FR"/>
        </w:rPr>
        <w:t>gras et biffés</w:t>
      </w:r>
      <w:r>
        <w:rPr>
          <w:lang w:val="fr-FR"/>
        </w:rPr>
        <w:t xml:space="preserve"> pour les suppressions) :</w:t>
      </w:r>
    </w:p>
    <w:p w14:paraId="6B10180B" w14:textId="77777777" w:rsidR="007C3C1A" w:rsidRPr="00D71B41" w:rsidRDefault="007C3C1A" w:rsidP="008031A4">
      <w:pPr>
        <w:pStyle w:val="SingleTxtG"/>
        <w:ind w:left="1701"/>
        <w:rPr>
          <w:u w:val="single"/>
          <w:lang w:val="fr-FR"/>
        </w:rPr>
      </w:pPr>
      <w:r>
        <w:rPr>
          <w:lang w:val="fr-FR"/>
        </w:rPr>
        <w:t>« 2.1.4.3.4</w:t>
      </w:r>
      <w:r>
        <w:rPr>
          <w:lang w:val="fr-FR"/>
        </w:rPr>
        <w:tab/>
        <w:t xml:space="preserve">Classement </w:t>
      </w:r>
      <w:r w:rsidRPr="004769CD">
        <w:rPr>
          <w:b/>
          <w:bCs/>
          <w:strike/>
          <w:lang w:val="fr-FR"/>
        </w:rPr>
        <w:t>aux stades de la fabrication et du traitement</w:t>
      </w:r>
      <w:r>
        <w:rPr>
          <w:strike/>
          <w:lang w:val="fr-FR"/>
        </w:rPr>
        <w:t xml:space="preserve"> </w:t>
      </w:r>
      <w:r>
        <w:rPr>
          <w:lang w:val="fr-FR"/>
        </w:rPr>
        <w:t xml:space="preserve">des matières et objets explosibles </w:t>
      </w:r>
      <w:r w:rsidRPr="004769CD">
        <w:rPr>
          <w:b/>
          <w:bCs/>
          <w:u w:val="single"/>
          <w:lang w:val="fr-FR"/>
        </w:rPr>
        <w:t>ne pouvant être affectés à une division</w:t>
      </w:r>
    </w:p>
    <w:p w14:paraId="637760A2" w14:textId="77777777" w:rsidR="007C3C1A" w:rsidRPr="00D71B41" w:rsidRDefault="007C3C1A" w:rsidP="008031A4">
      <w:pPr>
        <w:pStyle w:val="SingleTxtG"/>
        <w:ind w:left="1701"/>
        <w:rPr>
          <w:lang w:val="fr-FR"/>
        </w:rPr>
      </w:pPr>
      <w:r>
        <w:rPr>
          <w:lang w:val="fr-FR"/>
        </w:rPr>
        <w:t>2.1.4.3.4.1</w:t>
      </w:r>
      <w:r>
        <w:rPr>
          <w:lang w:val="fr-FR"/>
        </w:rPr>
        <w:tab/>
        <w:t>Au stade de leur fabrication</w:t>
      </w:r>
      <w:r w:rsidRPr="00B3461C">
        <w:rPr>
          <w:lang w:val="fr-FR"/>
        </w:rPr>
        <w:t xml:space="preserve"> ou </w:t>
      </w:r>
      <w:r>
        <w:rPr>
          <w:lang w:val="fr-FR"/>
        </w:rPr>
        <w:t xml:space="preserve">de leur traitement </w:t>
      </w:r>
      <w:r w:rsidRPr="004769CD">
        <w:rPr>
          <w:b/>
          <w:bCs/>
          <w:u w:val="single"/>
          <w:lang w:val="fr-FR"/>
        </w:rPr>
        <w:t>ou lorsqu’ils se trouvent à l’état non fini</w:t>
      </w:r>
      <w:r>
        <w:rPr>
          <w:lang w:val="fr-FR"/>
        </w:rPr>
        <w:t>, les matières et objets explosibles ne peuvent pas être affectés à une division jusqu’à ce qu’ils soient placés dans une configuration de transport, et ainsi affectés à la catégorie</w:t>
      </w:r>
      <w:r w:rsidR="004769CD">
        <w:rPr>
          <w:lang w:val="fr-FR"/>
        </w:rPr>
        <w:t> </w:t>
      </w:r>
      <w:r>
        <w:rPr>
          <w:lang w:val="fr-FR"/>
        </w:rPr>
        <w:t>1. De même, les matières et objets explosibles affectés à la catégorie 2 sont réaffectés à la catégorie</w:t>
      </w:r>
      <w:r w:rsidR="004769CD">
        <w:rPr>
          <w:lang w:val="fr-FR"/>
        </w:rPr>
        <w:t> </w:t>
      </w:r>
      <w:r>
        <w:rPr>
          <w:lang w:val="fr-FR"/>
        </w:rPr>
        <w:t>1 lorsqu’ils sont retirés de leur emballage primaire à des fins autres que leur utilisation (à moins que leur emballage primaire puisse être mis au rebut</w:t>
      </w:r>
      <w:r w:rsidR="00823432">
        <w:rPr>
          <w:lang w:val="fr-FR"/>
        </w:rPr>
        <w:t> </w:t>
      </w:r>
      <w:r>
        <w:rPr>
          <w:lang w:val="fr-FR"/>
        </w:rPr>
        <w:t>; voir 2.1.4.3.3).</w:t>
      </w:r>
    </w:p>
    <w:p w14:paraId="75C30808" w14:textId="77777777" w:rsidR="007C3C1A" w:rsidRPr="00D71B41" w:rsidRDefault="007C3C1A" w:rsidP="008031A4">
      <w:pPr>
        <w:pStyle w:val="SingleTxtG"/>
        <w:ind w:left="1701"/>
        <w:rPr>
          <w:lang w:val="fr-FR"/>
        </w:rPr>
      </w:pPr>
      <w:r>
        <w:rPr>
          <w:lang w:val="fr-FR"/>
        </w:rPr>
        <w:t>2.1.4.3.4.2</w:t>
      </w:r>
      <w:r>
        <w:rPr>
          <w:lang w:val="fr-FR"/>
        </w:rPr>
        <w:tab/>
        <w:t xml:space="preserve">La sensibilité et la gravité du danger que présentent les matières et objets explosibles non emballés </w:t>
      </w:r>
      <w:r w:rsidRPr="004769CD">
        <w:rPr>
          <w:b/>
          <w:bCs/>
          <w:strike/>
          <w:lang w:val="fr-FR"/>
        </w:rPr>
        <w:t>au stade de la fabrication ou du traitement</w:t>
      </w:r>
      <w:r>
        <w:rPr>
          <w:strike/>
          <w:lang w:val="fr-FR"/>
        </w:rPr>
        <w:t xml:space="preserve"> </w:t>
      </w:r>
      <w:r>
        <w:rPr>
          <w:lang w:val="fr-FR"/>
        </w:rPr>
        <w:t>sont fonction de paramètres extrinsèques liés aux méthodes employées, dont la quantité, la profondeur, le confinement, le mode d’amorçage, la composition, l’état physique, notamment la granulométrie, etc. Les dangers que présentent les matières et objets explosibles de la catégorie</w:t>
      </w:r>
      <w:r w:rsidR="00823432">
        <w:rPr>
          <w:lang w:val="fr-FR"/>
        </w:rPr>
        <w:t> </w:t>
      </w:r>
      <w:r>
        <w:rPr>
          <w:lang w:val="fr-FR"/>
        </w:rPr>
        <w:t>1 sont donc fortement variables et ils peuvent aussi évoluer de manière dynamique au fil des processus. C’est pourquoi la communication des dangers pour la catégorie</w:t>
      </w:r>
      <w:r w:rsidR="00823432">
        <w:rPr>
          <w:lang w:val="fr-FR"/>
        </w:rPr>
        <w:t> </w:t>
      </w:r>
      <w:r>
        <w:rPr>
          <w:lang w:val="fr-FR"/>
        </w:rPr>
        <w:t>1 ne peut contenir aucun détail concernant le comportement explosible. L’analyse des dangers des processus et les principes de gestion des risques devraient être appliqués dans les cas précités afin de déterminer et de gérer les risques afférents aux différents processus conformément aux pratiques optimales et à la réglementation applicable.</w:t>
      </w:r>
    </w:p>
    <w:p w14:paraId="56180B4C" w14:textId="77777777" w:rsidR="007C3C1A" w:rsidRPr="00D71B41" w:rsidRDefault="007C3C1A" w:rsidP="008031A4">
      <w:pPr>
        <w:pStyle w:val="SingleTxtG"/>
        <w:ind w:left="1701"/>
        <w:rPr>
          <w:u w:val="single"/>
          <w:lang w:val="fr-FR"/>
        </w:rPr>
      </w:pPr>
      <w:r>
        <w:rPr>
          <w:lang w:val="fr-FR"/>
        </w:rPr>
        <w:lastRenderedPageBreak/>
        <w:t>2.1.4.3.5</w:t>
      </w:r>
      <w:r>
        <w:rPr>
          <w:lang w:val="fr-FR"/>
        </w:rPr>
        <w:tab/>
        <w:t xml:space="preserve">Sûreté </w:t>
      </w:r>
      <w:r w:rsidRPr="00CC0021">
        <w:rPr>
          <w:b/>
          <w:bCs/>
          <w:strike/>
          <w:lang w:val="fr-FR"/>
        </w:rPr>
        <w:t xml:space="preserve">aux stades de la fabrication et du traitement </w:t>
      </w:r>
      <w:r w:rsidRPr="00CC0021">
        <w:rPr>
          <w:b/>
          <w:bCs/>
          <w:lang w:val="fr-FR"/>
        </w:rPr>
        <w:t>dans le cas</w:t>
      </w:r>
      <w:r>
        <w:rPr>
          <w:lang w:val="fr-FR"/>
        </w:rPr>
        <w:t xml:space="preserve"> des matières et objets explosibles </w:t>
      </w:r>
      <w:r w:rsidRPr="00CC0021">
        <w:rPr>
          <w:b/>
          <w:bCs/>
          <w:u w:val="single"/>
          <w:lang w:val="fr-FR"/>
        </w:rPr>
        <w:t>qui ne satisfont pas aux épreuves des séries 3 ou 4</w:t>
      </w:r>
    </w:p>
    <w:p w14:paraId="73764E21" w14:textId="77777777" w:rsidR="007C3C1A" w:rsidRPr="00D71B41" w:rsidRDefault="007C3C1A" w:rsidP="008031A4">
      <w:pPr>
        <w:pStyle w:val="SingleTxtG"/>
        <w:ind w:left="1701"/>
        <w:rPr>
          <w:lang w:val="fr-FR"/>
        </w:rPr>
      </w:pPr>
      <w:r>
        <w:rPr>
          <w:lang w:val="fr-FR"/>
        </w:rPr>
        <w:t>La catégorie</w:t>
      </w:r>
      <w:r w:rsidR="008031A4">
        <w:rPr>
          <w:lang w:val="fr-FR"/>
        </w:rPr>
        <w:t> </w:t>
      </w:r>
      <w:r>
        <w:rPr>
          <w:lang w:val="fr-FR"/>
        </w:rPr>
        <w:t>1 comprend aussi les matières et objets explosibles qui ne satisfont pas aux épreuves des séries</w:t>
      </w:r>
      <w:r w:rsidR="008031A4">
        <w:rPr>
          <w:lang w:val="fr-FR"/>
        </w:rPr>
        <w:t> </w:t>
      </w:r>
      <w:r>
        <w:rPr>
          <w:lang w:val="fr-FR"/>
        </w:rPr>
        <w:t xml:space="preserve">3 ou 4 lorsqu’ils se trouvent dans une certaine configuration, en raison d’une trop grande sensibilité aux sollicitations pendant le transport. Il se peut que </w:t>
      </w:r>
      <w:r w:rsidRPr="00CC0021">
        <w:rPr>
          <w:b/>
          <w:bCs/>
          <w:strike/>
          <w:lang w:val="fr-FR"/>
        </w:rPr>
        <w:t>ces épreuves et leurs</w:t>
      </w:r>
      <w:r w:rsidRPr="00CC0021">
        <w:rPr>
          <w:b/>
          <w:bCs/>
          <w:lang w:val="fr-FR"/>
        </w:rPr>
        <w:t xml:space="preserve"> </w:t>
      </w:r>
      <w:r w:rsidRPr="00CC0021">
        <w:rPr>
          <w:b/>
          <w:bCs/>
          <w:u w:val="single"/>
          <w:lang w:val="fr-FR"/>
        </w:rPr>
        <w:t>les</w:t>
      </w:r>
      <w:r>
        <w:rPr>
          <w:u w:val="single"/>
          <w:lang w:val="fr-FR"/>
        </w:rPr>
        <w:t xml:space="preserve"> </w:t>
      </w:r>
      <w:r>
        <w:rPr>
          <w:lang w:val="fr-FR"/>
        </w:rPr>
        <w:t xml:space="preserve">niveaux limites </w:t>
      </w:r>
      <w:r w:rsidRPr="00CC0021">
        <w:rPr>
          <w:b/>
          <w:bCs/>
          <w:u w:val="single"/>
          <w:lang w:val="fr-FR"/>
        </w:rPr>
        <w:t xml:space="preserve">de ces épreuves </w:t>
      </w:r>
      <w:r>
        <w:rPr>
          <w:lang w:val="fr-FR"/>
        </w:rPr>
        <w:t>ne soient pas représentatifs des niveaux d’énergie mis en jeu aux stades du traitement et de la fabrication des matières et objets explosibles</w:t>
      </w:r>
      <w:r w:rsidRPr="00CC0021">
        <w:rPr>
          <w:b/>
          <w:bCs/>
          <w:u w:val="single"/>
          <w:lang w:val="fr-FR"/>
        </w:rPr>
        <w:t>.</w:t>
      </w:r>
      <w:r w:rsidRPr="00CC0021">
        <w:rPr>
          <w:b/>
          <w:bCs/>
          <w:strike/>
          <w:lang w:val="fr-FR"/>
        </w:rPr>
        <w:t>, et qu’ils</w:t>
      </w:r>
      <w:r w:rsidRPr="00CC0021">
        <w:rPr>
          <w:b/>
          <w:bCs/>
          <w:lang w:val="fr-FR"/>
        </w:rPr>
        <w:t xml:space="preserve"> </w:t>
      </w:r>
      <w:r w:rsidRPr="00CC0021">
        <w:rPr>
          <w:b/>
          <w:bCs/>
          <w:u w:val="single"/>
          <w:lang w:val="fr-FR"/>
        </w:rPr>
        <w:t xml:space="preserve">En outre, ces épreuves </w:t>
      </w:r>
      <w:r>
        <w:rPr>
          <w:lang w:val="fr-FR"/>
        </w:rPr>
        <w:t xml:space="preserve">ne tiennent pas compte de tous les types de sollicitations possibles, tels que les décharges électrostatiques. C’est pourquoi il </w:t>
      </w:r>
      <w:r w:rsidRPr="00CC0021">
        <w:rPr>
          <w:b/>
          <w:bCs/>
          <w:strike/>
          <w:lang w:val="fr-FR"/>
        </w:rPr>
        <w:t xml:space="preserve">convient </w:t>
      </w:r>
      <w:r w:rsidRPr="00CC0021">
        <w:rPr>
          <w:b/>
          <w:bCs/>
          <w:lang w:val="fr-FR"/>
        </w:rPr>
        <w:t>pourrait être nécessaire</w:t>
      </w:r>
      <w:r>
        <w:rPr>
          <w:lang w:val="fr-FR"/>
        </w:rPr>
        <w:t xml:space="preserve">, pour garantir la sécurité des opérations de traitement et de manutention, de mener des recherches </w:t>
      </w:r>
      <w:r w:rsidRPr="00CC0021">
        <w:rPr>
          <w:b/>
          <w:bCs/>
          <w:strike/>
          <w:lang w:val="fr-FR"/>
        </w:rPr>
        <w:t>plus poussées</w:t>
      </w:r>
      <w:r w:rsidRPr="00CC0021">
        <w:rPr>
          <w:b/>
          <w:bCs/>
          <w:lang w:val="fr-FR"/>
        </w:rPr>
        <w:t xml:space="preserve"> </w:t>
      </w:r>
      <w:r w:rsidRPr="00CC0021">
        <w:rPr>
          <w:b/>
          <w:bCs/>
          <w:u w:val="single"/>
          <w:lang w:val="fr-FR"/>
        </w:rPr>
        <w:t>supplémentaires</w:t>
      </w:r>
      <w:r>
        <w:rPr>
          <w:u w:val="single"/>
          <w:lang w:val="fr-FR"/>
        </w:rPr>
        <w:t xml:space="preserve"> </w:t>
      </w:r>
      <w:r>
        <w:rPr>
          <w:lang w:val="fr-FR"/>
        </w:rPr>
        <w:t>sur la matière ou l’objet explosible en question</w:t>
      </w:r>
      <w:r w:rsidRPr="00CC0021">
        <w:rPr>
          <w:b/>
          <w:bCs/>
          <w:strike/>
          <w:lang w:val="fr-FR"/>
        </w:rPr>
        <w:t xml:space="preserve"> et d’assurer une gestion des risques appropriée</w:t>
      </w:r>
      <w:r>
        <w:rPr>
          <w:lang w:val="fr-FR"/>
        </w:rPr>
        <w:t>.</w:t>
      </w:r>
    </w:p>
    <w:p w14:paraId="1CA03AEE" w14:textId="77777777" w:rsidR="007C3C1A" w:rsidRPr="00D71B41" w:rsidRDefault="007C3C1A" w:rsidP="008031A4">
      <w:pPr>
        <w:pStyle w:val="Bullet1G"/>
        <w:rPr>
          <w:lang w:val="fr-FR"/>
        </w:rPr>
      </w:pPr>
      <w:r>
        <w:rPr>
          <w:lang w:val="fr-FR"/>
        </w:rPr>
        <w:t>Titre du 2.1.4.3.2, modification sans objet en français.</w:t>
      </w:r>
    </w:p>
    <w:p w14:paraId="4A018883" w14:textId="77777777" w:rsidR="007C3C1A" w:rsidRPr="008031A4" w:rsidRDefault="007C3C1A" w:rsidP="007C3C1A">
      <w:pPr>
        <w:pStyle w:val="Bullet1G"/>
        <w:rPr>
          <w:lang w:val="fr-FR"/>
        </w:rPr>
      </w:pPr>
      <w:r w:rsidRPr="00CA2466">
        <w:rPr>
          <w:lang w:val="fr-FR"/>
        </w:rPr>
        <w:t>Avant-dernière phrase du 2.1.1.3.4, modification sans objet en français.</w:t>
      </w:r>
    </w:p>
    <w:p w14:paraId="37DEF171" w14:textId="77777777" w:rsidR="007C3C1A" w:rsidRPr="00D71B41" w:rsidRDefault="007C3C1A" w:rsidP="008031A4">
      <w:pPr>
        <w:pStyle w:val="HChG"/>
        <w:rPr>
          <w:lang w:val="fr-FR"/>
        </w:rPr>
      </w:pPr>
      <w:r>
        <w:rPr>
          <w:lang w:val="fr-FR"/>
        </w:rPr>
        <w:br w:type="page"/>
      </w:r>
      <w:r>
        <w:rPr>
          <w:lang w:val="fr-FR"/>
        </w:rPr>
        <w:lastRenderedPageBreak/>
        <w:tab/>
        <w:t>Annexe II</w:t>
      </w:r>
    </w:p>
    <w:p w14:paraId="7EE14C72" w14:textId="77777777" w:rsidR="007C3C1A" w:rsidRPr="008031A4" w:rsidRDefault="007C3C1A" w:rsidP="00823432">
      <w:pPr>
        <w:pStyle w:val="HChG"/>
        <w:ind w:right="0"/>
        <w:rPr>
          <w:lang w:val="fr-FR"/>
        </w:rPr>
      </w:pPr>
      <w:r w:rsidRPr="008031A4">
        <w:rPr>
          <w:lang w:val="fr-FR"/>
        </w:rPr>
        <w:tab/>
      </w:r>
      <w:r w:rsidRPr="008031A4">
        <w:rPr>
          <w:lang w:val="fr-FR"/>
        </w:rPr>
        <w:tab/>
        <w:t>Nouveau tableau de critères, 2.1.2.1, nouveau chapitre 2.1 du</w:t>
      </w:r>
      <w:r w:rsidR="00CC0021">
        <w:rPr>
          <w:lang w:val="fr-FR"/>
        </w:rPr>
        <w:t xml:space="preserve"> </w:t>
      </w:r>
      <w:r w:rsidRPr="008031A4">
        <w:rPr>
          <w:lang w:val="fr-FR"/>
        </w:rPr>
        <w:t>SGH</w:t>
      </w:r>
    </w:p>
    <w:tbl>
      <w:tblPr>
        <w:tblW w:w="8504" w:type="dxa"/>
        <w:tblInd w:w="1134" w:type="dxa"/>
        <w:tblLayout w:type="fixed"/>
        <w:tblCellMar>
          <w:top w:w="57" w:type="dxa"/>
          <w:left w:w="57" w:type="dxa"/>
          <w:bottom w:w="57" w:type="dxa"/>
          <w:right w:w="57" w:type="dxa"/>
        </w:tblCellMar>
        <w:tblLook w:val="04A0" w:firstRow="1" w:lastRow="0" w:firstColumn="1" w:lastColumn="0" w:noHBand="0" w:noVBand="1"/>
      </w:tblPr>
      <w:tblGrid>
        <w:gridCol w:w="1097"/>
        <w:gridCol w:w="1095"/>
        <w:gridCol w:w="6312"/>
      </w:tblGrid>
      <w:tr w:rsidR="000A43FF" w:rsidRPr="000A43FF" w14:paraId="2B302959" w14:textId="77777777" w:rsidTr="00823432">
        <w:tc>
          <w:tcPr>
            <w:tcW w:w="993" w:type="dxa"/>
            <w:tcBorders>
              <w:top w:val="single" w:sz="4" w:space="0" w:color="auto"/>
              <w:bottom w:val="single" w:sz="12" w:space="0" w:color="auto"/>
            </w:tcBorders>
            <w:shd w:val="clear" w:color="auto" w:fill="auto"/>
            <w:hideMark/>
          </w:tcPr>
          <w:p w14:paraId="243EADCC" w14:textId="77777777" w:rsidR="007C3C1A" w:rsidRPr="000A43FF" w:rsidRDefault="007C3C1A" w:rsidP="000A43FF">
            <w:pPr>
              <w:suppressAutoHyphens w:val="0"/>
              <w:spacing w:before="60" w:after="60" w:line="200" w:lineRule="exact"/>
              <w:ind w:left="57" w:right="57"/>
              <w:rPr>
                <w:i/>
                <w:spacing w:val="4"/>
                <w:w w:val="103"/>
                <w:kern w:val="14"/>
                <w:sz w:val="16"/>
              </w:rPr>
            </w:pPr>
            <w:r w:rsidRPr="000A43FF">
              <w:rPr>
                <w:i/>
                <w:spacing w:val="4"/>
                <w:w w:val="103"/>
                <w:kern w:val="14"/>
                <w:sz w:val="16"/>
                <w:lang w:val="fr-FR"/>
              </w:rPr>
              <w:t>Catégorie</w:t>
            </w:r>
          </w:p>
        </w:tc>
        <w:tc>
          <w:tcPr>
            <w:tcW w:w="992" w:type="dxa"/>
            <w:tcBorders>
              <w:top w:val="single" w:sz="4" w:space="0" w:color="auto"/>
              <w:bottom w:val="single" w:sz="12" w:space="0" w:color="auto"/>
            </w:tcBorders>
            <w:shd w:val="clear" w:color="auto" w:fill="auto"/>
            <w:hideMark/>
          </w:tcPr>
          <w:p w14:paraId="139E32AB" w14:textId="77777777" w:rsidR="007C3C1A" w:rsidRPr="000A43FF" w:rsidRDefault="007C3C1A" w:rsidP="000A43FF">
            <w:pPr>
              <w:suppressAutoHyphens w:val="0"/>
              <w:spacing w:before="60" w:after="60" w:line="200" w:lineRule="exact"/>
              <w:ind w:left="57" w:right="57"/>
              <w:rPr>
                <w:i/>
                <w:spacing w:val="4"/>
                <w:w w:val="103"/>
                <w:kern w:val="14"/>
                <w:sz w:val="16"/>
              </w:rPr>
            </w:pPr>
            <w:r w:rsidRPr="000A43FF">
              <w:rPr>
                <w:i/>
                <w:spacing w:val="4"/>
                <w:w w:val="103"/>
                <w:kern w:val="14"/>
                <w:sz w:val="16"/>
                <w:lang w:val="fr-FR"/>
              </w:rPr>
              <w:t>Sous-catégorie</w:t>
            </w:r>
          </w:p>
        </w:tc>
        <w:tc>
          <w:tcPr>
            <w:tcW w:w="5717" w:type="dxa"/>
            <w:tcBorders>
              <w:top w:val="single" w:sz="4" w:space="0" w:color="auto"/>
              <w:bottom w:val="single" w:sz="12" w:space="0" w:color="auto"/>
            </w:tcBorders>
            <w:shd w:val="clear" w:color="auto" w:fill="auto"/>
            <w:hideMark/>
          </w:tcPr>
          <w:p w14:paraId="370A8F81" w14:textId="77777777" w:rsidR="007C3C1A" w:rsidRPr="000A43FF" w:rsidRDefault="007C3C1A" w:rsidP="000A43FF">
            <w:pPr>
              <w:suppressAutoHyphens w:val="0"/>
              <w:spacing w:before="60" w:after="60" w:line="200" w:lineRule="exact"/>
              <w:ind w:left="57" w:right="57"/>
              <w:rPr>
                <w:i/>
                <w:spacing w:val="4"/>
                <w:w w:val="103"/>
                <w:kern w:val="14"/>
                <w:sz w:val="16"/>
              </w:rPr>
            </w:pPr>
            <w:r w:rsidRPr="000A43FF">
              <w:rPr>
                <w:i/>
                <w:spacing w:val="4"/>
                <w:w w:val="103"/>
                <w:kern w:val="14"/>
                <w:sz w:val="16"/>
                <w:lang w:val="fr-FR"/>
              </w:rPr>
              <w:t>Critères</w:t>
            </w:r>
          </w:p>
        </w:tc>
      </w:tr>
      <w:tr w:rsidR="007C3C1A" w:rsidRPr="00750E84" w14:paraId="4A0A871B" w14:textId="77777777" w:rsidTr="00823432">
        <w:tc>
          <w:tcPr>
            <w:tcW w:w="993" w:type="dxa"/>
            <w:tcBorders>
              <w:top w:val="single" w:sz="12" w:space="0" w:color="auto"/>
              <w:left w:val="single" w:sz="4" w:space="0" w:color="auto"/>
              <w:bottom w:val="single" w:sz="4" w:space="0" w:color="auto"/>
              <w:right w:val="single" w:sz="4" w:space="0" w:color="auto"/>
            </w:tcBorders>
            <w:hideMark/>
          </w:tcPr>
          <w:p w14:paraId="71AEFADE" w14:textId="77777777" w:rsidR="007C3C1A" w:rsidRPr="005C541C" w:rsidRDefault="007C3C1A" w:rsidP="000A43FF">
            <w:pPr>
              <w:spacing w:before="60" w:after="60"/>
              <w:ind w:left="57" w:right="57"/>
              <w:rPr>
                <w:b/>
                <w:bCs/>
              </w:rPr>
            </w:pPr>
            <w:r w:rsidRPr="005C541C">
              <w:rPr>
                <w:b/>
                <w:bCs/>
                <w:lang w:val="fr-FR"/>
              </w:rPr>
              <w:t>1</w:t>
            </w:r>
          </w:p>
        </w:tc>
        <w:tc>
          <w:tcPr>
            <w:tcW w:w="992" w:type="dxa"/>
            <w:tcBorders>
              <w:top w:val="single" w:sz="12" w:space="0" w:color="auto"/>
              <w:left w:val="single" w:sz="4" w:space="0" w:color="auto"/>
              <w:bottom w:val="single" w:sz="4" w:space="0" w:color="auto"/>
              <w:right w:val="single" w:sz="4" w:space="0" w:color="auto"/>
            </w:tcBorders>
          </w:tcPr>
          <w:p w14:paraId="60DB180C" w14:textId="77777777" w:rsidR="007C3C1A" w:rsidRPr="00815AF7" w:rsidRDefault="007C3C1A" w:rsidP="000A43FF">
            <w:pPr>
              <w:spacing w:before="60" w:after="60"/>
              <w:ind w:left="57" w:right="57"/>
            </w:pPr>
          </w:p>
        </w:tc>
        <w:tc>
          <w:tcPr>
            <w:tcW w:w="5717" w:type="dxa"/>
            <w:tcBorders>
              <w:top w:val="single" w:sz="12" w:space="0" w:color="auto"/>
              <w:left w:val="single" w:sz="4" w:space="0" w:color="auto"/>
              <w:bottom w:val="single" w:sz="4" w:space="0" w:color="auto"/>
              <w:right w:val="single" w:sz="4" w:space="0" w:color="auto"/>
            </w:tcBorders>
            <w:hideMark/>
          </w:tcPr>
          <w:p w14:paraId="503678DF" w14:textId="77777777" w:rsidR="007C3C1A" w:rsidRPr="00815AF7" w:rsidRDefault="007C3C1A" w:rsidP="000A43FF">
            <w:pPr>
              <w:spacing w:before="60" w:after="60"/>
              <w:ind w:left="57" w:right="57"/>
            </w:pPr>
            <w:r w:rsidRPr="00815AF7">
              <w:rPr>
                <w:lang w:val="fr-FR"/>
              </w:rPr>
              <w:t>Matières et objets explosibles</w:t>
            </w:r>
            <w:r w:rsidR="000A43FF">
              <w:rPr>
                <w:lang w:val="fr-FR"/>
              </w:rPr>
              <w:t> </w:t>
            </w:r>
            <w:r w:rsidRPr="00815AF7">
              <w:rPr>
                <w:lang w:val="fr-FR"/>
              </w:rPr>
              <w:t>:</w:t>
            </w:r>
            <w:r w:rsidRPr="00815AF7">
              <w:rPr>
                <w:lang w:val="fr-FR"/>
              </w:rPr>
              <w:br/>
              <w:t>a)</w:t>
            </w:r>
            <w:r w:rsidRPr="00815AF7">
              <w:rPr>
                <w:lang w:val="fr-FR"/>
              </w:rPr>
              <w:tab/>
              <w:t>Qui n</w:t>
            </w:r>
            <w:r>
              <w:rPr>
                <w:lang w:val="fr-FR"/>
              </w:rPr>
              <w:t>’</w:t>
            </w:r>
            <w:r w:rsidRPr="00815AF7">
              <w:rPr>
                <w:lang w:val="fr-FR"/>
              </w:rPr>
              <w:t>ont été affectés à aucune division et qui</w:t>
            </w:r>
            <w:r w:rsidR="000A43FF">
              <w:rPr>
                <w:lang w:val="fr-FR"/>
              </w:rPr>
              <w:t> </w:t>
            </w:r>
            <w:r w:rsidRPr="00815AF7">
              <w:rPr>
                <w:lang w:val="fr-FR"/>
              </w:rPr>
              <w:t>:</w:t>
            </w:r>
          </w:p>
          <w:p w14:paraId="54C7EE29" w14:textId="77777777" w:rsidR="007C3C1A" w:rsidRPr="00815AF7" w:rsidRDefault="007C3C1A" w:rsidP="005C541C">
            <w:pPr>
              <w:spacing w:before="60" w:after="60"/>
              <w:ind w:left="1134" w:right="57" w:hanging="510"/>
            </w:pPr>
            <w:r w:rsidRPr="00815AF7">
              <w:rPr>
                <w:lang w:val="fr-FR"/>
              </w:rPr>
              <w:t>i)</w:t>
            </w:r>
            <w:r w:rsidR="000A43FF">
              <w:rPr>
                <w:lang w:val="fr-FR"/>
              </w:rPr>
              <w:tab/>
            </w:r>
            <w:r w:rsidRPr="00815AF7">
              <w:rPr>
                <w:lang w:val="fr-FR"/>
              </w:rPr>
              <w:t>Sont fabriqués en vue de produire un effet explosible ou pyrotechnique</w:t>
            </w:r>
            <w:r w:rsidR="005C541C">
              <w:rPr>
                <w:lang w:val="fr-FR"/>
              </w:rPr>
              <w:t> </w:t>
            </w:r>
            <w:r w:rsidRPr="00815AF7">
              <w:rPr>
                <w:lang w:val="fr-FR"/>
              </w:rPr>
              <w:t>; ou</w:t>
            </w:r>
          </w:p>
          <w:p w14:paraId="15086AFF" w14:textId="77777777" w:rsidR="007C3C1A" w:rsidRPr="00815AF7" w:rsidRDefault="007C3C1A" w:rsidP="005C541C">
            <w:pPr>
              <w:spacing w:before="60" w:after="60"/>
              <w:ind w:left="1134" w:right="57" w:hanging="510"/>
              <w:rPr>
                <w:i/>
                <w:iCs/>
                <w:color w:val="000000"/>
              </w:rPr>
            </w:pPr>
            <w:r w:rsidRPr="00815AF7">
              <w:rPr>
                <w:lang w:val="fr-FR"/>
              </w:rPr>
              <w:t>ii)</w:t>
            </w:r>
            <w:r w:rsidR="000A43FF">
              <w:rPr>
                <w:lang w:val="fr-FR"/>
              </w:rPr>
              <w:tab/>
            </w:r>
            <w:r w:rsidRPr="00815AF7">
              <w:rPr>
                <w:lang w:val="fr-FR"/>
              </w:rPr>
              <w:t>Donnent des résultats positifs aux épreuves de la série</w:t>
            </w:r>
            <w:r w:rsidR="005C541C">
              <w:rPr>
                <w:lang w:val="fr-FR"/>
              </w:rPr>
              <w:t> </w:t>
            </w:r>
            <w:r w:rsidRPr="00815AF7">
              <w:rPr>
                <w:lang w:val="fr-FR"/>
              </w:rPr>
              <w:t>2 du</w:t>
            </w:r>
            <w:r w:rsidR="00CC0021">
              <w:rPr>
                <w:lang w:val="fr-FR"/>
              </w:rPr>
              <w:t> </w:t>
            </w:r>
            <w:r w:rsidRPr="005C541C">
              <w:rPr>
                <w:i/>
                <w:iCs/>
                <w:lang w:val="fr-FR"/>
              </w:rPr>
              <w:t>Manuel d’épreuves et de critères</w:t>
            </w:r>
          </w:p>
          <w:p w14:paraId="7EFD72C7" w14:textId="77777777" w:rsidR="007C3C1A" w:rsidRPr="00815AF7" w:rsidRDefault="007C3C1A" w:rsidP="000A43FF">
            <w:pPr>
              <w:spacing w:before="60" w:after="60"/>
              <w:ind w:left="57" w:right="57"/>
              <w:rPr>
                <w:iCs/>
                <w:color w:val="000000"/>
              </w:rPr>
            </w:pPr>
            <w:r w:rsidRPr="00815AF7">
              <w:rPr>
                <w:lang w:val="fr-FR"/>
              </w:rPr>
              <w:t>ou</w:t>
            </w:r>
          </w:p>
          <w:p w14:paraId="5C293AB2" w14:textId="77777777" w:rsidR="007C3C1A" w:rsidRPr="00815AF7" w:rsidRDefault="007C3C1A" w:rsidP="005C541C">
            <w:pPr>
              <w:spacing w:before="60" w:after="60"/>
              <w:ind w:left="567" w:right="57" w:hanging="510"/>
              <w:rPr>
                <w:color w:val="000000"/>
              </w:rPr>
            </w:pPr>
            <w:r w:rsidRPr="00815AF7">
              <w:rPr>
                <w:lang w:val="fr-FR"/>
              </w:rPr>
              <w:t>b)</w:t>
            </w:r>
            <w:r w:rsidRPr="00815AF7">
              <w:rPr>
                <w:lang w:val="fr-FR"/>
              </w:rPr>
              <w:tab/>
              <w:t>Qui ont été retirés de l</w:t>
            </w:r>
            <w:r>
              <w:rPr>
                <w:lang w:val="fr-FR"/>
              </w:rPr>
              <w:t>’</w:t>
            </w:r>
            <w:r w:rsidRPr="00815AF7">
              <w:rPr>
                <w:lang w:val="fr-FR"/>
              </w:rPr>
              <w:t>emballage primaire de la configuration dans laquelle ils ont été affectés à une division</w:t>
            </w:r>
            <w:r w:rsidRPr="005C541C">
              <w:rPr>
                <w:i/>
                <w:iCs/>
                <w:vertAlign w:val="superscript"/>
                <w:lang w:val="fr-FR"/>
              </w:rPr>
              <w:t>a</w:t>
            </w:r>
            <w:r w:rsidRPr="00815AF7">
              <w:rPr>
                <w:lang w:val="fr-FR"/>
              </w:rPr>
              <w:t>, sauf s</w:t>
            </w:r>
            <w:r>
              <w:rPr>
                <w:lang w:val="fr-FR"/>
              </w:rPr>
              <w:t>’</w:t>
            </w:r>
            <w:r w:rsidRPr="00815AF7">
              <w:rPr>
                <w:lang w:val="fr-FR"/>
              </w:rPr>
              <w:t>il s</w:t>
            </w:r>
            <w:r>
              <w:rPr>
                <w:lang w:val="fr-FR"/>
              </w:rPr>
              <w:t>’</w:t>
            </w:r>
            <w:r w:rsidRPr="00815AF7">
              <w:rPr>
                <w:lang w:val="fr-FR"/>
              </w:rPr>
              <w:t>agit d</w:t>
            </w:r>
            <w:r>
              <w:rPr>
                <w:lang w:val="fr-FR"/>
              </w:rPr>
              <w:t>’</w:t>
            </w:r>
            <w:r w:rsidRPr="00815AF7">
              <w:rPr>
                <w:lang w:val="fr-FR"/>
              </w:rPr>
              <w:t>objets explosibles affectés à une division qui</w:t>
            </w:r>
            <w:r w:rsidR="005C541C">
              <w:rPr>
                <w:lang w:val="fr-FR"/>
              </w:rPr>
              <w:t> </w:t>
            </w:r>
            <w:r w:rsidRPr="00815AF7">
              <w:rPr>
                <w:lang w:val="fr-FR"/>
              </w:rPr>
              <w:t>:</w:t>
            </w:r>
          </w:p>
          <w:p w14:paraId="34BDA8FD" w14:textId="77777777" w:rsidR="007C3C1A" w:rsidRPr="00815AF7" w:rsidRDefault="007C3C1A" w:rsidP="005C541C">
            <w:pPr>
              <w:spacing w:before="60" w:after="60"/>
              <w:ind w:left="1134" w:right="57" w:hanging="510"/>
              <w:rPr>
                <w:color w:val="000000"/>
              </w:rPr>
            </w:pPr>
            <w:r w:rsidRPr="00815AF7">
              <w:rPr>
                <w:lang w:val="fr-FR"/>
              </w:rPr>
              <w:t>i)</w:t>
            </w:r>
            <w:r w:rsidRPr="00815AF7">
              <w:rPr>
                <w:lang w:val="fr-FR"/>
              </w:rPr>
              <w:tab/>
              <w:t>Sont dépourvus d</w:t>
            </w:r>
            <w:r>
              <w:rPr>
                <w:lang w:val="fr-FR"/>
              </w:rPr>
              <w:t>’</w:t>
            </w:r>
            <w:r w:rsidRPr="00815AF7">
              <w:rPr>
                <w:lang w:val="fr-FR"/>
              </w:rPr>
              <w:t>emballage primaire</w:t>
            </w:r>
            <w:r w:rsidR="005C541C">
              <w:rPr>
                <w:lang w:val="fr-FR"/>
              </w:rPr>
              <w:t> </w:t>
            </w:r>
            <w:r w:rsidRPr="00815AF7">
              <w:rPr>
                <w:lang w:val="fr-FR"/>
              </w:rPr>
              <w:t>; ou</w:t>
            </w:r>
          </w:p>
          <w:p w14:paraId="6B08C215" w14:textId="77777777" w:rsidR="007C3C1A" w:rsidRPr="00EC1FEA" w:rsidRDefault="007C3C1A" w:rsidP="005C541C">
            <w:pPr>
              <w:spacing w:before="60" w:after="60"/>
              <w:ind w:left="1134" w:right="57" w:hanging="510"/>
              <w:rPr>
                <w:color w:val="000000"/>
              </w:rPr>
            </w:pPr>
            <w:r w:rsidRPr="00EC1FEA">
              <w:rPr>
                <w:lang w:val="fr-FR"/>
              </w:rPr>
              <w:t>ii)</w:t>
            </w:r>
            <w:r w:rsidRPr="00EC1FEA">
              <w:rPr>
                <w:lang w:val="fr-FR"/>
              </w:rPr>
              <w:tab/>
              <w:t>Se trouvent dans un emballage primaire qui n’atténue pas l’effet explosible, compte tenu également du matériau d’emballage ainsi que de l’espacement et de l’orientation du</w:t>
            </w:r>
            <w:r w:rsidR="00EC1FEA">
              <w:rPr>
                <w:lang w:val="fr-FR"/>
              </w:rPr>
              <w:t> </w:t>
            </w:r>
            <w:r w:rsidRPr="00EC1FEA">
              <w:rPr>
                <w:lang w:val="fr-FR"/>
              </w:rPr>
              <w:t>contenu.</w:t>
            </w:r>
          </w:p>
        </w:tc>
      </w:tr>
      <w:tr w:rsidR="007C3C1A" w:rsidRPr="00750E84" w14:paraId="2126F197" w14:textId="77777777" w:rsidTr="00823432">
        <w:tc>
          <w:tcPr>
            <w:tcW w:w="993" w:type="dxa"/>
            <w:vMerge w:val="restart"/>
            <w:tcBorders>
              <w:top w:val="single" w:sz="4" w:space="0" w:color="auto"/>
              <w:left w:val="single" w:sz="4" w:space="0" w:color="auto"/>
              <w:bottom w:val="single" w:sz="4" w:space="0" w:color="auto"/>
              <w:right w:val="single" w:sz="4" w:space="0" w:color="auto"/>
            </w:tcBorders>
            <w:hideMark/>
          </w:tcPr>
          <w:p w14:paraId="10EDEACE" w14:textId="77777777" w:rsidR="007C3C1A" w:rsidRPr="005C541C" w:rsidRDefault="007C3C1A" w:rsidP="000A43FF">
            <w:pPr>
              <w:spacing w:before="60" w:after="60"/>
              <w:ind w:left="57" w:right="57"/>
              <w:rPr>
                <w:b/>
                <w:bCs/>
              </w:rPr>
            </w:pPr>
            <w:r w:rsidRPr="005C541C">
              <w:rPr>
                <w:b/>
                <w:bCs/>
                <w:lang w:val="fr-FR"/>
              </w:rPr>
              <w:t>2</w:t>
            </w:r>
          </w:p>
        </w:tc>
        <w:tc>
          <w:tcPr>
            <w:tcW w:w="992" w:type="dxa"/>
            <w:tcBorders>
              <w:top w:val="single" w:sz="4" w:space="0" w:color="auto"/>
              <w:left w:val="single" w:sz="4" w:space="0" w:color="auto"/>
              <w:bottom w:val="single" w:sz="4" w:space="0" w:color="auto"/>
              <w:right w:val="single" w:sz="4" w:space="0" w:color="auto"/>
            </w:tcBorders>
            <w:hideMark/>
          </w:tcPr>
          <w:p w14:paraId="1255AC11" w14:textId="77777777" w:rsidR="007C3C1A" w:rsidRPr="005C541C" w:rsidRDefault="007C3C1A" w:rsidP="000A43FF">
            <w:pPr>
              <w:spacing w:before="60" w:after="60"/>
              <w:ind w:left="57" w:right="57"/>
              <w:rPr>
                <w:b/>
                <w:bCs/>
              </w:rPr>
            </w:pPr>
            <w:r w:rsidRPr="005C541C">
              <w:rPr>
                <w:b/>
                <w:bCs/>
                <w:lang w:val="fr-FR"/>
              </w:rPr>
              <w:t>2A</w:t>
            </w:r>
          </w:p>
        </w:tc>
        <w:tc>
          <w:tcPr>
            <w:tcW w:w="5717" w:type="dxa"/>
            <w:tcBorders>
              <w:top w:val="single" w:sz="4" w:space="0" w:color="auto"/>
              <w:left w:val="single" w:sz="4" w:space="0" w:color="auto"/>
              <w:bottom w:val="single" w:sz="4" w:space="0" w:color="auto"/>
              <w:right w:val="single" w:sz="4" w:space="0" w:color="auto"/>
            </w:tcBorders>
          </w:tcPr>
          <w:p w14:paraId="7BB6C9BC" w14:textId="77777777" w:rsidR="005C541C" w:rsidRDefault="007C3C1A" w:rsidP="005C541C">
            <w:pPr>
              <w:spacing w:before="60" w:after="60"/>
              <w:ind w:left="57" w:right="57"/>
            </w:pPr>
            <w:r w:rsidRPr="00815AF7">
              <w:rPr>
                <w:lang w:val="fr-FR"/>
              </w:rPr>
              <w:t>Matières et objets explosibles qui ont été affectés :</w:t>
            </w:r>
            <w:r>
              <w:rPr>
                <w:lang w:val="fr-FR"/>
              </w:rPr>
              <w:br/>
            </w:r>
            <w:r w:rsidRPr="00815AF7">
              <w:rPr>
                <w:lang w:val="fr-FR"/>
              </w:rPr>
              <w:t>a)</w:t>
            </w:r>
            <w:r w:rsidRPr="00815AF7">
              <w:rPr>
                <w:lang w:val="fr-FR"/>
              </w:rPr>
              <w:tab/>
              <w:t>À la division 1.1, 1.2, 1.3, 1.5, ou 1.6</w:t>
            </w:r>
            <w:r w:rsidR="005C541C">
              <w:rPr>
                <w:lang w:val="fr-FR"/>
              </w:rPr>
              <w:t> </w:t>
            </w:r>
            <w:r w:rsidRPr="00815AF7">
              <w:rPr>
                <w:lang w:val="fr-FR"/>
              </w:rPr>
              <w:t>; ou</w:t>
            </w:r>
          </w:p>
          <w:p w14:paraId="2E662F07" w14:textId="77777777" w:rsidR="007C3C1A" w:rsidRPr="00815AF7" w:rsidRDefault="007C3C1A" w:rsidP="00EC1FEA">
            <w:pPr>
              <w:spacing w:before="60" w:after="60"/>
              <w:ind w:left="567" w:right="57" w:hanging="510"/>
            </w:pPr>
            <w:r w:rsidRPr="00CC0021">
              <w:rPr>
                <w:lang w:val="fr-FR"/>
              </w:rPr>
              <w:t>b)</w:t>
            </w:r>
            <w:r w:rsidRPr="00CC0021">
              <w:rPr>
                <w:lang w:val="fr-FR"/>
              </w:rPr>
              <w:tab/>
              <w:t>À la division</w:t>
            </w:r>
            <w:r w:rsidR="005C541C" w:rsidRPr="00CC0021">
              <w:rPr>
                <w:lang w:val="fr-FR"/>
              </w:rPr>
              <w:t> </w:t>
            </w:r>
            <w:r w:rsidRPr="00CC0021">
              <w:rPr>
                <w:lang w:val="fr-FR"/>
              </w:rPr>
              <w:t>1.4 et qui ne satisfont pas aux critères des sous</w:t>
            </w:r>
            <w:r w:rsidR="00CC0021">
              <w:rPr>
                <w:lang w:val="fr-FR"/>
              </w:rPr>
              <w:noBreakHyphen/>
            </w:r>
            <w:r w:rsidRPr="00CC0021">
              <w:rPr>
                <w:lang w:val="fr-FR"/>
              </w:rPr>
              <w:t>catégories</w:t>
            </w:r>
            <w:r w:rsidR="005C541C" w:rsidRPr="00CC0021">
              <w:rPr>
                <w:lang w:val="fr-FR"/>
              </w:rPr>
              <w:t> </w:t>
            </w:r>
            <w:r w:rsidRPr="00CC0021">
              <w:rPr>
                <w:lang w:val="fr-FR"/>
              </w:rPr>
              <w:t>2B</w:t>
            </w:r>
            <w:r w:rsidRPr="00815AF7">
              <w:rPr>
                <w:lang w:val="fr-FR"/>
              </w:rPr>
              <w:t xml:space="preserve"> ou 2C</w:t>
            </w:r>
            <w:r w:rsidRPr="005C541C">
              <w:rPr>
                <w:i/>
                <w:iCs/>
                <w:vertAlign w:val="superscript"/>
                <w:lang w:val="fr-FR"/>
              </w:rPr>
              <w:t>b</w:t>
            </w:r>
            <w:r w:rsidRPr="00815AF7">
              <w:rPr>
                <w:lang w:val="fr-FR"/>
              </w:rPr>
              <w:t>.</w:t>
            </w:r>
          </w:p>
        </w:tc>
      </w:tr>
      <w:tr w:rsidR="007C3C1A" w:rsidRPr="00750E84" w14:paraId="045A77D1" w14:textId="77777777" w:rsidTr="00823432">
        <w:tc>
          <w:tcPr>
            <w:tcW w:w="993" w:type="dxa"/>
            <w:vMerge/>
            <w:tcBorders>
              <w:top w:val="single" w:sz="4" w:space="0" w:color="auto"/>
              <w:left w:val="single" w:sz="4" w:space="0" w:color="auto"/>
              <w:bottom w:val="single" w:sz="4" w:space="0" w:color="auto"/>
              <w:right w:val="single" w:sz="4" w:space="0" w:color="auto"/>
            </w:tcBorders>
            <w:hideMark/>
          </w:tcPr>
          <w:p w14:paraId="6E0F03B9" w14:textId="77777777" w:rsidR="007C3C1A" w:rsidRPr="00750E84" w:rsidRDefault="007C3C1A" w:rsidP="000A43FF">
            <w:pPr>
              <w:spacing w:before="60" w:after="60"/>
              <w:ind w:left="57" w:right="57"/>
              <w:rPr>
                <w:lang w:val="fr-FR"/>
              </w:rPr>
            </w:pPr>
          </w:p>
        </w:tc>
        <w:tc>
          <w:tcPr>
            <w:tcW w:w="992" w:type="dxa"/>
            <w:tcBorders>
              <w:top w:val="single" w:sz="4" w:space="0" w:color="auto"/>
              <w:left w:val="single" w:sz="4" w:space="0" w:color="auto"/>
              <w:bottom w:val="single" w:sz="4" w:space="0" w:color="auto"/>
              <w:right w:val="single" w:sz="4" w:space="0" w:color="auto"/>
            </w:tcBorders>
            <w:hideMark/>
          </w:tcPr>
          <w:p w14:paraId="510EB031" w14:textId="77777777" w:rsidR="007C3C1A" w:rsidRPr="005C541C" w:rsidRDefault="007C3C1A" w:rsidP="000A43FF">
            <w:pPr>
              <w:spacing w:before="60" w:after="60"/>
              <w:ind w:left="57" w:right="57"/>
              <w:rPr>
                <w:b/>
                <w:bCs/>
              </w:rPr>
            </w:pPr>
            <w:r w:rsidRPr="005C541C">
              <w:rPr>
                <w:b/>
                <w:bCs/>
                <w:lang w:val="fr-FR"/>
              </w:rPr>
              <w:t>2B</w:t>
            </w:r>
          </w:p>
        </w:tc>
        <w:tc>
          <w:tcPr>
            <w:tcW w:w="5717" w:type="dxa"/>
            <w:tcBorders>
              <w:top w:val="single" w:sz="4" w:space="0" w:color="auto"/>
              <w:left w:val="single" w:sz="4" w:space="0" w:color="auto"/>
              <w:bottom w:val="single" w:sz="4" w:space="0" w:color="auto"/>
              <w:right w:val="single" w:sz="4" w:space="0" w:color="auto"/>
            </w:tcBorders>
            <w:hideMark/>
          </w:tcPr>
          <w:p w14:paraId="3B8A1581" w14:textId="77777777" w:rsidR="005C541C" w:rsidRDefault="007C3C1A" w:rsidP="005C541C">
            <w:pPr>
              <w:spacing w:before="60" w:after="60"/>
              <w:ind w:left="57" w:right="57"/>
              <w:rPr>
                <w:lang w:val="fr-FR"/>
              </w:rPr>
            </w:pPr>
            <w:r w:rsidRPr="00815AF7">
              <w:rPr>
                <w:lang w:val="fr-FR"/>
              </w:rPr>
              <w:t>Matières et objets explosibles qui ont été affectés à la division</w:t>
            </w:r>
            <w:r w:rsidR="005C541C">
              <w:rPr>
                <w:lang w:val="fr-FR"/>
              </w:rPr>
              <w:t> </w:t>
            </w:r>
            <w:r w:rsidRPr="00815AF7">
              <w:rPr>
                <w:lang w:val="fr-FR"/>
              </w:rPr>
              <w:t>1.4 et à un groupe de compatibilité autre que le groupe S et qui</w:t>
            </w:r>
            <w:r w:rsidR="005C541C">
              <w:rPr>
                <w:lang w:val="fr-FR"/>
              </w:rPr>
              <w:t> </w:t>
            </w:r>
            <w:r w:rsidRPr="00815AF7">
              <w:rPr>
                <w:lang w:val="fr-FR"/>
              </w:rPr>
              <w:t>:</w:t>
            </w:r>
          </w:p>
          <w:p w14:paraId="3B67B734" w14:textId="77777777" w:rsidR="007C3C1A" w:rsidRPr="00815AF7" w:rsidRDefault="007C3C1A" w:rsidP="005C541C">
            <w:pPr>
              <w:spacing w:before="60" w:after="60"/>
              <w:ind w:left="567" w:right="57" w:hanging="510"/>
              <w:rPr>
                <w:color w:val="000000"/>
              </w:rPr>
            </w:pPr>
            <w:r w:rsidRPr="00815AF7">
              <w:rPr>
                <w:lang w:val="fr-FR"/>
              </w:rPr>
              <w:t>a)</w:t>
            </w:r>
            <w:r w:rsidRPr="00815AF7">
              <w:rPr>
                <w:lang w:val="fr-FR"/>
              </w:rPr>
              <w:tab/>
              <w:t>Ne détonent pas et ne se désintègrent pas lorsqu</w:t>
            </w:r>
            <w:r>
              <w:rPr>
                <w:lang w:val="fr-FR"/>
              </w:rPr>
              <w:t>’</w:t>
            </w:r>
            <w:r w:rsidRPr="00815AF7">
              <w:rPr>
                <w:lang w:val="fr-FR"/>
              </w:rPr>
              <w:t>ils fonctionnent comme prévu</w:t>
            </w:r>
            <w:r w:rsidR="005C541C">
              <w:rPr>
                <w:lang w:val="fr-FR"/>
              </w:rPr>
              <w:t> </w:t>
            </w:r>
            <w:r w:rsidRPr="00815AF7">
              <w:rPr>
                <w:lang w:val="fr-FR"/>
              </w:rPr>
              <w:t>; et</w:t>
            </w:r>
          </w:p>
          <w:p w14:paraId="14EC085B" w14:textId="77777777" w:rsidR="007C3C1A" w:rsidRPr="00EC1FEA" w:rsidRDefault="007C3C1A" w:rsidP="005C541C">
            <w:pPr>
              <w:spacing w:before="60" w:after="60"/>
              <w:ind w:left="567" w:right="57" w:hanging="510"/>
              <w:rPr>
                <w:color w:val="000000"/>
                <w:spacing w:val="-1"/>
              </w:rPr>
            </w:pPr>
            <w:r w:rsidRPr="00EC1FEA">
              <w:rPr>
                <w:spacing w:val="-1"/>
                <w:lang w:val="fr-FR"/>
              </w:rPr>
              <w:t>b)</w:t>
            </w:r>
            <w:r w:rsidRPr="00EC1FEA">
              <w:rPr>
                <w:spacing w:val="-1"/>
                <w:lang w:val="fr-FR"/>
              </w:rPr>
              <w:tab/>
              <w:t>Ne présentent pas un comportement très dangereux</w:t>
            </w:r>
            <w:r w:rsidRPr="00EC1FEA">
              <w:rPr>
                <w:i/>
                <w:iCs/>
                <w:spacing w:val="-1"/>
                <w:vertAlign w:val="superscript"/>
                <w:lang w:val="fr-FR"/>
              </w:rPr>
              <w:t>c</w:t>
            </w:r>
            <w:r w:rsidRPr="00EC1FEA">
              <w:rPr>
                <w:spacing w:val="-1"/>
                <w:lang w:val="fr-FR"/>
              </w:rPr>
              <w:t xml:space="preserve"> lors des épreuves des types</w:t>
            </w:r>
            <w:r w:rsidR="005C541C" w:rsidRPr="00EC1FEA">
              <w:rPr>
                <w:spacing w:val="-1"/>
                <w:lang w:val="fr-FR"/>
              </w:rPr>
              <w:t> </w:t>
            </w:r>
            <w:r w:rsidRPr="00EC1FEA">
              <w:rPr>
                <w:spacing w:val="-1"/>
                <w:lang w:val="fr-FR"/>
              </w:rPr>
              <w:t>6</w:t>
            </w:r>
            <w:r w:rsidR="005C541C" w:rsidRPr="00EC1FEA">
              <w:rPr>
                <w:spacing w:val="-1"/>
                <w:lang w:val="fr-FR"/>
              </w:rPr>
              <w:t> </w:t>
            </w:r>
            <w:r w:rsidRPr="00EC1FEA">
              <w:rPr>
                <w:spacing w:val="-1"/>
                <w:lang w:val="fr-FR"/>
              </w:rPr>
              <w:t>a) ou 6</w:t>
            </w:r>
            <w:r w:rsidR="005C541C" w:rsidRPr="00EC1FEA">
              <w:rPr>
                <w:spacing w:val="-1"/>
                <w:lang w:val="fr-FR"/>
              </w:rPr>
              <w:t> </w:t>
            </w:r>
            <w:r w:rsidRPr="00EC1FEA">
              <w:rPr>
                <w:spacing w:val="-1"/>
                <w:lang w:val="fr-FR"/>
              </w:rPr>
              <w:t xml:space="preserve">b) du </w:t>
            </w:r>
            <w:r w:rsidRPr="00EC1FEA">
              <w:rPr>
                <w:i/>
                <w:iCs/>
                <w:spacing w:val="-1"/>
                <w:lang w:val="fr-FR"/>
              </w:rPr>
              <w:t>Manuel d’épreuves et de critères</w:t>
            </w:r>
            <w:r w:rsidR="005C541C" w:rsidRPr="00EC1FEA">
              <w:rPr>
                <w:spacing w:val="-1"/>
                <w:lang w:val="fr-FR"/>
              </w:rPr>
              <w:t> </w:t>
            </w:r>
            <w:r w:rsidRPr="00EC1FEA">
              <w:rPr>
                <w:spacing w:val="-1"/>
                <w:lang w:val="fr-FR"/>
              </w:rPr>
              <w:t>; et</w:t>
            </w:r>
          </w:p>
          <w:p w14:paraId="3E0942F5" w14:textId="77777777" w:rsidR="007C3C1A" w:rsidRPr="00815AF7" w:rsidRDefault="007C3C1A" w:rsidP="005C541C">
            <w:pPr>
              <w:spacing w:before="60" w:after="60"/>
              <w:ind w:left="567" w:right="57" w:hanging="510"/>
            </w:pPr>
            <w:r w:rsidRPr="00815AF7">
              <w:rPr>
                <w:lang w:val="fr-FR"/>
              </w:rPr>
              <w:t>c)</w:t>
            </w:r>
            <w:r w:rsidRPr="00815AF7">
              <w:rPr>
                <w:lang w:val="fr-FR"/>
              </w:rPr>
              <w:tab/>
              <w:t>Ne nécessitent pas d</w:t>
            </w:r>
            <w:r>
              <w:rPr>
                <w:lang w:val="fr-FR"/>
              </w:rPr>
              <w:t>’</w:t>
            </w:r>
            <w:r w:rsidRPr="00815AF7">
              <w:rPr>
                <w:lang w:val="fr-FR"/>
              </w:rPr>
              <w:t>éléments autres que ceux procurés par un emballage primaire pour atténuer un comportement très dangereux</w:t>
            </w:r>
            <w:r w:rsidRPr="005C541C">
              <w:rPr>
                <w:i/>
                <w:iCs/>
                <w:vertAlign w:val="superscript"/>
                <w:lang w:val="fr-FR"/>
              </w:rPr>
              <w:t>c</w:t>
            </w:r>
            <w:r w:rsidRPr="00815AF7">
              <w:rPr>
                <w:lang w:val="fr-FR"/>
              </w:rPr>
              <w:t>.</w:t>
            </w:r>
          </w:p>
        </w:tc>
      </w:tr>
      <w:tr w:rsidR="007C3C1A" w:rsidRPr="00750E84" w14:paraId="2587B0F4" w14:textId="77777777" w:rsidTr="00823432">
        <w:tc>
          <w:tcPr>
            <w:tcW w:w="993" w:type="dxa"/>
            <w:vMerge/>
            <w:tcBorders>
              <w:top w:val="single" w:sz="4" w:space="0" w:color="auto"/>
              <w:left w:val="single" w:sz="4" w:space="0" w:color="auto"/>
              <w:bottom w:val="single" w:sz="4" w:space="0" w:color="auto"/>
              <w:right w:val="single" w:sz="4" w:space="0" w:color="auto"/>
            </w:tcBorders>
            <w:hideMark/>
          </w:tcPr>
          <w:p w14:paraId="1DB332FE" w14:textId="77777777" w:rsidR="007C3C1A" w:rsidRPr="00750E84" w:rsidRDefault="007C3C1A" w:rsidP="000A43FF">
            <w:pPr>
              <w:spacing w:before="60" w:after="60"/>
              <w:ind w:left="57" w:right="57"/>
              <w:rPr>
                <w:lang w:val="fr-FR"/>
              </w:rPr>
            </w:pPr>
          </w:p>
        </w:tc>
        <w:tc>
          <w:tcPr>
            <w:tcW w:w="992" w:type="dxa"/>
            <w:tcBorders>
              <w:top w:val="single" w:sz="4" w:space="0" w:color="auto"/>
              <w:left w:val="single" w:sz="4" w:space="0" w:color="auto"/>
              <w:bottom w:val="single" w:sz="4" w:space="0" w:color="auto"/>
              <w:right w:val="single" w:sz="4" w:space="0" w:color="auto"/>
            </w:tcBorders>
            <w:hideMark/>
          </w:tcPr>
          <w:p w14:paraId="7EB7F83C" w14:textId="77777777" w:rsidR="007C3C1A" w:rsidRPr="005C541C" w:rsidRDefault="007C3C1A" w:rsidP="000A43FF">
            <w:pPr>
              <w:spacing w:before="60" w:after="60"/>
              <w:ind w:left="57" w:right="57"/>
              <w:rPr>
                <w:b/>
                <w:bCs/>
              </w:rPr>
            </w:pPr>
            <w:r w:rsidRPr="005C541C">
              <w:rPr>
                <w:b/>
                <w:bCs/>
                <w:lang w:val="fr-FR"/>
              </w:rPr>
              <w:t>2C</w:t>
            </w:r>
          </w:p>
        </w:tc>
        <w:tc>
          <w:tcPr>
            <w:tcW w:w="5717" w:type="dxa"/>
            <w:tcBorders>
              <w:top w:val="single" w:sz="4" w:space="0" w:color="auto"/>
              <w:left w:val="single" w:sz="4" w:space="0" w:color="auto"/>
              <w:bottom w:val="single" w:sz="4" w:space="0" w:color="auto"/>
              <w:right w:val="single" w:sz="4" w:space="0" w:color="auto"/>
            </w:tcBorders>
            <w:hideMark/>
          </w:tcPr>
          <w:p w14:paraId="72BB1E50" w14:textId="77777777" w:rsidR="005C541C" w:rsidRDefault="007C3C1A" w:rsidP="005C541C">
            <w:pPr>
              <w:spacing w:before="60" w:after="60"/>
              <w:ind w:left="57" w:right="57"/>
              <w:rPr>
                <w:lang w:val="fr-FR"/>
              </w:rPr>
            </w:pPr>
            <w:r w:rsidRPr="00815AF7">
              <w:rPr>
                <w:lang w:val="fr-FR"/>
              </w:rPr>
              <w:t>Matières et objets explosibles qui ont été affectés à la division 1.4 et au groupe de compatibilité S et qui :</w:t>
            </w:r>
          </w:p>
          <w:p w14:paraId="0F86E178" w14:textId="77777777" w:rsidR="007C3C1A" w:rsidRPr="00815AF7" w:rsidRDefault="007C3C1A" w:rsidP="005C541C">
            <w:pPr>
              <w:spacing w:before="60" w:after="60"/>
              <w:ind w:left="567" w:right="57" w:hanging="510"/>
              <w:rPr>
                <w:color w:val="000000"/>
              </w:rPr>
            </w:pPr>
            <w:r w:rsidRPr="00815AF7">
              <w:rPr>
                <w:lang w:val="fr-FR"/>
              </w:rPr>
              <w:t>a)</w:t>
            </w:r>
            <w:r w:rsidRPr="00815AF7">
              <w:rPr>
                <w:lang w:val="fr-FR"/>
              </w:rPr>
              <w:tab/>
              <w:t>Ne détonent pas et ne se désintègrent pas lorsqu</w:t>
            </w:r>
            <w:r>
              <w:rPr>
                <w:lang w:val="fr-FR"/>
              </w:rPr>
              <w:t>’</w:t>
            </w:r>
            <w:r w:rsidRPr="00815AF7">
              <w:rPr>
                <w:lang w:val="fr-FR"/>
              </w:rPr>
              <w:t>ils fonctionnent comme prévu</w:t>
            </w:r>
            <w:r w:rsidR="005C541C">
              <w:rPr>
                <w:lang w:val="fr-FR"/>
              </w:rPr>
              <w:t> </w:t>
            </w:r>
            <w:r w:rsidRPr="00815AF7">
              <w:rPr>
                <w:lang w:val="fr-FR"/>
              </w:rPr>
              <w:t>; et</w:t>
            </w:r>
          </w:p>
          <w:p w14:paraId="44847C8E" w14:textId="77777777" w:rsidR="007C3C1A" w:rsidRPr="00EC1FEA" w:rsidRDefault="007C3C1A" w:rsidP="005C541C">
            <w:pPr>
              <w:spacing w:before="60" w:after="60"/>
              <w:ind w:left="567" w:right="57" w:hanging="510"/>
              <w:rPr>
                <w:color w:val="000000"/>
                <w:spacing w:val="-1"/>
              </w:rPr>
            </w:pPr>
            <w:r w:rsidRPr="00EC1FEA">
              <w:rPr>
                <w:spacing w:val="-1"/>
                <w:lang w:val="fr-FR"/>
              </w:rPr>
              <w:t>b)</w:t>
            </w:r>
            <w:r w:rsidRPr="00EC1FEA">
              <w:rPr>
                <w:spacing w:val="-1"/>
                <w:lang w:val="fr-FR"/>
              </w:rPr>
              <w:tab/>
              <w:t>Ne présentent pas un comportement très dangereux</w:t>
            </w:r>
            <w:r w:rsidRPr="00CC0021">
              <w:rPr>
                <w:i/>
                <w:iCs/>
                <w:spacing w:val="-1"/>
                <w:vertAlign w:val="superscript"/>
                <w:lang w:val="fr-FR"/>
              </w:rPr>
              <w:t>c</w:t>
            </w:r>
            <w:r w:rsidRPr="00EC1FEA">
              <w:rPr>
                <w:spacing w:val="-1"/>
                <w:lang w:val="fr-FR"/>
              </w:rPr>
              <w:t xml:space="preserve"> lors des épreuves des types</w:t>
            </w:r>
            <w:r w:rsidR="005C541C" w:rsidRPr="00EC1FEA">
              <w:rPr>
                <w:spacing w:val="-1"/>
                <w:lang w:val="fr-FR"/>
              </w:rPr>
              <w:t> </w:t>
            </w:r>
            <w:r w:rsidRPr="00EC1FEA">
              <w:rPr>
                <w:spacing w:val="-1"/>
                <w:lang w:val="fr-FR"/>
              </w:rPr>
              <w:t>6</w:t>
            </w:r>
            <w:r w:rsidR="005C541C" w:rsidRPr="00EC1FEA">
              <w:rPr>
                <w:spacing w:val="-1"/>
                <w:lang w:val="fr-FR"/>
              </w:rPr>
              <w:t> </w:t>
            </w:r>
            <w:r w:rsidRPr="00EC1FEA">
              <w:rPr>
                <w:spacing w:val="-1"/>
                <w:lang w:val="fr-FR"/>
              </w:rPr>
              <w:t>a) ou 6</w:t>
            </w:r>
            <w:r w:rsidR="005C541C" w:rsidRPr="00EC1FEA">
              <w:rPr>
                <w:spacing w:val="-1"/>
                <w:lang w:val="fr-FR"/>
              </w:rPr>
              <w:t> </w:t>
            </w:r>
            <w:r w:rsidRPr="00EC1FEA">
              <w:rPr>
                <w:spacing w:val="-1"/>
                <w:lang w:val="fr-FR"/>
              </w:rPr>
              <w:t xml:space="preserve">b) du </w:t>
            </w:r>
            <w:r w:rsidRPr="00EC1FEA">
              <w:rPr>
                <w:i/>
                <w:iCs/>
                <w:spacing w:val="-1"/>
                <w:lang w:val="fr-FR"/>
              </w:rPr>
              <w:t>Manuel d’épreuves et de critères</w:t>
            </w:r>
            <w:r w:rsidRPr="00EC1FEA">
              <w:rPr>
                <w:spacing w:val="-1"/>
                <w:lang w:val="fr-FR"/>
              </w:rPr>
              <w:t>, ou, à défaut, lors de l’épreuve</w:t>
            </w:r>
            <w:r w:rsidR="005C541C" w:rsidRPr="00EC1FEA">
              <w:rPr>
                <w:spacing w:val="-1"/>
                <w:lang w:val="fr-FR"/>
              </w:rPr>
              <w:t> </w:t>
            </w:r>
            <w:r w:rsidRPr="00EC1FEA">
              <w:rPr>
                <w:spacing w:val="-1"/>
                <w:lang w:val="fr-FR"/>
              </w:rPr>
              <w:t>6</w:t>
            </w:r>
            <w:r w:rsidR="005C541C" w:rsidRPr="00EC1FEA">
              <w:rPr>
                <w:spacing w:val="-1"/>
                <w:lang w:val="fr-FR"/>
              </w:rPr>
              <w:t> </w:t>
            </w:r>
            <w:r w:rsidRPr="00EC1FEA">
              <w:rPr>
                <w:spacing w:val="-1"/>
                <w:lang w:val="fr-FR"/>
              </w:rPr>
              <w:t xml:space="preserve">d) du </w:t>
            </w:r>
            <w:r w:rsidRPr="00CC0021">
              <w:rPr>
                <w:i/>
                <w:iCs/>
                <w:spacing w:val="-1"/>
                <w:lang w:val="fr-FR"/>
              </w:rPr>
              <w:t>Manuel d’épreuves et de critères</w:t>
            </w:r>
            <w:r w:rsidR="005C541C" w:rsidRPr="00EC1FEA">
              <w:rPr>
                <w:spacing w:val="-1"/>
                <w:lang w:val="fr-FR"/>
              </w:rPr>
              <w:t> </w:t>
            </w:r>
            <w:r w:rsidRPr="00EC1FEA">
              <w:rPr>
                <w:spacing w:val="-1"/>
                <w:lang w:val="fr-FR"/>
              </w:rPr>
              <w:t>; et</w:t>
            </w:r>
          </w:p>
          <w:p w14:paraId="29AB23C3" w14:textId="77777777" w:rsidR="007C3C1A" w:rsidRPr="00815AF7" w:rsidRDefault="007C3C1A" w:rsidP="005C541C">
            <w:pPr>
              <w:spacing w:before="60" w:after="60"/>
              <w:ind w:left="567" w:right="57" w:hanging="510"/>
            </w:pPr>
            <w:r w:rsidRPr="00815AF7">
              <w:rPr>
                <w:lang w:val="fr-FR"/>
              </w:rPr>
              <w:t>c)</w:t>
            </w:r>
            <w:r w:rsidRPr="00815AF7">
              <w:rPr>
                <w:lang w:val="fr-FR"/>
              </w:rPr>
              <w:tab/>
              <w:t>Ne nécessitent pas d</w:t>
            </w:r>
            <w:r>
              <w:rPr>
                <w:lang w:val="fr-FR"/>
              </w:rPr>
              <w:t>’</w:t>
            </w:r>
            <w:r w:rsidRPr="00815AF7">
              <w:rPr>
                <w:lang w:val="fr-FR"/>
              </w:rPr>
              <w:t>éléments autres que ceux procurés par un emballage primaire pour atténuer un comportement très dangereux</w:t>
            </w:r>
            <w:r w:rsidRPr="005C541C">
              <w:rPr>
                <w:i/>
                <w:iCs/>
                <w:vertAlign w:val="superscript"/>
                <w:lang w:val="fr-FR"/>
              </w:rPr>
              <w:t>c</w:t>
            </w:r>
            <w:r w:rsidRPr="00815AF7">
              <w:rPr>
                <w:lang w:val="fr-FR"/>
              </w:rPr>
              <w:t>.</w:t>
            </w:r>
          </w:p>
        </w:tc>
      </w:tr>
    </w:tbl>
    <w:p w14:paraId="619C548F" w14:textId="77777777" w:rsidR="007C3C1A" w:rsidRPr="005C541C" w:rsidRDefault="007C3C1A" w:rsidP="00823432">
      <w:pPr>
        <w:pStyle w:val="SingleTxtG"/>
        <w:spacing w:before="120" w:after="0"/>
        <w:ind w:right="0" w:firstLine="170"/>
        <w:rPr>
          <w:sz w:val="18"/>
          <w:szCs w:val="18"/>
          <w:lang w:val="fr-FR"/>
        </w:rPr>
      </w:pPr>
      <w:r w:rsidRPr="005C541C">
        <w:rPr>
          <w:i/>
          <w:iCs/>
          <w:sz w:val="18"/>
          <w:szCs w:val="18"/>
          <w:vertAlign w:val="superscript"/>
          <w:lang w:val="fr-FR"/>
        </w:rPr>
        <w:t>a</w:t>
      </w:r>
      <w:r w:rsidR="005C541C" w:rsidRPr="005C541C">
        <w:rPr>
          <w:sz w:val="18"/>
          <w:szCs w:val="18"/>
          <w:lang w:val="fr-FR"/>
        </w:rPr>
        <w:t xml:space="preserve">  </w:t>
      </w:r>
      <w:r w:rsidRPr="005C541C">
        <w:rPr>
          <w:sz w:val="18"/>
          <w:szCs w:val="18"/>
          <w:lang w:val="fr-FR"/>
        </w:rPr>
        <w:t>Les matières et objets explosibles de la catégorie</w:t>
      </w:r>
      <w:r w:rsidR="005C541C" w:rsidRPr="005C541C">
        <w:rPr>
          <w:sz w:val="18"/>
          <w:szCs w:val="18"/>
          <w:lang w:val="fr-FR"/>
        </w:rPr>
        <w:t> </w:t>
      </w:r>
      <w:r w:rsidRPr="005C541C">
        <w:rPr>
          <w:sz w:val="18"/>
          <w:szCs w:val="18"/>
          <w:lang w:val="fr-FR"/>
        </w:rPr>
        <w:t>2 qui sont retirés de leur emballage primaire à des fins d’utilisation restent classés dans la catégorie</w:t>
      </w:r>
      <w:r w:rsidR="005C541C" w:rsidRPr="005C541C">
        <w:rPr>
          <w:sz w:val="18"/>
          <w:szCs w:val="18"/>
          <w:lang w:val="fr-FR"/>
        </w:rPr>
        <w:t> </w:t>
      </w:r>
      <w:r w:rsidRPr="005C541C">
        <w:rPr>
          <w:sz w:val="18"/>
          <w:szCs w:val="18"/>
          <w:lang w:val="fr-FR"/>
        </w:rPr>
        <w:t>2</w:t>
      </w:r>
      <w:r w:rsidR="005C541C" w:rsidRPr="005C541C">
        <w:rPr>
          <w:sz w:val="18"/>
          <w:szCs w:val="18"/>
          <w:lang w:val="fr-FR"/>
        </w:rPr>
        <w:t> </w:t>
      </w:r>
      <w:r w:rsidRPr="005C541C">
        <w:rPr>
          <w:sz w:val="18"/>
          <w:szCs w:val="18"/>
          <w:lang w:val="fr-FR"/>
        </w:rPr>
        <w:t>; voir le 2.1.1.3.4.</w:t>
      </w:r>
    </w:p>
    <w:p w14:paraId="4564DC92" w14:textId="77777777" w:rsidR="007C3C1A" w:rsidRPr="005C541C" w:rsidRDefault="007C3C1A" w:rsidP="00823432">
      <w:pPr>
        <w:pStyle w:val="SingleTxtG"/>
        <w:spacing w:after="0"/>
        <w:ind w:right="0" w:firstLine="170"/>
        <w:rPr>
          <w:sz w:val="18"/>
          <w:szCs w:val="18"/>
          <w:lang w:val="fr-FR"/>
        </w:rPr>
      </w:pPr>
      <w:r w:rsidRPr="005C541C">
        <w:rPr>
          <w:i/>
          <w:iCs/>
          <w:sz w:val="18"/>
          <w:szCs w:val="18"/>
          <w:vertAlign w:val="superscript"/>
          <w:lang w:val="fr-FR"/>
        </w:rPr>
        <w:t>b</w:t>
      </w:r>
      <w:r w:rsidRPr="005C541C">
        <w:rPr>
          <w:sz w:val="18"/>
          <w:szCs w:val="18"/>
          <w:lang w:val="fr-FR"/>
        </w:rPr>
        <w:t xml:space="preserve"> </w:t>
      </w:r>
      <w:r w:rsidR="005C541C" w:rsidRPr="005C541C">
        <w:rPr>
          <w:sz w:val="18"/>
          <w:szCs w:val="18"/>
          <w:lang w:val="fr-FR"/>
        </w:rPr>
        <w:t xml:space="preserve"> </w:t>
      </w:r>
      <w:r w:rsidRPr="005C541C">
        <w:rPr>
          <w:sz w:val="18"/>
          <w:szCs w:val="18"/>
          <w:lang w:val="fr-FR"/>
        </w:rPr>
        <w:t>Le fabricant, le fournisseur ou l’autorité compétente peut affecter à la sous-catégorie</w:t>
      </w:r>
      <w:r w:rsidR="005C541C" w:rsidRPr="005C541C">
        <w:rPr>
          <w:sz w:val="18"/>
          <w:szCs w:val="18"/>
          <w:lang w:val="fr-FR"/>
        </w:rPr>
        <w:t> </w:t>
      </w:r>
      <w:r w:rsidRPr="005C541C">
        <w:rPr>
          <w:sz w:val="18"/>
          <w:szCs w:val="18"/>
          <w:lang w:val="fr-FR"/>
        </w:rPr>
        <w:t>2A une matière ou un objet explosible de la division</w:t>
      </w:r>
      <w:r w:rsidR="005C541C" w:rsidRPr="005C541C">
        <w:rPr>
          <w:sz w:val="18"/>
          <w:szCs w:val="18"/>
          <w:lang w:val="fr-FR"/>
        </w:rPr>
        <w:t> </w:t>
      </w:r>
      <w:r w:rsidRPr="005C541C">
        <w:rPr>
          <w:sz w:val="18"/>
          <w:szCs w:val="18"/>
          <w:lang w:val="fr-FR"/>
        </w:rPr>
        <w:t>1.4 sur la base de données ou d’autres considérations même si la matière ou l’objet en question satisfait aux critères techniques permettant de les classer dans la sous-catégorie</w:t>
      </w:r>
      <w:r w:rsidR="005C541C" w:rsidRPr="005C541C">
        <w:rPr>
          <w:sz w:val="18"/>
          <w:szCs w:val="18"/>
          <w:lang w:val="fr-FR"/>
        </w:rPr>
        <w:t> </w:t>
      </w:r>
      <w:r w:rsidRPr="005C541C">
        <w:rPr>
          <w:sz w:val="18"/>
          <w:szCs w:val="18"/>
          <w:lang w:val="fr-FR"/>
        </w:rPr>
        <w:t>2B ou 2C.</w:t>
      </w:r>
    </w:p>
    <w:p w14:paraId="496EB916" w14:textId="77777777" w:rsidR="007C3C1A" w:rsidRPr="005C541C" w:rsidRDefault="007C3C1A" w:rsidP="00823432">
      <w:pPr>
        <w:pStyle w:val="SingleTxtG"/>
        <w:spacing w:after="0"/>
        <w:ind w:right="0" w:firstLine="170"/>
        <w:rPr>
          <w:sz w:val="18"/>
          <w:szCs w:val="18"/>
          <w:lang w:val="fr-FR"/>
        </w:rPr>
      </w:pPr>
      <w:r w:rsidRPr="005C541C">
        <w:rPr>
          <w:i/>
          <w:iCs/>
          <w:sz w:val="18"/>
          <w:szCs w:val="18"/>
          <w:vertAlign w:val="superscript"/>
          <w:lang w:val="fr-FR"/>
        </w:rPr>
        <w:t>c</w:t>
      </w:r>
      <w:r w:rsidRPr="005C541C">
        <w:rPr>
          <w:sz w:val="18"/>
          <w:szCs w:val="18"/>
          <w:lang w:val="fr-FR"/>
        </w:rPr>
        <w:t xml:space="preserve"> </w:t>
      </w:r>
      <w:r w:rsidR="005C541C" w:rsidRPr="005C541C">
        <w:rPr>
          <w:sz w:val="18"/>
          <w:szCs w:val="18"/>
          <w:lang w:val="fr-FR"/>
        </w:rPr>
        <w:t xml:space="preserve"> </w:t>
      </w:r>
      <w:r w:rsidRPr="005C541C">
        <w:rPr>
          <w:sz w:val="18"/>
          <w:szCs w:val="18"/>
          <w:lang w:val="fr-FR"/>
        </w:rPr>
        <w:tab/>
        <w:t xml:space="preserve">Selon le </w:t>
      </w:r>
      <w:r w:rsidRPr="005C541C">
        <w:rPr>
          <w:i/>
          <w:iCs/>
          <w:sz w:val="18"/>
          <w:szCs w:val="18"/>
          <w:lang w:val="fr-FR"/>
        </w:rPr>
        <w:t>Manuel d’épreuves et de critères</w:t>
      </w:r>
      <w:r w:rsidRPr="005C541C">
        <w:rPr>
          <w:sz w:val="18"/>
          <w:szCs w:val="18"/>
          <w:lang w:val="fr-FR"/>
        </w:rPr>
        <w:t>, on conclut à un danger élevé si on constate, à l’issue des épreuves des types</w:t>
      </w:r>
      <w:r w:rsidR="005C541C" w:rsidRPr="005C541C">
        <w:rPr>
          <w:sz w:val="18"/>
          <w:szCs w:val="18"/>
          <w:lang w:val="fr-FR"/>
        </w:rPr>
        <w:t> </w:t>
      </w:r>
      <w:r w:rsidRPr="005C541C">
        <w:rPr>
          <w:sz w:val="18"/>
          <w:szCs w:val="18"/>
          <w:lang w:val="fr-FR"/>
        </w:rPr>
        <w:t>6</w:t>
      </w:r>
      <w:r w:rsidR="005C541C" w:rsidRPr="005C541C">
        <w:rPr>
          <w:sz w:val="18"/>
          <w:szCs w:val="18"/>
          <w:lang w:val="fr-FR"/>
        </w:rPr>
        <w:t> </w:t>
      </w:r>
      <w:r w:rsidRPr="005C541C">
        <w:rPr>
          <w:sz w:val="18"/>
          <w:szCs w:val="18"/>
          <w:lang w:val="fr-FR"/>
        </w:rPr>
        <w:t>a) ou 6</w:t>
      </w:r>
      <w:r w:rsidR="005C541C" w:rsidRPr="005C541C">
        <w:rPr>
          <w:sz w:val="18"/>
          <w:szCs w:val="18"/>
          <w:lang w:val="fr-FR"/>
        </w:rPr>
        <w:t> </w:t>
      </w:r>
      <w:r w:rsidRPr="005C541C">
        <w:rPr>
          <w:sz w:val="18"/>
          <w:szCs w:val="18"/>
          <w:lang w:val="fr-FR"/>
        </w:rPr>
        <w:t>b)</w:t>
      </w:r>
      <w:r w:rsidR="005C541C" w:rsidRPr="005C541C">
        <w:rPr>
          <w:sz w:val="18"/>
          <w:szCs w:val="18"/>
          <w:lang w:val="fr-FR"/>
        </w:rPr>
        <w:t> </w:t>
      </w:r>
      <w:r w:rsidRPr="005C541C">
        <w:rPr>
          <w:sz w:val="18"/>
          <w:szCs w:val="18"/>
          <w:lang w:val="fr-FR"/>
        </w:rPr>
        <w:t>:</w:t>
      </w:r>
    </w:p>
    <w:p w14:paraId="37BF57FC" w14:textId="77777777" w:rsidR="005C541C" w:rsidRDefault="007C3C1A" w:rsidP="00823432">
      <w:pPr>
        <w:pStyle w:val="SingleTxtG"/>
        <w:spacing w:after="0"/>
        <w:ind w:right="0" w:firstLine="170"/>
        <w:rPr>
          <w:sz w:val="18"/>
          <w:szCs w:val="18"/>
          <w:lang w:val="fr-FR"/>
        </w:rPr>
      </w:pPr>
      <w:r w:rsidRPr="005C541C">
        <w:rPr>
          <w:sz w:val="18"/>
          <w:szCs w:val="18"/>
          <w:lang w:val="fr-FR"/>
        </w:rPr>
        <w:lastRenderedPageBreak/>
        <w:t>a)</w:t>
      </w:r>
      <w:r w:rsidRPr="005C541C">
        <w:rPr>
          <w:sz w:val="18"/>
          <w:szCs w:val="18"/>
          <w:lang w:val="fr-FR"/>
        </w:rPr>
        <w:tab/>
        <w:t>Un changement de forme notable au niveau de la plaque témoin, comme une perforation, un creux, des traces d’impact ou une torsion</w:t>
      </w:r>
      <w:r w:rsidR="005C541C">
        <w:rPr>
          <w:sz w:val="18"/>
          <w:szCs w:val="18"/>
          <w:lang w:val="fr-FR"/>
        </w:rPr>
        <w:t> </w:t>
      </w:r>
      <w:r w:rsidRPr="005C541C">
        <w:rPr>
          <w:sz w:val="18"/>
          <w:szCs w:val="18"/>
          <w:lang w:val="fr-FR"/>
        </w:rPr>
        <w:t>; ou</w:t>
      </w:r>
    </w:p>
    <w:p w14:paraId="429F33F7" w14:textId="77777777" w:rsidR="007C3C1A" w:rsidRPr="005C541C" w:rsidRDefault="007C3C1A" w:rsidP="00823432">
      <w:pPr>
        <w:pStyle w:val="SingleTxtG"/>
        <w:spacing w:after="0"/>
        <w:ind w:right="0" w:firstLine="170"/>
        <w:rPr>
          <w:sz w:val="18"/>
          <w:szCs w:val="18"/>
          <w:lang w:val="fr-FR"/>
        </w:rPr>
      </w:pPr>
      <w:r w:rsidRPr="005C541C">
        <w:rPr>
          <w:sz w:val="18"/>
          <w:szCs w:val="18"/>
          <w:lang w:val="fr-FR"/>
        </w:rPr>
        <w:t>b)</w:t>
      </w:r>
      <w:r w:rsidRPr="005C541C">
        <w:rPr>
          <w:sz w:val="18"/>
          <w:szCs w:val="18"/>
          <w:lang w:val="fr-FR"/>
        </w:rPr>
        <w:tab/>
        <w:t>L’éparpillement instantané de la plupart des matériaux de confinement. ».</w:t>
      </w:r>
    </w:p>
    <w:p w14:paraId="70996744" w14:textId="77777777" w:rsidR="007C3C1A" w:rsidRPr="007C3C1A" w:rsidRDefault="007C3C1A" w:rsidP="007C3C1A">
      <w:pPr>
        <w:pStyle w:val="SingleTxtG"/>
        <w:spacing w:before="240" w:after="0"/>
        <w:jc w:val="center"/>
        <w:rPr>
          <w:u w:val="single"/>
        </w:rPr>
      </w:pPr>
      <w:r>
        <w:rPr>
          <w:u w:val="single"/>
        </w:rPr>
        <w:tab/>
      </w:r>
      <w:r>
        <w:rPr>
          <w:u w:val="single"/>
        </w:rPr>
        <w:tab/>
      </w:r>
      <w:r>
        <w:rPr>
          <w:u w:val="single"/>
        </w:rPr>
        <w:tab/>
      </w:r>
    </w:p>
    <w:sectPr w:rsidR="007C3C1A" w:rsidRPr="007C3C1A" w:rsidSect="007C3C1A">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92CA8" w14:textId="77777777" w:rsidR="00A02188" w:rsidRDefault="00A02188" w:rsidP="00F95C08">
      <w:pPr>
        <w:spacing w:line="240" w:lineRule="auto"/>
      </w:pPr>
    </w:p>
  </w:endnote>
  <w:endnote w:type="continuationSeparator" w:id="0">
    <w:p w14:paraId="5A030625" w14:textId="77777777" w:rsidR="00A02188" w:rsidRPr="00AC3823" w:rsidRDefault="00A02188" w:rsidP="00AC3823">
      <w:pPr>
        <w:pStyle w:val="Footer"/>
      </w:pPr>
    </w:p>
  </w:endnote>
  <w:endnote w:type="continuationNotice" w:id="1">
    <w:p w14:paraId="0FF3676A" w14:textId="77777777" w:rsidR="00A02188" w:rsidRDefault="00A021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AE02" w14:textId="77777777" w:rsidR="007C3C1A" w:rsidRPr="007C3C1A" w:rsidRDefault="007C3C1A" w:rsidP="007C3C1A">
    <w:pPr>
      <w:pStyle w:val="Footer"/>
      <w:tabs>
        <w:tab w:val="right" w:pos="9638"/>
      </w:tabs>
    </w:pPr>
    <w:r w:rsidRPr="007C3C1A">
      <w:rPr>
        <w:b/>
        <w:sz w:val="18"/>
      </w:rPr>
      <w:fldChar w:fldCharType="begin"/>
    </w:r>
    <w:r w:rsidRPr="007C3C1A">
      <w:rPr>
        <w:b/>
        <w:sz w:val="18"/>
      </w:rPr>
      <w:instrText xml:space="preserve"> PAGE  \* MERGEFORMAT </w:instrText>
    </w:r>
    <w:r w:rsidRPr="007C3C1A">
      <w:rPr>
        <w:b/>
        <w:sz w:val="18"/>
      </w:rPr>
      <w:fldChar w:fldCharType="separate"/>
    </w:r>
    <w:r w:rsidRPr="007C3C1A">
      <w:rPr>
        <w:b/>
        <w:noProof/>
        <w:sz w:val="18"/>
      </w:rPr>
      <w:t>2</w:t>
    </w:r>
    <w:r w:rsidRPr="007C3C1A">
      <w:rPr>
        <w:b/>
        <w:sz w:val="18"/>
      </w:rPr>
      <w:fldChar w:fldCharType="end"/>
    </w:r>
    <w:r>
      <w:rPr>
        <w:b/>
        <w:sz w:val="18"/>
      </w:rPr>
      <w:tab/>
    </w:r>
    <w:r>
      <w:t>GE.20-11513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539F" w14:textId="77777777" w:rsidR="007C3C1A" w:rsidRPr="007C3C1A" w:rsidRDefault="007C3C1A" w:rsidP="007C3C1A">
    <w:pPr>
      <w:pStyle w:val="Footer"/>
      <w:tabs>
        <w:tab w:val="right" w:pos="9638"/>
      </w:tabs>
      <w:rPr>
        <w:b/>
        <w:sz w:val="18"/>
      </w:rPr>
    </w:pPr>
    <w:r>
      <w:t>GE.20-11513</w:t>
    </w:r>
    <w:r>
      <w:tab/>
    </w:r>
    <w:r w:rsidRPr="007C3C1A">
      <w:rPr>
        <w:b/>
        <w:sz w:val="18"/>
      </w:rPr>
      <w:fldChar w:fldCharType="begin"/>
    </w:r>
    <w:r w:rsidRPr="007C3C1A">
      <w:rPr>
        <w:b/>
        <w:sz w:val="18"/>
      </w:rPr>
      <w:instrText xml:space="preserve"> PAGE  \* MERGEFORMAT </w:instrText>
    </w:r>
    <w:r w:rsidRPr="007C3C1A">
      <w:rPr>
        <w:b/>
        <w:sz w:val="18"/>
      </w:rPr>
      <w:fldChar w:fldCharType="separate"/>
    </w:r>
    <w:r w:rsidRPr="007C3C1A">
      <w:rPr>
        <w:b/>
        <w:noProof/>
        <w:sz w:val="18"/>
      </w:rPr>
      <w:t>3</w:t>
    </w:r>
    <w:r w:rsidRPr="007C3C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14C05" w14:textId="75ACD870" w:rsidR="0068456F" w:rsidRPr="007C3C1A" w:rsidRDefault="00DE3F0C" w:rsidP="007C3C1A">
    <w:pPr>
      <w:pStyle w:val="Footer"/>
      <w:spacing w:before="120"/>
      <w:rPr>
        <w:sz w:val="20"/>
      </w:rPr>
    </w:pPr>
    <w:r>
      <w:rPr>
        <w:noProof/>
        <w:lang w:eastAsia="fr-CH"/>
      </w:rPr>
      <w:drawing>
        <wp:anchor distT="0" distB="0" distL="114300" distR="114300" simplePos="0" relativeHeight="251659776" behindDoc="0" locked="0" layoutInCell="1" allowOverlap="0" wp14:anchorId="1D150E6D" wp14:editId="52DDB16E">
          <wp:simplePos x="0" y="0"/>
          <wp:positionH relativeFrom="margin">
            <wp:posOffset>4319905</wp:posOffset>
          </wp:positionH>
          <wp:positionV relativeFrom="margin">
            <wp:posOffset>9292961</wp:posOffset>
          </wp:positionV>
          <wp:extent cx="1104900" cy="233680"/>
          <wp:effectExtent l="0" t="0" r="0" b="0"/>
          <wp:wrapNone/>
          <wp:docPr id="2" name="Image 2" descr="Merci de recyc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C1A">
      <w:rPr>
        <w:sz w:val="20"/>
      </w:rPr>
      <w:t>GE.20-11513  (F)    241120    2</w:t>
    </w:r>
    <w:r w:rsidR="00DB76FA">
      <w:rPr>
        <w:sz w:val="20"/>
      </w:rPr>
      <w:t>6</w:t>
    </w:r>
    <w:r w:rsidR="007C3C1A">
      <w:rPr>
        <w:sz w:val="20"/>
      </w:rPr>
      <w:t>1120</w:t>
    </w:r>
    <w:r w:rsidR="007C3C1A">
      <w:rPr>
        <w:noProof/>
        <w:sz w:val="20"/>
      </w:rPr>
      <w:drawing>
        <wp:anchor distT="0" distB="0" distL="114300" distR="114300" simplePos="0" relativeHeight="251660288" behindDoc="0" locked="0" layoutInCell="1" allowOverlap="1" wp14:anchorId="161515FC" wp14:editId="41F916E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F526E" w14:textId="77777777" w:rsidR="00A02188" w:rsidRPr="00AC3823" w:rsidRDefault="00A02188" w:rsidP="00AC3823">
      <w:pPr>
        <w:pStyle w:val="Footer"/>
        <w:tabs>
          <w:tab w:val="right" w:pos="2155"/>
        </w:tabs>
        <w:spacing w:after="80" w:line="240" w:lineRule="atLeast"/>
        <w:ind w:left="680"/>
        <w:rPr>
          <w:u w:val="single"/>
        </w:rPr>
      </w:pPr>
      <w:r>
        <w:rPr>
          <w:u w:val="single"/>
        </w:rPr>
        <w:tab/>
      </w:r>
    </w:p>
  </w:footnote>
  <w:footnote w:type="continuationSeparator" w:id="0">
    <w:p w14:paraId="1F893AEE" w14:textId="77777777" w:rsidR="00A02188" w:rsidRPr="00AC3823" w:rsidRDefault="00A02188" w:rsidP="00AC3823">
      <w:pPr>
        <w:pStyle w:val="Footer"/>
        <w:tabs>
          <w:tab w:val="right" w:pos="2155"/>
        </w:tabs>
        <w:spacing w:after="80" w:line="240" w:lineRule="atLeast"/>
        <w:ind w:left="680"/>
        <w:rPr>
          <w:u w:val="single"/>
        </w:rPr>
      </w:pPr>
      <w:r>
        <w:rPr>
          <w:u w:val="single"/>
        </w:rPr>
        <w:tab/>
      </w:r>
    </w:p>
  </w:footnote>
  <w:footnote w:type="continuationNotice" w:id="1">
    <w:p w14:paraId="02381AD4" w14:textId="77777777" w:rsidR="00A02188" w:rsidRPr="00AC3823" w:rsidRDefault="00A02188">
      <w:pPr>
        <w:spacing w:line="240" w:lineRule="auto"/>
        <w:rPr>
          <w:sz w:val="2"/>
          <w:szCs w:val="2"/>
        </w:rPr>
      </w:pPr>
    </w:p>
  </w:footnote>
  <w:footnote w:id="2">
    <w:p w14:paraId="0BF051CB" w14:textId="77777777" w:rsidR="008031A4" w:rsidRPr="008031A4" w:rsidRDefault="008031A4">
      <w:pPr>
        <w:pStyle w:val="FootnoteText"/>
        <w:rPr>
          <w:spacing w:val="-4"/>
        </w:rPr>
      </w:pPr>
      <w:r w:rsidRPr="008031A4">
        <w:rPr>
          <w:rStyle w:val="FootnoteReference"/>
          <w:spacing w:val="-4"/>
        </w:rPr>
        <w:tab/>
      </w:r>
      <w:r w:rsidRPr="008031A4">
        <w:rPr>
          <w:rStyle w:val="FootnoteReference"/>
          <w:spacing w:val="-4"/>
          <w:sz w:val="20"/>
          <w:vertAlign w:val="baseline"/>
        </w:rPr>
        <w:t>*</w:t>
      </w:r>
      <w:r w:rsidRPr="008031A4">
        <w:rPr>
          <w:rStyle w:val="FootnoteReference"/>
          <w:spacing w:val="-4"/>
          <w:sz w:val="20"/>
          <w:vertAlign w:val="baseline"/>
        </w:rPr>
        <w:tab/>
      </w:r>
      <w:r w:rsidRPr="008031A4">
        <w:rPr>
          <w:spacing w:val="-4"/>
          <w:lang w:val="fr-FR"/>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5C6FE" w14:textId="6BE791B8" w:rsidR="007C3C1A" w:rsidRPr="007C3C1A" w:rsidRDefault="007C3C1A">
    <w:pPr>
      <w:pStyle w:val="Header"/>
      <w:rPr>
        <w:lang w:val="en-US"/>
      </w:rPr>
    </w:pPr>
    <w:r>
      <w:fldChar w:fldCharType="begin"/>
    </w:r>
    <w:r w:rsidRPr="007C3C1A">
      <w:rPr>
        <w:lang w:val="en-US"/>
      </w:rPr>
      <w:instrText xml:space="preserve"> TITLE  \* MERGEFORMAT </w:instrText>
    </w:r>
    <w:r>
      <w:fldChar w:fldCharType="separate"/>
    </w:r>
    <w:r w:rsidR="002537A0">
      <w:rPr>
        <w:lang w:val="en-US"/>
      </w:rPr>
      <w:t>ST/SG/AC.10/C.3/2020/20/Add.1</w:t>
    </w:r>
    <w:r>
      <w:fldChar w:fldCharType="end"/>
    </w:r>
    <w:r w:rsidRPr="007C3C1A">
      <w:rPr>
        <w:lang w:val="en-US"/>
      </w:rPr>
      <w:br/>
    </w:r>
    <w:r>
      <w:fldChar w:fldCharType="begin"/>
    </w:r>
    <w:r w:rsidRPr="007C3C1A">
      <w:rPr>
        <w:lang w:val="en-US"/>
      </w:rPr>
      <w:instrText xml:space="preserve"> KEYWORDS  \* MERGEFORMAT </w:instrText>
    </w:r>
    <w:r>
      <w:fldChar w:fldCharType="separate"/>
    </w:r>
    <w:r w:rsidR="002537A0">
      <w:rPr>
        <w:lang w:val="en-US"/>
      </w:rPr>
      <w:t>ST/SG/AC.10/C.4/2020/5/Add.1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96D3" w14:textId="1ECFA552" w:rsidR="007C3C1A" w:rsidRPr="007C3C1A" w:rsidRDefault="007C3C1A" w:rsidP="007C3C1A">
    <w:pPr>
      <w:pStyle w:val="Header"/>
      <w:jc w:val="right"/>
      <w:rPr>
        <w:lang w:val="en-US"/>
      </w:rPr>
    </w:pPr>
    <w:r>
      <w:fldChar w:fldCharType="begin"/>
    </w:r>
    <w:r w:rsidRPr="007C3C1A">
      <w:rPr>
        <w:lang w:val="en-US"/>
      </w:rPr>
      <w:instrText xml:space="preserve"> TITLE  \* MERGEFORMAT </w:instrText>
    </w:r>
    <w:r>
      <w:fldChar w:fldCharType="separate"/>
    </w:r>
    <w:r w:rsidR="002537A0">
      <w:rPr>
        <w:lang w:val="en-US"/>
      </w:rPr>
      <w:t>ST/SG/AC.10/C.3/2020/20/Add.1</w:t>
    </w:r>
    <w:r>
      <w:fldChar w:fldCharType="end"/>
    </w:r>
    <w:r w:rsidRPr="007C3C1A">
      <w:rPr>
        <w:lang w:val="en-US"/>
      </w:rPr>
      <w:br/>
    </w:r>
    <w:r>
      <w:fldChar w:fldCharType="begin"/>
    </w:r>
    <w:r w:rsidRPr="007C3C1A">
      <w:rPr>
        <w:lang w:val="en-US"/>
      </w:rPr>
      <w:instrText xml:space="preserve"> KEYWORDS  \* MERGEFORMAT </w:instrText>
    </w:r>
    <w:r>
      <w:fldChar w:fldCharType="separate"/>
    </w:r>
    <w:r w:rsidR="002537A0">
      <w:rPr>
        <w:lang w:val="en-US"/>
      </w:rPr>
      <w:t>ST/SG/AC.10/C.4/2020/5/Add.1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88"/>
    <w:rsid w:val="00017F94"/>
    <w:rsid w:val="00023842"/>
    <w:rsid w:val="000305D3"/>
    <w:rsid w:val="000334F9"/>
    <w:rsid w:val="0007796D"/>
    <w:rsid w:val="000A43FF"/>
    <w:rsid w:val="000B7790"/>
    <w:rsid w:val="00111F2F"/>
    <w:rsid w:val="00132EA9"/>
    <w:rsid w:val="0014365E"/>
    <w:rsid w:val="00176178"/>
    <w:rsid w:val="00195FF4"/>
    <w:rsid w:val="001F525A"/>
    <w:rsid w:val="00223272"/>
    <w:rsid w:val="0024779E"/>
    <w:rsid w:val="002537A0"/>
    <w:rsid w:val="00283190"/>
    <w:rsid w:val="002832AC"/>
    <w:rsid w:val="002D7C93"/>
    <w:rsid w:val="002E7FB5"/>
    <w:rsid w:val="00436E0C"/>
    <w:rsid w:val="00441C3B"/>
    <w:rsid w:val="00446FE5"/>
    <w:rsid w:val="00452396"/>
    <w:rsid w:val="004769CD"/>
    <w:rsid w:val="004C3361"/>
    <w:rsid w:val="004E468C"/>
    <w:rsid w:val="00505C00"/>
    <w:rsid w:val="005505B7"/>
    <w:rsid w:val="00573BE5"/>
    <w:rsid w:val="00584DC4"/>
    <w:rsid w:val="00586ED3"/>
    <w:rsid w:val="00596AA9"/>
    <w:rsid w:val="005C541C"/>
    <w:rsid w:val="0068456F"/>
    <w:rsid w:val="0071601D"/>
    <w:rsid w:val="0072714F"/>
    <w:rsid w:val="007A62E6"/>
    <w:rsid w:val="007C3C1A"/>
    <w:rsid w:val="007F6ADA"/>
    <w:rsid w:val="008031A4"/>
    <w:rsid w:val="0080684C"/>
    <w:rsid w:val="00823432"/>
    <w:rsid w:val="00871C75"/>
    <w:rsid w:val="008776DC"/>
    <w:rsid w:val="00893202"/>
    <w:rsid w:val="008B40CD"/>
    <w:rsid w:val="009705C8"/>
    <w:rsid w:val="009C1CF4"/>
    <w:rsid w:val="00A02188"/>
    <w:rsid w:val="00A30353"/>
    <w:rsid w:val="00AC3823"/>
    <w:rsid w:val="00AE323C"/>
    <w:rsid w:val="00B00181"/>
    <w:rsid w:val="00B00B0D"/>
    <w:rsid w:val="00B00D91"/>
    <w:rsid w:val="00B765F7"/>
    <w:rsid w:val="00BA0CA9"/>
    <w:rsid w:val="00BE25CC"/>
    <w:rsid w:val="00C02897"/>
    <w:rsid w:val="00C36925"/>
    <w:rsid w:val="00CC0021"/>
    <w:rsid w:val="00D3439C"/>
    <w:rsid w:val="00D47035"/>
    <w:rsid w:val="00DB1831"/>
    <w:rsid w:val="00DB76FA"/>
    <w:rsid w:val="00DD3BFD"/>
    <w:rsid w:val="00DE3F0C"/>
    <w:rsid w:val="00DF6678"/>
    <w:rsid w:val="00EC1FEA"/>
    <w:rsid w:val="00ED34FB"/>
    <w:rsid w:val="00EF2E22"/>
    <w:rsid w:val="00F01738"/>
    <w:rsid w:val="00F07FBB"/>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AEB70F"/>
  <w15:docId w15:val="{257442B0-1D26-464D-8B55-6CCE8943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926EAD-E331-43AC-BDA1-B6C278DC7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27549-968E-4000-91E8-99772F4C0D4A}">
  <ds:schemaRefs>
    <ds:schemaRef ds:uri="http://schemas.microsoft.com/sharepoint/v3/contenttype/forms"/>
  </ds:schemaRefs>
</ds:datastoreItem>
</file>

<file path=customXml/itemProps3.xml><?xml version="1.0" encoding="utf-8"?>
<ds:datastoreItem xmlns:ds="http://schemas.openxmlformats.org/officeDocument/2006/customXml" ds:itemID="{A87608E7-B1F3-49A9-819C-FCA193C498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1955</Words>
  <Characters>11149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ST/SG/AC.10/C.3/2020/20/Add.1</vt:lpstr>
    </vt:vector>
  </TitlesOfParts>
  <Company>DCM</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ST/SG/AC.10/C.3/2020/20/Add.1</dc:title>
  <dc:creator>Marie DESCHAMPS</dc:creator>
  <cp:keywords>ST/SG/AC.10/C.4/2020/5/Add.1</cp:keywords>
  <cp:lastModifiedBy>Laurence Berthet</cp:lastModifiedBy>
  <cp:revision>2</cp:revision>
  <cp:lastPrinted>2020-11-26T10:43:00Z</cp:lastPrinted>
  <dcterms:created xsi:type="dcterms:W3CDTF">2020-11-26T10:44:00Z</dcterms:created>
  <dcterms:modified xsi:type="dcterms:W3CDTF">2020-11-26T10:44:00Z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