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158244" w14:textId="77777777" w:rsidTr="006476E1">
        <w:trPr>
          <w:trHeight w:val="851"/>
        </w:trPr>
        <w:tc>
          <w:tcPr>
            <w:tcW w:w="1259" w:type="dxa"/>
            <w:tcBorders>
              <w:top w:val="nil"/>
              <w:left w:val="nil"/>
              <w:bottom w:val="single" w:sz="4" w:space="0" w:color="auto"/>
              <w:right w:val="nil"/>
            </w:tcBorders>
          </w:tcPr>
          <w:p w14:paraId="0E87DC22" w14:textId="77777777" w:rsidR="00E52109" w:rsidRPr="002A32CB" w:rsidRDefault="00E52109" w:rsidP="004858F5"/>
        </w:tc>
        <w:tc>
          <w:tcPr>
            <w:tcW w:w="2236" w:type="dxa"/>
            <w:tcBorders>
              <w:top w:val="nil"/>
              <w:left w:val="nil"/>
              <w:bottom w:val="single" w:sz="4" w:space="0" w:color="auto"/>
              <w:right w:val="nil"/>
            </w:tcBorders>
            <w:vAlign w:val="bottom"/>
          </w:tcPr>
          <w:p w14:paraId="0D14B5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759657" w14:textId="3461AA3F" w:rsidR="00E9775D" w:rsidRDefault="00E9775D" w:rsidP="00E9775D">
            <w:pPr>
              <w:suppressAutoHyphens w:val="0"/>
              <w:jc w:val="right"/>
            </w:pPr>
            <w:r w:rsidRPr="00E9775D">
              <w:rPr>
                <w:sz w:val="40"/>
              </w:rPr>
              <w:t>ST</w:t>
            </w:r>
            <w:r>
              <w:t>/SG/AC.10/C.3/2020/20/Add.1−</w:t>
            </w:r>
            <w:r w:rsidRPr="00E9775D">
              <w:rPr>
                <w:sz w:val="40"/>
              </w:rPr>
              <w:t>ST</w:t>
            </w:r>
            <w:r>
              <w:t>/SG/AC.10/C.4/2020/5/Add.1</w:t>
            </w:r>
          </w:p>
        </w:tc>
      </w:tr>
      <w:tr w:rsidR="00E52109" w14:paraId="6DBA86AA" w14:textId="77777777" w:rsidTr="006476E1">
        <w:trPr>
          <w:trHeight w:val="2835"/>
        </w:trPr>
        <w:tc>
          <w:tcPr>
            <w:tcW w:w="1259" w:type="dxa"/>
            <w:tcBorders>
              <w:top w:val="single" w:sz="4" w:space="0" w:color="auto"/>
              <w:left w:val="nil"/>
              <w:bottom w:val="single" w:sz="12" w:space="0" w:color="auto"/>
              <w:right w:val="nil"/>
            </w:tcBorders>
          </w:tcPr>
          <w:p w14:paraId="44332B84" w14:textId="77777777" w:rsidR="00E52109" w:rsidRDefault="00E52109" w:rsidP="006476E1">
            <w:pPr>
              <w:spacing w:before="120"/>
              <w:jc w:val="center"/>
            </w:pPr>
            <w:r>
              <w:rPr>
                <w:noProof/>
                <w:lang w:val="sv-SE" w:eastAsia="sv-SE"/>
              </w:rPr>
              <w:drawing>
                <wp:inline distT="0" distB="0" distL="0" distR="0" wp14:anchorId="017D9CFB" wp14:editId="4AFC06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A19455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4252ED5" w14:textId="77777777" w:rsidR="00D94B05" w:rsidRDefault="00E9775D" w:rsidP="00E9775D">
            <w:pPr>
              <w:suppressAutoHyphens w:val="0"/>
              <w:spacing w:before="240" w:line="240" w:lineRule="exact"/>
            </w:pPr>
            <w:r>
              <w:t>Distr.: General</w:t>
            </w:r>
          </w:p>
          <w:p w14:paraId="1D1204A9" w14:textId="1449C90E" w:rsidR="00E9775D" w:rsidRDefault="00E2015D" w:rsidP="00E9775D">
            <w:pPr>
              <w:suppressAutoHyphens w:val="0"/>
              <w:spacing w:line="240" w:lineRule="exact"/>
            </w:pPr>
            <w:r>
              <w:t>4</w:t>
            </w:r>
            <w:r w:rsidR="00E9775D">
              <w:t xml:space="preserve"> September 2020</w:t>
            </w:r>
          </w:p>
          <w:p w14:paraId="3C348991" w14:textId="77777777" w:rsidR="00E9775D" w:rsidRDefault="00E9775D" w:rsidP="00E9775D">
            <w:pPr>
              <w:suppressAutoHyphens w:val="0"/>
              <w:spacing w:line="240" w:lineRule="exact"/>
            </w:pPr>
          </w:p>
          <w:p w14:paraId="3686D588" w14:textId="468E5F95" w:rsidR="00E9775D" w:rsidRDefault="00E9775D" w:rsidP="00E9775D">
            <w:pPr>
              <w:suppressAutoHyphens w:val="0"/>
              <w:spacing w:line="240" w:lineRule="exact"/>
            </w:pPr>
            <w:r>
              <w:t>Original: English</w:t>
            </w:r>
          </w:p>
        </w:tc>
      </w:tr>
    </w:tbl>
    <w:p w14:paraId="41DB962C" w14:textId="77777777" w:rsidR="00E9775D" w:rsidRPr="006500BA" w:rsidRDefault="00E9775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9775D" w:rsidRPr="00302456" w14:paraId="2C739D16" w14:textId="77777777" w:rsidTr="00846F7F">
        <w:tc>
          <w:tcPr>
            <w:tcW w:w="4644" w:type="dxa"/>
            <w:shd w:val="clear" w:color="auto" w:fill="auto"/>
          </w:tcPr>
          <w:p w14:paraId="201CE5DC" w14:textId="77777777" w:rsidR="00E9775D" w:rsidRPr="00302456" w:rsidRDefault="00E9775D" w:rsidP="00846F7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0FAAF487" w14:textId="77777777" w:rsidR="00E9775D" w:rsidRPr="00302456" w:rsidRDefault="00E9775D" w:rsidP="00846F7F">
            <w:pPr>
              <w:spacing w:before="120"/>
              <w:rPr>
                <w:b/>
              </w:rPr>
            </w:pPr>
            <w:r w:rsidRPr="00302456">
              <w:rPr>
                <w:b/>
              </w:rPr>
              <w:t xml:space="preserve">Sub-Committee of Experts on the Globally Harmonized System of Classification and Labelling of Chemicals </w:t>
            </w:r>
          </w:p>
        </w:tc>
      </w:tr>
      <w:tr w:rsidR="00E9775D" w:rsidRPr="00302456" w14:paraId="4F8E2CCA" w14:textId="77777777" w:rsidTr="00846F7F">
        <w:tc>
          <w:tcPr>
            <w:tcW w:w="4644" w:type="dxa"/>
            <w:shd w:val="clear" w:color="auto" w:fill="auto"/>
          </w:tcPr>
          <w:p w14:paraId="6A5E17C0" w14:textId="3286C7A1" w:rsidR="00E9775D" w:rsidRPr="00527F08" w:rsidRDefault="00D5553D" w:rsidP="00846F7F">
            <w:pPr>
              <w:spacing w:before="120"/>
              <w:rPr>
                <w:b/>
              </w:rPr>
            </w:pPr>
            <w:r w:rsidRPr="00527F08">
              <w:rPr>
                <w:b/>
              </w:rPr>
              <w:t xml:space="preserve">Fifty-seventh </w:t>
            </w:r>
            <w:r w:rsidR="00E9775D" w:rsidRPr="00527F08">
              <w:rPr>
                <w:b/>
              </w:rPr>
              <w:t>session</w:t>
            </w:r>
          </w:p>
        </w:tc>
        <w:tc>
          <w:tcPr>
            <w:tcW w:w="5103" w:type="dxa"/>
            <w:shd w:val="clear" w:color="auto" w:fill="auto"/>
          </w:tcPr>
          <w:p w14:paraId="36C21AE2" w14:textId="5DF6B02A" w:rsidR="00E9775D" w:rsidRPr="00527F08" w:rsidRDefault="00D5553D" w:rsidP="00846F7F">
            <w:pPr>
              <w:spacing w:before="120"/>
              <w:rPr>
                <w:b/>
              </w:rPr>
            </w:pPr>
            <w:r w:rsidRPr="00527F08">
              <w:rPr>
                <w:b/>
              </w:rPr>
              <w:t>Thirty-ninth</w:t>
            </w:r>
            <w:r w:rsidR="00E9775D" w:rsidRPr="00527F08">
              <w:rPr>
                <w:b/>
              </w:rPr>
              <w:t xml:space="preserve"> session</w:t>
            </w:r>
          </w:p>
        </w:tc>
      </w:tr>
      <w:tr w:rsidR="00E9775D" w:rsidRPr="00302456" w14:paraId="4FAF3D03" w14:textId="77777777" w:rsidTr="00846F7F">
        <w:tc>
          <w:tcPr>
            <w:tcW w:w="4644" w:type="dxa"/>
            <w:shd w:val="clear" w:color="auto" w:fill="auto"/>
          </w:tcPr>
          <w:p w14:paraId="1C590F50" w14:textId="6041ECEA" w:rsidR="00E9775D" w:rsidRPr="00527F08" w:rsidRDefault="00E9775D" w:rsidP="00846F7F">
            <w:pPr>
              <w:rPr>
                <w:b/>
              </w:rPr>
            </w:pPr>
            <w:r w:rsidRPr="00527F08">
              <w:t xml:space="preserve">Geneva, </w:t>
            </w:r>
            <w:r w:rsidR="00D5553D" w:rsidRPr="00527F08">
              <w:t>30 November-8 December 2020</w:t>
            </w:r>
            <w:r w:rsidRPr="00527F08">
              <w:t xml:space="preserve"> </w:t>
            </w:r>
          </w:p>
        </w:tc>
        <w:tc>
          <w:tcPr>
            <w:tcW w:w="5103" w:type="dxa"/>
            <w:shd w:val="clear" w:color="auto" w:fill="auto"/>
          </w:tcPr>
          <w:p w14:paraId="1FAD1FF2" w14:textId="4C096C86" w:rsidR="00E9775D" w:rsidRPr="00527F08" w:rsidRDefault="00E9775D" w:rsidP="00846F7F">
            <w:pPr>
              <w:rPr>
                <w:b/>
              </w:rPr>
            </w:pPr>
            <w:r w:rsidRPr="00527F08">
              <w:t xml:space="preserve">Geneva, </w:t>
            </w:r>
            <w:r w:rsidR="00D5553D" w:rsidRPr="00527F08">
              <w:t>9-11 December 2020</w:t>
            </w:r>
          </w:p>
        </w:tc>
      </w:tr>
      <w:tr w:rsidR="00E9775D" w:rsidRPr="00302456" w14:paraId="0E1276A7" w14:textId="77777777" w:rsidTr="00846F7F">
        <w:tc>
          <w:tcPr>
            <w:tcW w:w="4644" w:type="dxa"/>
            <w:shd w:val="clear" w:color="auto" w:fill="auto"/>
          </w:tcPr>
          <w:p w14:paraId="7348C607" w14:textId="77777777" w:rsidR="00527F08" w:rsidRPr="00527F08" w:rsidRDefault="00E9775D" w:rsidP="00846F7F">
            <w:r w:rsidRPr="00527F08">
              <w:t xml:space="preserve">Item </w:t>
            </w:r>
            <w:r w:rsidR="00527F08" w:rsidRPr="00527F08">
              <w:t>11 (a) of the provisional agenda</w:t>
            </w:r>
          </w:p>
          <w:p w14:paraId="10C47B7A" w14:textId="1B782FB9" w:rsidR="00E9775D" w:rsidRPr="00527F08" w:rsidRDefault="00527F08" w:rsidP="00846F7F">
            <w:r w:rsidRPr="00527F08">
              <w:rPr>
                <w:b/>
              </w:rPr>
              <w:t xml:space="preserve">Issues relating to the Globally Harmonized System </w:t>
            </w:r>
            <w:r w:rsidRPr="00527F08">
              <w:rPr>
                <w:b/>
              </w:rPr>
              <w:br/>
              <w:t xml:space="preserve">of Classification and Labelling of Chemicals: </w:t>
            </w:r>
            <w:r w:rsidRPr="00527F08">
              <w:rPr>
                <w:b/>
              </w:rPr>
              <w:br/>
              <w:t>review of Chapter 2.1</w:t>
            </w:r>
          </w:p>
        </w:tc>
        <w:tc>
          <w:tcPr>
            <w:tcW w:w="5103" w:type="dxa"/>
            <w:shd w:val="clear" w:color="auto" w:fill="auto"/>
          </w:tcPr>
          <w:p w14:paraId="2E84EE67" w14:textId="77777777" w:rsidR="00527F08" w:rsidRPr="00527F08" w:rsidRDefault="00527F08" w:rsidP="00527F08">
            <w:r w:rsidRPr="00527F08">
              <w:t>Item 3 (b) of the provisional agenda</w:t>
            </w:r>
          </w:p>
          <w:p w14:paraId="5CC1B390" w14:textId="3CBAA089" w:rsidR="00E9775D" w:rsidRPr="00527F08" w:rsidRDefault="00527F08" w:rsidP="00527F08">
            <w:r w:rsidRPr="00527F08">
              <w:rPr>
                <w:b/>
                <w:bCs/>
              </w:rPr>
              <w:t>Classification criteria and related hazard communication: review of Chapter 2.1</w:t>
            </w:r>
          </w:p>
        </w:tc>
      </w:tr>
      <w:tr w:rsidR="00E9775D" w:rsidRPr="00E66746" w14:paraId="2D2B417E" w14:textId="77777777" w:rsidTr="00846F7F">
        <w:tc>
          <w:tcPr>
            <w:tcW w:w="4644" w:type="dxa"/>
            <w:shd w:val="clear" w:color="auto" w:fill="auto"/>
          </w:tcPr>
          <w:p w14:paraId="755EA840" w14:textId="77777777" w:rsidR="00E9775D" w:rsidRPr="006B63CB" w:rsidRDefault="00E9775D" w:rsidP="00846F7F">
            <w:pPr>
              <w:rPr>
                <w:b/>
                <w:highlight w:val="cyan"/>
              </w:rPr>
            </w:pPr>
          </w:p>
        </w:tc>
        <w:tc>
          <w:tcPr>
            <w:tcW w:w="5103" w:type="dxa"/>
            <w:shd w:val="clear" w:color="auto" w:fill="auto"/>
          </w:tcPr>
          <w:p w14:paraId="4B69994F" w14:textId="77777777" w:rsidR="00E9775D" w:rsidRPr="006B63CB" w:rsidRDefault="00E9775D" w:rsidP="00846F7F">
            <w:pPr>
              <w:rPr>
                <w:b/>
                <w:highlight w:val="cyan"/>
              </w:rPr>
            </w:pPr>
          </w:p>
        </w:tc>
      </w:tr>
    </w:tbl>
    <w:p w14:paraId="3F876094" w14:textId="2E1DF2C1" w:rsidR="00CF30F1" w:rsidRDefault="00D5553D" w:rsidP="00CF30F1">
      <w:pPr>
        <w:ind w:left="1134" w:right="284"/>
        <w:jc w:val="both"/>
        <w:rPr>
          <w:b/>
          <w:sz w:val="32"/>
        </w:rPr>
      </w:pPr>
      <w:r>
        <w:tab/>
      </w:r>
      <w:r w:rsidR="00CF30F1">
        <w:rPr>
          <w:b/>
          <w:sz w:val="32"/>
        </w:rPr>
        <w:t>A new Chapter 2.1 for the GHS – some amendments to ST/SG/AC.10/C.3/2020/20−ST/SG/AC.10/C.4/2020/5</w:t>
      </w:r>
    </w:p>
    <w:p w14:paraId="05BFCC45" w14:textId="1DAE7DE2" w:rsidR="00D5553D" w:rsidRDefault="00D5553D" w:rsidP="00D5553D">
      <w:pPr>
        <w:pStyle w:val="H1G"/>
      </w:pPr>
      <w:r>
        <w:tab/>
      </w:r>
      <w:r>
        <w:tab/>
      </w:r>
      <w:r>
        <w:tab/>
        <w:t xml:space="preserve">Transmitted by the expert from Sweden on </w:t>
      </w:r>
      <w:r w:rsidRPr="00EB69FF">
        <w:t>behalf</w:t>
      </w:r>
      <w:r>
        <w:t xml:space="preserve"> of the Informal Correspondence Group on the review of Chapter 2.1</w:t>
      </w:r>
      <w:r w:rsidR="00CF30F1" w:rsidRPr="00CF30F1">
        <w:rPr>
          <w:rStyle w:val="FootnoteReference"/>
          <w:sz w:val="20"/>
          <w:vertAlign w:val="baseline"/>
        </w:rPr>
        <w:footnoteReference w:customMarkFollows="1" w:id="2"/>
        <w:t>*</w:t>
      </w:r>
    </w:p>
    <w:p w14:paraId="2A0C2EA3" w14:textId="77777777" w:rsidR="00D5553D" w:rsidRDefault="00D5553D" w:rsidP="00D5553D">
      <w:pPr>
        <w:pStyle w:val="HChG"/>
      </w:pPr>
      <w:r>
        <w:tab/>
      </w:r>
      <w:r>
        <w:tab/>
      </w:r>
      <w:r w:rsidRPr="00EB69FF">
        <w:t>Introduction</w:t>
      </w:r>
    </w:p>
    <w:p w14:paraId="3065E634" w14:textId="77777777" w:rsidR="00D5553D" w:rsidRDefault="00D5553D" w:rsidP="00D5553D">
      <w:pPr>
        <w:pStyle w:val="SingleTxtG"/>
      </w:pPr>
      <w:r>
        <w:t>1.</w:t>
      </w:r>
      <w:r>
        <w:tab/>
        <w:t>In Annex I to document ST/SG/AC.10/C.3/2020/20−ST/SG/AC.10/C.4/2020/5, a new Chapter 2.1 (explosives) for the GHS is proposed. This document proposes a few amendments to the Chapter 2.1 presented in that document, intended to take into account some of the comments made by some experts.</w:t>
      </w:r>
    </w:p>
    <w:p w14:paraId="503D1B34" w14:textId="3CD244CF" w:rsidR="00D5553D" w:rsidRDefault="00D5553D" w:rsidP="00E07A1A">
      <w:pPr>
        <w:pStyle w:val="HChG"/>
      </w:pPr>
      <w:r>
        <w:tab/>
      </w:r>
      <w:r>
        <w:tab/>
        <w:t>Proposed amendments</w:t>
      </w:r>
    </w:p>
    <w:p w14:paraId="427C8F08" w14:textId="62BD3E78" w:rsidR="00D5553D" w:rsidRDefault="00D5553D" w:rsidP="00E07A1A">
      <w:pPr>
        <w:pStyle w:val="H1G"/>
      </w:pPr>
      <w:r>
        <w:tab/>
      </w:r>
      <w:r>
        <w:tab/>
        <w:t>On the exclusion of non-Class 1 articles</w:t>
      </w:r>
    </w:p>
    <w:p w14:paraId="5D4BCC80" w14:textId="411BB726" w:rsidR="00D5553D" w:rsidRDefault="00D5553D" w:rsidP="00D5553D">
      <w:pPr>
        <w:pStyle w:val="SingleTxtG"/>
      </w:pPr>
      <w:r>
        <w:t>2.</w:t>
      </w:r>
      <w:r>
        <w:tab/>
        <w:t>As pointed out in UN/SCETDG/57/INF.16</w:t>
      </w:r>
      <w:r w:rsidR="007C566F">
        <w:t>-</w:t>
      </w:r>
      <w:r>
        <w:t xml:space="preserve">UN/SCEGHS/39/INF.13, the issue of excluding those explosive articles that are transported in classes other than Class 1 had not yet been resolved. The item was discussed during the informal online session of the Sub-Committee in July 2020, on basis of ideas presented in document UN/SCETDG/57/INF.15-UN/SCEGHS/39/INF.10. While some seeds for potential solutions to the problem were sown then, the issue will not be resolved in time for the deadline for submission of </w:t>
      </w:r>
      <w:r w:rsidR="00DE5CA2">
        <w:t xml:space="preserve">official </w:t>
      </w:r>
      <w:r>
        <w:t>documents to the December 2020 sessions of the sub-committees.</w:t>
      </w:r>
    </w:p>
    <w:p w14:paraId="3FF12F81" w14:textId="77777777" w:rsidR="00D5553D" w:rsidRDefault="00D5553D" w:rsidP="00D5553D">
      <w:pPr>
        <w:pStyle w:val="SingleTxtG"/>
      </w:pPr>
      <w:r>
        <w:t>3.</w:t>
      </w:r>
      <w:r>
        <w:tab/>
        <w:t xml:space="preserve">Noting that attempts are still being made to resolve the matter, at this point in time it is therefore proposed to strike out provision 2.1.1.2.2 (d) in Chapter 2.1 as presented in  document ST/SG/AC.10/C.3/2020/20 −ST/SG/AC.10/C.4/2020/5. Removing this provision retains the status quo, as a corresponding provision does not exist in the current GHS Chapter </w:t>
      </w:r>
      <w:r>
        <w:lastRenderedPageBreak/>
        <w:t>2.1. Consequentially, also the second paragraph of the Note in section 2.1.3 of the chapter needs to be deleted, as it refers to articles excluded by provision 2.1.1.2.2 (d).</w:t>
      </w:r>
    </w:p>
    <w:p w14:paraId="22B83C03" w14:textId="35EF08CC" w:rsidR="00D5553D" w:rsidRPr="00D5553D" w:rsidRDefault="00D5553D" w:rsidP="00D5553D">
      <w:pPr>
        <w:pStyle w:val="H1G"/>
      </w:pPr>
      <w:r>
        <w:tab/>
      </w:r>
      <w:r>
        <w:tab/>
        <w:t>On classification by analogy</w:t>
      </w:r>
    </w:p>
    <w:p w14:paraId="6D669782" w14:textId="4DE36AD0" w:rsidR="00D5553D" w:rsidRDefault="00D5553D" w:rsidP="00D5553D">
      <w:pPr>
        <w:pStyle w:val="SingleTxtG"/>
      </w:pPr>
      <w:r>
        <w:t>4.</w:t>
      </w:r>
      <w:r>
        <w:tab/>
        <w:t xml:space="preserve">It may appear that test results are always needed to classify an explosive in </w:t>
      </w:r>
      <w:r w:rsidR="00DE5CA2">
        <w:t>s</w:t>
      </w:r>
      <w:r>
        <w:t>ub-category 2B or 2C, and such data will not be available for explosives classified on basis of analogy to tested explosives. In guidance section 2.1.4 of the new GHS Chapter 2.1 as presented in document ST/SG/AC.10/C.3/2020/20−ST/SG/AC.10/C.4/2020/5, a sentence was already worded to clarify that classification based on analogy is allowed, under certain conditions. In order to make this clear also in the “regulatory part” of the chapter, that sentence has been carried over into section 2.1.3 as well</w:t>
      </w:r>
      <w:r w:rsidR="00CF30F1">
        <w:t>.</w:t>
      </w:r>
    </w:p>
    <w:p w14:paraId="13F16E9C" w14:textId="33E494AB" w:rsidR="00D5553D" w:rsidRPr="00D5553D" w:rsidRDefault="00D5553D" w:rsidP="00D5553D">
      <w:pPr>
        <w:pStyle w:val="H1G"/>
      </w:pPr>
      <w:r>
        <w:tab/>
      </w:r>
      <w:r>
        <w:tab/>
        <w:t>On classification of explosives in unfinished stages</w:t>
      </w:r>
    </w:p>
    <w:p w14:paraId="4D8EA716" w14:textId="4F271FE7" w:rsidR="00D5553D" w:rsidRDefault="00D5553D" w:rsidP="00D5553D">
      <w:pPr>
        <w:pStyle w:val="SingleTxtG"/>
      </w:pPr>
      <w:r>
        <w:t>5.</w:t>
      </w:r>
      <w:r>
        <w:tab/>
        <w:t>Some rewording of paragraphs 2.1.4.3.4 and 2.1.4.3.5 has been made in order to not limit the guidance to “manufacturing and processing” only, as there may also be other situations to which this guidance applies. In addition</w:t>
      </w:r>
      <w:r w:rsidR="00CF30F1">
        <w:t>,</w:t>
      </w:r>
      <w:r>
        <w:t xml:space="preserve"> some clarifications of the wording in these paragraphs are also proposed.</w:t>
      </w:r>
    </w:p>
    <w:p w14:paraId="235BBDFF" w14:textId="182BCB92" w:rsidR="00D5553D" w:rsidRPr="00D5553D" w:rsidRDefault="00D5553D" w:rsidP="00D5553D">
      <w:pPr>
        <w:pStyle w:val="H1G"/>
      </w:pPr>
      <w:r>
        <w:tab/>
      </w:r>
      <w:r>
        <w:tab/>
        <w:t>On merging of the criteria tables</w:t>
      </w:r>
    </w:p>
    <w:p w14:paraId="0C388D12" w14:textId="0AD023EC" w:rsidR="00D5553D" w:rsidRPr="00E2015D" w:rsidRDefault="00CF30F1" w:rsidP="00CF30F1">
      <w:pPr>
        <w:pStyle w:val="SingleTxtG"/>
      </w:pPr>
      <w:r w:rsidRPr="00E2015D">
        <w:t>6.</w:t>
      </w:r>
      <w:r w:rsidRPr="00E2015D">
        <w:tab/>
        <w:t>A very visible but “cosmetic” change is to merge the classification criteria for the Sub-categories in sections 2.1.2.1 and 2.1.2.3 of the chapter. This has been the wish of a clear majority of the informal correspondence group for some time. There are no changes to the actual wordings</w:t>
      </w:r>
      <w:r w:rsidR="00A97499" w:rsidRPr="00E2015D">
        <w:t xml:space="preserve"> (i.e. the criteria)</w:t>
      </w:r>
      <w:r w:rsidRPr="00E2015D">
        <w:t xml:space="preserve"> though. Consequentially, all of section 2.1.2.3 of the chapter as presented in ST/SG/AC.10/C.3/2020/20 −ST/SG/AC.10/C.4/2020/5 should be removed.</w:t>
      </w:r>
    </w:p>
    <w:p w14:paraId="4773C9A8" w14:textId="78711A98" w:rsidR="00D5553D" w:rsidRPr="00E2015D" w:rsidRDefault="00D5553D" w:rsidP="00D5553D">
      <w:pPr>
        <w:pStyle w:val="H1G"/>
      </w:pPr>
      <w:r w:rsidRPr="00E2015D">
        <w:tab/>
      </w:r>
      <w:r w:rsidRPr="00E2015D">
        <w:tab/>
        <w:t>On the order of definitions</w:t>
      </w:r>
      <w:r w:rsidR="008F00D5" w:rsidRPr="00E2015D">
        <w:t>, enhanced readability</w:t>
      </w:r>
      <w:r w:rsidRPr="00E2015D">
        <w:t xml:space="preserve"> and typos</w:t>
      </w:r>
    </w:p>
    <w:p w14:paraId="276FCFDC" w14:textId="7A442CE7" w:rsidR="00D5553D" w:rsidRPr="00E2015D" w:rsidRDefault="00D5553D" w:rsidP="00D5553D">
      <w:pPr>
        <w:pStyle w:val="SingleTxtG"/>
      </w:pPr>
      <w:r w:rsidRPr="00E2015D">
        <w:t>7.</w:t>
      </w:r>
      <w:r w:rsidRPr="00E2015D">
        <w:tab/>
        <w:t xml:space="preserve">In addition, the definition of “Division” has been placed before the definition of “Primary packaging” in section 2.1.1.1, because the latter uses the division in the description. </w:t>
      </w:r>
      <w:r w:rsidR="003A77C3" w:rsidRPr="00E2015D">
        <w:t xml:space="preserve">Furthermore, </w:t>
      </w:r>
      <w:r w:rsidR="00B20DF8" w:rsidRPr="00E2015D">
        <w:t>section 2.1.4.3</w:t>
      </w:r>
      <w:r w:rsidR="008F00D5" w:rsidRPr="00E2015D">
        <w:t xml:space="preserve">.1 has been divided into two paragraphs </w:t>
      </w:r>
      <w:r w:rsidR="00866D65" w:rsidRPr="00E2015D">
        <w:t>for</w:t>
      </w:r>
      <w:r w:rsidR="008F00D5" w:rsidRPr="00E2015D">
        <w:t xml:space="preserve"> enhance</w:t>
      </w:r>
      <w:r w:rsidR="00866D65" w:rsidRPr="00E2015D">
        <w:t>d</w:t>
      </w:r>
      <w:r w:rsidR="008F00D5" w:rsidRPr="00E2015D">
        <w:t xml:space="preserve"> readability</w:t>
      </w:r>
      <w:r w:rsidR="003A77C3" w:rsidRPr="00E2015D">
        <w:t xml:space="preserve">. </w:t>
      </w:r>
      <w:r w:rsidRPr="00E2015D">
        <w:t>Two minor typographical errors have been corrected in paragraphs 2.1.1.3.4 and 2.1.4.3.2.</w:t>
      </w:r>
    </w:p>
    <w:p w14:paraId="0785FB06" w14:textId="648AF1EB" w:rsidR="00D5553D" w:rsidRPr="00E2015D" w:rsidRDefault="00D5553D" w:rsidP="00D5553D">
      <w:pPr>
        <w:pStyle w:val="HChG"/>
      </w:pPr>
      <w:r w:rsidRPr="00E2015D">
        <w:tab/>
      </w:r>
      <w:r w:rsidRPr="00E2015D">
        <w:tab/>
        <w:t>Proposal</w:t>
      </w:r>
      <w:r w:rsidR="00DF4E31" w:rsidRPr="00E2015D">
        <w:t>s</w:t>
      </w:r>
    </w:p>
    <w:p w14:paraId="37FA7AB0" w14:textId="6DFEBD58" w:rsidR="00DF4E31" w:rsidRDefault="00DF4E31" w:rsidP="00E333AA">
      <w:pPr>
        <w:pStyle w:val="SingleTxtG"/>
      </w:pPr>
      <w:r w:rsidRPr="00E2015D">
        <w:t>8.</w:t>
      </w:r>
      <w:r w:rsidRPr="00E2015D">
        <w:tab/>
        <w:t xml:space="preserve">Annex I to this document lists the above described amendments to Chapter 2.1 as presented in Annex I to ST/SG/AC.10/C.3/2020/20−ST/SG/AC.10/C.4/2020/5. The sub-committees are invited to adopt the new Chapter 2.1, as amended by this document. </w:t>
      </w:r>
      <w:r w:rsidR="007C566F" w:rsidRPr="00E2015D">
        <w:t>I</w:t>
      </w:r>
      <w:r w:rsidRPr="00E2015D">
        <w:t xml:space="preserve">nformal document </w:t>
      </w:r>
      <w:r w:rsidR="007C566F" w:rsidRPr="00E2015D">
        <w:t xml:space="preserve">UN/SCETDG/57/INF.17-UN/SCEGHS/39/INF.14 shows </w:t>
      </w:r>
      <w:r w:rsidRPr="00E2015D">
        <w:t>the entire proposed text of the chapter</w:t>
      </w:r>
      <w:r w:rsidR="007C566F" w:rsidRPr="00E2015D">
        <w:t>, as amended</w:t>
      </w:r>
      <w:r w:rsidRPr="00E2015D">
        <w:t>.</w:t>
      </w:r>
      <w:r>
        <w:t xml:space="preserve"> </w:t>
      </w:r>
    </w:p>
    <w:p w14:paraId="31A776F0" w14:textId="2820D6B7" w:rsidR="00DF4E31" w:rsidRDefault="00DF4E31" w:rsidP="00E333AA">
      <w:pPr>
        <w:pStyle w:val="SingleTxtG"/>
      </w:pPr>
      <w:r>
        <w:t>9.</w:t>
      </w:r>
      <w:r>
        <w:tab/>
        <w:t>The consequential proposals made in annexes II and III of ST/SG/AC.10/C.3/2020/20−ST/SG/AC.10/C.4/2020/5 remain intact. The decision logics for section 2.1.4.1 are being developed and will be submitted as a supplemental document.</w:t>
      </w:r>
    </w:p>
    <w:p w14:paraId="0ED9FE54" w14:textId="5BFE99CE" w:rsidR="00DF4E31" w:rsidRDefault="00DF4E31">
      <w:pPr>
        <w:suppressAutoHyphens w:val="0"/>
        <w:kinsoku/>
        <w:overflowPunct/>
        <w:autoSpaceDE/>
        <w:autoSpaceDN/>
        <w:adjustRightInd/>
        <w:snapToGrid/>
        <w:spacing w:after="200" w:line="276" w:lineRule="auto"/>
      </w:pPr>
      <w:r>
        <w:br w:type="page"/>
      </w:r>
    </w:p>
    <w:p w14:paraId="515F6401" w14:textId="32EDCA7E" w:rsidR="00DF4E31" w:rsidRPr="00E333AA" w:rsidRDefault="00DF4E31" w:rsidP="006153D6">
      <w:pPr>
        <w:pStyle w:val="HChG"/>
      </w:pPr>
      <w:r>
        <w:lastRenderedPageBreak/>
        <w:tab/>
      </w:r>
      <w:r w:rsidRPr="00E333AA">
        <w:t>Annex I</w:t>
      </w:r>
    </w:p>
    <w:p w14:paraId="6E2D327E" w14:textId="71A68C93" w:rsidR="00DF4E31" w:rsidRPr="00E333AA" w:rsidRDefault="00DF4E31" w:rsidP="00B477A3">
      <w:pPr>
        <w:pStyle w:val="H1G"/>
        <w:spacing w:after="200"/>
      </w:pPr>
      <w:r w:rsidRPr="00E333AA">
        <w:tab/>
      </w:r>
      <w:r w:rsidRPr="00E333AA">
        <w:tab/>
        <w:t>List of amendments to GHS Chapter 2.1 as presented in Annex I to document ST/SG/AC.10/C.3/2020/20−ST/SG/AC.10/C.4/2020/5</w:t>
      </w:r>
    </w:p>
    <w:p w14:paraId="5CE13B05" w14:textId="77777777" w:rsidR="00DF4E31" w:rsidRDefault="00DF4E31" w:rsidP="00B477A3">
      <w:pPr>
        <w:pStyle w:val="Bullet1G"/>
        <w:tabs>
          <w:tab w:val="clear" w:pos="1701"/>
        </w:tabs>
        <w:spacing w:after="200"/>
        <w:ind w:left="1418" w:hanging="284"/>
      </w:pPr>
      <w:r>
        <w:t>Change the order of the definitions so that the definition of “Division” comes before the definition of “Primary packaging”.</w:t>
      </w:r>
    </w:p>
    <w:p w14:paraId="2F6678DE" w14:textId="70DB5E2B" w:rsidR="00DF4E31" w:rsidRDefault="00DF4E31" w:rsidP="00B477A3">
      <w:pPr>
        <w:pStyle w:val="Bullet1G"/>
        <w:tabs>
          <w:tab w:val="clear" w:pos="1701"/>
        </w:tabs>
        <w:spacing w:after="200"/>
        <w:ind w:left="1418" w:hanging="284"/>
      </w:pPr>
      <w:r>
        <w:t>In section 2.1.1.2.2, delete provision 2.1.1.2.2 (d) as a whole. Consequently, delete also the last paragraph of the note in section 2.1.3.</w:t>
      </w:r>
    </w:p>
    <w:p w14:paraId="36782C94" w14:textId="68AF85B3" w:rsidR="00DF4E31" w:rsidRDefault="00DF4E31" w:rsidP="00B477A3">
      <w:pPr>
        <w:pStyle w:val="Bullet1G"/>
        <w:tabs>
          <w:tab w:val="clear" w:pos="1701"/>
        </w:tabs>
        <w:spacing w:after="200"/>
        <w:ind w:left="1418" w:hanging="284"/>
      </w:pPr>
      <w:r>
        <w:t>In section 2.1.1.3.1, insert the following text as a new third sentence:</w:t>
      </w:r>
    </w:p>
    <w:p w14:paraId="79A74F86" w14:textId="77777777" w:rsidR="00DF4E31" w:rsidRDefault="00DF4E31" w:rsidP="00B477A3">
      <w:pPr>
        <w:pStyle w:val="Bullet1G"/>
        <w:numPr>
          <w:ilvl w:val="0"/>
          <w:numId w:val="0"/>
        </w:numPr>
        <w:spacing w:after="200"/>
        <w:ind w:left="1418"/>
      </w:pPr>
      <w:r>
        <w:t>“Where appropriate, analogy to tested explosives may be used, taking into consideration whether changes to the configuration may affect the hazard posed compared to the tested configuration, and being narrowly limited according to the quantity, packaging and design of the explosive.”</w:t>
      </w:r>
    </w:p>
    <w:p w14:paraId="3940C23F" w14:textId="4E1659DB" w:rsidR="00DF4E31" w:rsidRDefault="00DF4E31" w:rsidP="00B477A3">
      <w:pPr>
        <w:pStyle w:val="Bullet1G"/>
        <w:tabs>
          <w:tab w:val="clear" w:pos="1701"/>
        </w:tabs>
        <w:spacing w:after="200"/>
        <w:ind w:left="1418" w:hanging="284"/>
      </w:pPr>
      <w:r>
        <w:t>Amend the first sentence in section 2.1.2.1</w:t>
      </w:r>
      <w:r w:rsidR="00E333AA">
        <w:t xml:space="preserve"> </w:t>
      </w:r>
      <w:r>
        <w:t xml:space="preserve">to read (text to be added in </w:t>
      </w:r>
      <w:r w:rsidRPr="00E333AA">
        <w:rPr>
          <w:b/>
          <w:bCs/>
          <w:u w:val="single"/>
        </w:rPr>
        <w:t>bold underlined</w:t>
      </w:r>
      <w:r>
        <w:t xml:space="preserve"> font):</w:t>
      </w:r>
    </w:p>
    <w:p w14:paraId="567401F5" w14:textId="273BB94F" w:rsidR="00DF4E31" w:rsidRDefault="00DF4E31" w:rsidP="00B477A3">
      <w:pPr>
        <w:pStyle w:val="Bullet1G"/>
        <w:numPr>
          <w:ilvl w:val="0"/>
          <w:numId w:val="0"/>
        </w:numPr>
        <w:spacing w:after="200"/>
        <w:ind w:left="1418"/>
      </w:pPr>
      <w:r>
        <w:t>“Explosive substances, mixtures and articles of this class are classified into one of two categories</w:t>
      </w:r>
      <w:r>
        <w:rPr>
          <w:b/>
          <w:u w:val="single"/>
        </w:rPr>
        <w:t>, and for Category 2 into one of three sub-categories,</w:t>
      </w:r>
      <w:r>
        <w:t xml:space="preserve"> according to the following table:”</w:t>
      </w:r>
    </w:p>
    <w:p w14:paraId="1F76C594" w14:textId="2BC4BA57" w:rsidR="00DF4E31" w:rsidRPr="00E2015D" w:rsidRDefault="00DF4E31" w:rsidP="00B477A3">
      <w:pPr>
        <w:pStyle w:val="Bullet1G"/>
        <w:tabs>
          <w:tab w:val="clear" w:pos="1701"/>
        </w:tabs>
        <w:spacing w:after="200"/>
        <w:ind w:left="1418" w:hanging="284"/>
      </w:pPr>
      <w:r w:rsidRPr="00E2015D">
        <w:t>Merge the criteria tables of sections 2.1.2.1 and 2.1.2.3 into a single table as shown in Annex II to this document, place it in section 2.1.2.1 and consequently delete section 2.1.2.3 as a whole.</w:t>
      </w:r>
    </w:p>
    <w:p w14:paraId="352D711A" w14:textId="0CB4BD9C" w:rsidR="00B20DF8" w:rsidRPr="00E2015D" w:rsidRDefault="00B20DF8" w:rsidP="00B477A3">
      <w:pPr>
        <w:pStyle w:val="Bullet1G"/>
        <w:tabs>
          <w:tab w:val="clear" w:pos="1701"/>
        </w:tabs>
        <w:spacing w:after="200"/>
        <w:ind w:left="1418" w:hanging="284"/>
      </w:pPr>
      <w:r w:rsidRPr="00E2015D">
        <w:t xml:space="preserve">Break section 2.1.4.3.1 into two paragraphs after the sentence “”The configuration is further controlled by design and packaging requirements specified in the </w:t>
      </w:r>
      <w:r w:rsidRPr="00E2015D">
        <w:rPr>
          <w:i/>
        </w:rPr>
        <w:t>UN Model Regulations</w:t>
      </w:r>
      <w:r w:rsidRPr="00E2015D">
        <w:t>.” and number them 2.1.4.3.1.1 and 2.1.4.3.</w:t>
      </w:r>
      <w:r w:rsidR="009B35BB" w:rsidRPr="00E2015D">
        <w:t>1.</w:t>
      </w:r>
      <w:r w:rsidRPr="00E2015D">
        <w:t>2, respectively.</w:t>
      </w:r>
    </w:p>
    <w:p w14:paraId="7169E1C8" w14:textId="6DFB7A88" w:rsidR="0014125B" w:rsidRPr="00E2015D" w:rsidRDefault="00DF4E31" w:rsidP="00B477A3">
      <w:pPr>
        <w:pStyle w:val="Bullet1G"/>
        <w:tabs>
          <w:tab w:val="clear" w:pos="1701"/>
        </w:tabs>
        <w:spacing w:after="200"/>
        <w:ind w:left="1418" w:hanging="284"/>
        <w:rPr>
          <w:sz w:val="24"/>
        </w:rPr>
      </w:pPr>
      <w:r w:rsidRPr="00E2015D">
        <w:t xml:space="preserve">Amend sections 2.1.4.3.4 and 2.1.4.3.5 as </w:t>
      </w:r>
      <w:r w:rsidR="0014125B" w:rsidRPr="00E2015D">
        <w:t>follows (</w:t>
      </w:r>
      <w:r w:rsidR="0014125B" w:rsidRPr="00E2015D">
        <w:rPr>
          <w:i/>
          <w:iCs/>
        </w:rPr>
        <w:t xml:space="preserve">Text to be added in </w:t>
      </w:r>
      <w:r w:rsidR="0014125B" w:rsidRPr="00E2015D">
        <w:rPr>
          <w:b/>
          <w:bCs/>
          <w:i/>
          <w:iCs/>
          <w:u w:val="single"/>
        </w:rPr>
        <w:t>bold underlined</w:t>
      </w:r>
      <w:r w:rsidR="0014125B" w:rsidRPr="00E2015D">
        <w:rPr>
          <w:i/>
          <w:iCs/>
        </w:rPr>
        <w:t xml:space="preserve"> font, text to be removed in </w:t>
      </w:r>
      <w:r w:rsidR="0014125B" w:rsidRPr="00E2015D">
        <w:rPr>
          <w:b/>
          <w:bCs/>
          <w:i/>
          <w:iCs/>
          <w:strike/>
        </w:rPr>
        <w:t>bold strikethrough</w:t>
      </w:r>
      <w:r w:rsidR="0014125B" w:rsidRPr="00E2015D">
        <w:rPr>
          <w:i/>
          <w:iCs/>
        </w:rPr>
        <w:t xml:space="preserve"> font</w:t>
      </w:r>
      <w:r w:rsidR="0014125B" w:rsidRPr="00E2015D">
        <w:t>)</w:t>
      </w:r>
    </w:p>
    <w:p w14:paraId="70A7ACF1" w14:textId="41E2F34F" w:rsidR="0014125B" w:rsidRPr="00E2015D" w:rsidRDefault="0014125B" w:rsidP="005C1EA4">
      <w:pPr>
        <w:pStyle w:val="Bullet1G"/>
        <w:numPr>
          <w:ilvl w:val="0"/>
          <w:numId w:val="0"/>
        </w:numPr>
        <w:tabs>
          <w:tab w:val="left" w:pos="2410"/>
        </w:tabs>
        <w:spacing w:after="200"/>
        <w:ind w:left="1418"/>
        <w:rPr>
          <w:u w:val="single"/>
        </w:rPr>
      </w:pPr>
      <w:r w:rsidRPr="00E2015D">
        <w:t>“2.1.4.3.4</w:t>
      </w:r>
      <w:r w:rsidRPr="00E2015D">
        <w:tab/>
        <w:t xml:space="preserve">Classification </w:t>
      </w:r>
      <w:r w:rsidRPr="00E2015D">
        <w:rPr>
          <w:strike/>
        </w:rPr>
        <w:t>during explosives manufacturing and processing</w:t>
      </w:r>
      <w:r w:rsidRPr="00E2015D">
        <w:t xml:space="preserve"> </w:t>
      </w:r>
      <w:r w:rsidRPr="00E2015D">
        <w:rPr>
          <w:u w:val="single"/>
        </w:rPr>
        <w:t>of explosives in situations where they cannot be assigned to a division</w:t>
      </w:r>
    </w:p>
    <w:p w14:paraId="53372961" w14:textId="759BE01D" w:rsidR="0014125B" w:rsidRPr="00E2015D" w:rsidRDefault="002475B7" w:rsidP="00E2015D">
      <w:pPr>
        <w:pStyle w:val="Bullet1G"/>
        <w:numPr>
          <w:ilvl w:val="0"/>
          <w:numId w:val="0"/>
        </w:numPr>
        <w:tabs>
          <w:tab w:val="left" w:pos="2268"/>
          <w:tab w:val="left" w:pos="2410"/>
        </w:tabs>
        <w:spacing w:after="200"/>
        <w:ind w:left="1418"/>
      </w:pPr>
      <w:r w:rsidRPr="00E2015D">
        <w:t>2.1.</w:t>
      </w:r>
      <w:r w:rsidR="00C17F5A" w:rsidRPr="00E2015D">
        <w:t>4</w:t>
      </w:r>
      <w:r w:rsidRPr="00E2015D">
        <w:t>.</w:t>
      </w:r>
      <w:r w:rsidR="00C17F5A" w:rsidRPr="00E2015D">
        <w:t>3</w:t>
      </w:r>
      <w:r w:rsidRPr="00E2015D">
        <w:t>.</w:t>
      </w:r>
      <w:r w:rsidR="00C17F5A" w:rsidRPr="00E2015D">
        <w:t>4.</w:t>
      </w:r>
      <w:r w:rsidRPr="00E2015D">
        <w:t>1</w:t>
      </w:r>
      <w:r w:rsidRPr="00E2015D">
        <w:tab/>
      </w:r>
      <w:r w:rsidR="0014125B" w:rsidRPr="00E2015D">
        <w:t>Explosives in manufacturing</w:t>
      </w:r>
      <w:r w:rsidR="0014125B" w:rsidRPr="00E2015D">
        <w:rPr>
          <w:b/>
          <w:u w:val="single"/>
        </w:rPr>
        <w:t>,</w:t>
      </w:r>
      <w:r w:rsidR="0014125B" w:rsidRPr="00E2015D">
        <w:t xml:space="preserve"> </w:t>
      </w:r>
      <w:r w:rsidR="0014125B" w:rsidRPr="00E2015D">
        <w:rPr>
          <w:b/>
          <w:strike/>
        </w:rPr>
        <w:t>and</w:t>
      </w:r>
      <w:r w:rsidR="0014125B" w:rsidRPr="00E2015D">
        <w:t xml:space="preserve"> processing </w:t>
      </w:r>
      <w:r w:rsidR="0014125B" w:rsidRPr="00E2015D">
        <w:rPr>
          <w:b/>
          <w:u w:val="single"/>
        </w:rPr>
        <w:t>and otherwise unfinished stages</w:t>
      </w:r>
      <w:r w:rsidR="0014125B" w:rsidRPr="00E2015D">
        <w:t xml:space="preserve"> cannot be assigned to a division until configured for transport, and hence are assigned to Category 1.</w:t>
      </w:r>
      <w:r w:rsidR="00E2015D" w:rsidRPr="00E2015D">
        <w:t xml:space="preserve"> </w:t>
      </w:r>
      <w:r w:rsidR="0014125B" w:rsidRPr="00E2015D">
        <w:t xml:space="preserve">Similarly, explosives assigned to Category 2 when taken out of their primary packaging for purposes other than use, are re-assigned to Category 1 (unless their primary packaging can be discarded, see 2.1.4.3.3). </w:t>
      </w:r>
    </w:p>
    <w:p w14:paraId="063B5E43" w14:textId="6EC90307" w:rsidR="0014125B" w:rsidRPr="00E2015D" w:rsidRDefault="002475B7" w:rsidP="005C1EA4">
      <w:pPr>
        <w:pStyle w:val="Bullet1G"/>
        <w:numPr>
          <w:ilvl w:val="0"/>
          <w:numId w:val="0"/>
        </w:numPr>
        <w:tabs>
          <w:tab w:val="left" w:pos="2268"/>
          <w:tab w:val="left" w:pos="2410"/>
        </w:tabs>
        <w:spacing w:after="200"/>
        <w:ind w:left="1418"/>
      </w:pPr>
      <w:r w:rsidRPr="00E2015D">
        <w:t>2.1.</w:t>
      </w:r>
      <w:r w:rsidR="00C17F5A" w:rsidRPr="00E2015D">
        <w:t>4</w:t>
      </w:r>
      <w:r w:rsidRPr="00E2015D">
        <w:t>.</w:t>
      </w:r>
      <w:r w:rsidR="00C17F5A" w:rsidRPr="00E2015D">
        <w:t>3.4.</w:t>
      </w:r>
      <w:r w:rsidR="008F00D5" w:rsidRPr="00E2015D">
        <w:t>2</w:t>
      </w:r>
      <w:r w:rsidRPr="00E2015D">
        <w:tab/>
      </w:r>
      <w:r w:rsidR="0014125B" w:rsidRPr="00E2015D">
        <w:t xml:space="preserve">The sensitivity and hazard severity of unpackaged explosives </w:t>
      </w:r>
      <w:r w:rsidR="0014125B" w:rsidRPr="00E2015D">
        <w:rPr>
          <w:b/>
          <w:strike/>
        </w:rPr>
        <w:t>in manufacturing and processing</w:t>
      </w:r>
      <w:r w:rsidR="0014125B" w:rsidRPr="00E2015D">
        <w:t xml:space="preserve">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these cases to identify and manage the risk of processes in accordance with best practices and applicable regulations.</w:t>
      </w:r>
    </w:p>
    <w:p w14:paraId="2E9BD2A9" w14:textId="77777777" w:rsidR="0014125B" w:rsidRDefault="0014125B" w:rsidP="005C1EA4">
      <w:pPr>
        <w:pStyle w:val="Bullet1G"/>
        <w:numPr>
          <w:ilvl w:val="0"/>
          <w:numId w:val="0"/>
        </w:numPr>
        <w:tabs>
          <w:tab w:val="left" w:pos="2268"/>
          <w:tab w:val="left" w:pos="2410"/>
        </w:tabs>
        <w:spacing w:after="200"/>
        <w:ind w:left="1418"/>
        <w:rPr>
          <w:u w:val="single"/>
        </w:rPr>
      </w:pPr>
      <w:r w:rsidRPr="00E2015D">
        <w:t>2.1.4.3.5</w:t>
      </w:r>
      <w:r w:rsidRPr="00E2015D">
        <w:tab/>
        <w:t xml:space="preserve">Safety </w:t>
      </w:r>
      <w:r w:rsidRPr="00E2015D">
        <w:rPr>
          <w:strike/>
        </w:rPr>
        <w:t>during explosives manufacturing and processing</w:t>
      </w:r>
      <w:r w:rsidRPr="00E2015D">
        <w:t xml:space="preserve"> </w:t>
      </w:r>
      <w:r w:rsidRPr="00E2015D">
        <w:rPr>
          <w:u w:val="single"/>
        </w:rPr>
        <w:t>related to explosives failing Test series 3 or 4</w:t>
      </w:r>
    </w:p>
    <w:p w14:paraId="2AED5837" w14:textId="0EBB5E09" w:rsidR="0014125B" w:rsidRDefault="0014125B" w:rsidP="005C1EA4">
      <w:pPr>
        <w:pStyle w:val="Bullet1G"/>
        <w:numPr>
          <w:ilvl w:val="0"/>
          <w:numId w:val="0"/>
        </w:numPr>
        <w:tabs>
          <w:tab w:val="left" w:pos="2268"/>
        </w:tabs>
        <w:spacing w:after="200"/>
        <w:ind w:left="1418"/>
      </w:pPr>
      <w:r>
        <w:t xml:space="preserve">Category 1 also includes explosives that fail Test series 3 or </w:t>
      </w:r>
      <w:r>
        <w:rPr>
          <w:b/>
          <w:u w:val="single"/>
        </w:rPr>
        <w:t>Test series</w:t>
      </w:r>
      <w:r>
        <w:t xml:space="preserve"> 4 as configured, having an unacceptable level of sensitivity to stimuli encountered during transport. </w:t>
      </w:r>
      <w:r>
        <w:rPr>
          <w:b/>
          <w:strike/>
        </w:rPr>
        <w:t xml:space="preserve">These </w:t>
      </w:r>
      <w:r>
        <w:rPr>
          <w:b/>
          <w:strike/>
        </w:rPr>
        <w:lastRenderedPageBreak/>
        <w:t>tests and their</w:t>
      </w:r>
      <w:r>
        <w:t xml:space="preserve"> </w:t>
      </w:r>
      <w:r>
        <w:rPr>
          <w:b/>
          <w:u w:val="single"/>
        </w:rPr>
        <w:t>The</w:t>
      </w:r>
      <w:r>
        <w:t xml:space="preserve"> thresholds </w:t>
      </w:r>
      <w:r>
        <w:rPr>
          <w:b/>
          <w:u w:val="single"/>
        </w:rPr>
        <w:t>of these tests</w:t>
      </w:r>
      <w:r>
        <w:t xml:space="preserve"> may not be representative of the energy levels encountered during explosives processing and manufacturing</w:t>
      </w:r>
      <w:r>
        <w:rPr>
          <w:b/>
        </w:rPr>
        <w:t xml:space="preserve">, </w:t>
      </w:r>
      <w:r>
        <w:rPr>
          <w:b/>
          <w:strike/>
        </w:rPr>
        <w:t>and</w:t>
      </w:r>
      <w:r>
        <w:t xml:space="preserve"> </w:t>
      </w:r>
      <w:r>
        <w:rPr>
          <w:b/>
          <w:u w:val="single"/>
        </w:rPr>
        <w:t>Furthermore, these tests</w:t>
      </w:r>
      <w:r>
        <w:t xml:space="preserve"> do not include all types of stimuli that may be encountered, such as electrostatic discharge. </w:t>
      </w:r>
      <w:r>
        <w:rPr>
          <w:b/>
          <w:strike/>
        </w:rPr>
        <w:t>Therefore, further</w:t>
      </w:r>
      <w:r>
        <w:t xml:space="preserve"> </w:t>
      </w:r>
      <w:r>
        <w:rPr>
          <w:b/>
          <w:u w:val="single"/>
        </w:rPr>
        <w:t>Additional</w:t>
      </w:r>
      <w:r>
        <w:t xml:space="preserve"> investigations of the properties of the explosive at hand </w:t>
      </w:r>
      <w:r>
        <w:rPr>
          <w:b/>
          <w:strike/>
        </w:rPr>
        <w:t>and appropriate risk management are</w:t>
      </w:r>
      <w:r>
        <w:t xml:space="preserve"> </w:t>
      </w:r>
      <w:r>
        <w:rPr>
          <w:b/>
          <w:u w:val="single"/>
        </w:rPr>
        <w:t>may thus be</w:t>
      </w:r>
      <w:r>
        <w:t xml:space="preserve"> needed for safe processing and handling.”</w:t>
      </w:r>
    </w:p>
    <w:p w14:paraId="386BA53F" w14:textId="2EFDFB91" w:rsidR="00DF4E31" w:rsidRDefault="00DF4E31" w:rsidP="00B477A3">
      <w:pPr>
        <w:pStyle w:val="Bullet1G"/>
        <w:tabs>
          <w:tab w:val="clear" w:pos="1701"/>
        </w:tabs>
        <w:spacing w:after="200"/>
        <w:ind w:left="1418" w:hanging="284"/>
      </w:pPr>
      <w:r>
        <w:t xml:space="preserve">In the title of section 2.1.4.3.2, amend the text to read (text to be added in </w:t>
      </w:r>
      <w:r w:rsidRPr="00E333AA">
        <w:rPr>
          <w:b/>
          <w:bCs/>
          <w:u w:val="single"/>
        </w:rPr>
        <w:t xml:space="preserve">bold underlined </w:t>
      </w:r>
      <w:r w:rsidRPr="00E333AA">
        <w:t>font)</w:t>
      </w:r>
      <w:r>
        <w:t>: “</w:t>
      </w:r>
      <w:r>
        <w:rPr>
          <w:i/>
        </w:rPr>
        <w:t>Assigning explosive</w:t>
      </w:r>
      <w:r>
        <w:rPr>
          <w:b/>
          <w:i/>
          <w:u w:val="single"/>
        </w:rPr>
        <w:t>s</w:t>
      </w:r>
      <w:r>
        <w:rPr>
          <w:i/>
        </w:rPr>
        <w:t xml:space="preserve"> to divisions based on analogy”</w:t>
      </w:r>
    </w:p>
    <w:p w14:paraId="6B506412" w14:textId="7E027A8A" w:rsidR="00DF4E31" w:rsidRDefault="00DF4E31" w:rsidP="00B477A3">
      <w:pPr>
        <w:pStyle w:val="Bullet1G"/>
        <w:tabs>
          <w:tab w:val="clear" w:pos="1701"/>
          <w:tab w:val="num" w:pos="1418"/>
        </w:tabs>
        <w:spacing w:after="200"/>
        <w:ind w:left="1418" w:hanging="284"/>
      </w:pPr>
      <w:r w:rsidRPr="00DF4E31">
        <w:t>In the next</w:t>
      </w:r>
      <w:r w:rsidR="00B477A3">
        <w:t>-</w:t>
      </w:r>
      <w:r w:rsidRPr="00DF4E31">
        <w:t>t</w:t>
      </w:r>
      <w:r w:rsidR="00B477A3">
        <w:t>o-</w:t>
      </w:r>
      <w:r w:rsidRPr="00DF4E31">
        <w:t xml:space="preserve">last sentence in section 2.1.1.3.4, amend the text to read (text to be deleted in </w:t>
      </w:r>
      <w:r w:rsidRPr="00E333AA">
        <w:rPr>
          <w:b/>
          <w:bCs/>
          <w:strike/>
        </w:rPr>
        <w:t>bold strikethrough</w:t>
      </w:r>
      <w:r w:rsidRPr="00DF4E31">
        <w:t xml:space="preserve"> font): </w:t>
      </w:r>
    </w:p>
    <w:p w14:paraId="063E5DE3" w14:textId="27DE7BB6" w:rsidR="00DF4E31" w:rsidRDefault="00DF4E31" w:rsidP="00B477A3">
      <w:pPr>
        <w:pStyle w:val="Bullet1G"/>
        <w:numPr>
          <w:ilvl w:val="0"/>
          <w:numId w:val="0"/>
        </w:numPr>
        <w:spacing w:after="200"/>
        <w:ind w:left="1418"/>
      </w:pPr>
      <w:r w:rsidRPr="00DF4E31">
        <w:t xml:space="preserve">“If assigned to another division in the new configuration, it may need to be classified in another sub-category within Category 2, and if not assigned a to division it should be classified in </w:t>
      </w:r>
      <w:r w:rsidRPr="00DF4E31">
        <w:rPr>
          <w:b/>
          <w:strike/>
        </w:rPr>
        <w:t>to</w:t>
      </w:r>
      <w:r w:rsidRPr="00DF4E31">
        <w:t xml:space="preserve"> Category 1.”</w:t>
      </w:r>
      <w:r w:rsidR="00E333AA">
        <w:t>.</w:t>
      </w:r>
    </w:p>
    <w:p w14:paraId="4B950AAF" w14:textId="63FA36F5" w:rsidR="00DF4E31" w:rsidRDefault="00DF4E31">
      <w:pPr>
        <w:suppressAutoHyphens w:val="0"/>
        <w:kinsoku/>
        <w:overflowPunct/>
        <w:autoSpaceDE/>
        <w:autoSpaceDN/>
        <w:adjustRightInd/>
        <w:snapToGrid/>
        <w:spacing w:after="200" w:line="276" w:lineRule="auto"/>
      </w:pPr>
      <w:r>
        <w:br w:type="page"/>
      </w:r>
    </w:p>
    <w:p w14:paraId="111B433A" w14:textId="677E155E" w:rsidR="00DF4E31" w:rsidRDefault="00DF4E31" w:rsidP="006153D6">
      <w:pPr>
        <w:pStyle w:val="HChG"/>
      </w:pPr>
      <w:r>
        <w:lastRenderedPageBreak/>
        <w:tab/>
        <w:t>Annex II</w:t>
      </w:r>
    </w:p>
    <w:p w14:paraId="3C1734BB" w14:textId="3BFCD2B6" w:rsidR="00DF4E31" w:rsidRDefault="00DF4E31" w:rsidP="00DF4E31">
      <w:pPr>
        <w:pStyle w:val="H1G"/>
      </w:pPr>
      <w:r>
        <w:tab/>
      </w:r>
      <w:r>
        <w:tab/>
        <w:t>New criteria table of section 2.1.2.1 of the ne</w:t>
      </w:r>
      <w:bookmarkStart w:id="0" w:name="_GoBack"/>
      <w:bookmarkEnd w:id="0"/>
      <w:r>
        <w:t>w GHS Chapter 2.1</w:t>
      </w:r>
    </w:p>
    <w:tbl>
      <w:tblPr>
        <w:tblStyle w:val="Tabellrutnt1"/>
        <w:tblW w:w="0" w:type="auto"/>
        <w:tblInd w:w="1129" w:type="dxa"/>
        <w:tblCellMar>
          <w:top w:w="57" w:type="dxa"/>
          <w:left w:w="57" w:type="dxa"/>
          <w:bottom w:w="57" w:type="dxa"/>
          <w:right w:w="57" w:type="dxa"/>
        </w:tblCellMar>
        <w:tblLook w:val="04A0" w:firstRow="1" w:lastRow="0" w:firstColumn="1" w:lastColumn="0" w:noHBand="0" w:noVBand="1"/>
      </w:tblPr>
      <w:tblGrid>
        <w:gridCol w:w="903"/>
        <w:gridCol w:w="850"/>
        <w:gridCol w:w="5949"/>
      </w:tblGrid>
      <w:tr w:rsidR="00DF4E31" w14:paraId="29612A9A" w14:textId="77777777" w:rsidTr="00DF4E31">
        <w:tc>
          <w:tcPr>
            <w:tcW w:w="903" w:type="dxa"/>
            <w:tcBorders>
              <w:top w:val="single" w:sz="4" w:space="0" w:color="auto"/>
              <w:left w:val="single" w:sz="4" w:space="0" w:color="auto"/>
              <w:bottom w:val="single" w:sz="4" w:space="0" w:color="auto"/>
              <w:right w:val="single" w:sz="4" w:space="0" w:color="auto"/>
            </w:tcBorders>
            <w:hideMark/>
          </w:tcPr>
          <w:p w14:paraId="46A5360F" w14:textId="77777777" w:rsidR="00DF4E31" w:rsidRDefault="00DF4E31">
            <w:pPr>
              <w:jc w:val="center"/>
              <w:rPr>
                <w:rFonts w:ascii="Times New Roman" w:hAnsi="Times New Roman"/>
                <w:b/>
                <w:sz w:val="20"/>
                <w:szCs w:val="20"/>
              </w:rPr>
            </w:pPr>
            <w:r>
              <w:rPr>
                <w:rFonts w:ascii="Times New Roman" w:hAnsi="Times New Roman"/>
                <w:b/>
                <w:sz w:val="20"/>
                <w:szCs w:val="20"/>
              </w:rPr>
              <w:t>Category</w:t>
            </w:r>
          </w:p>
        </w:tc>
        <w:tc>
          <w:tcPr>
            <w:tcW w:w="850" w:type="dxa"/>
            <w:tcBorders>
              <w:top w:val="single" w:sz="4" w:space="0" w:color="auto"/>
              <w:left w:val="single" w:sz="4" w:space="0" w:color="auto"/>
              <w:bottom w:val="single" w:sz="4" w:space="0" w:color="auto"/>
              <w:right w:val="single" w:sz="4" w:space="0" w:color="auto"/>
            </w:tcBorders>
            <w:hideMark/>
          </w:tcPr>
          <w:p w14:paraId="4B17B57D" w14:textId="77777777" w:rsidR="00DF4E31" w:rsidRDefault="00DF4E31">
            <w:pPr>
              <w:jc w:val="center"/>
              <w:rPr>
                <w:rFonts w:ascii="Times New Roman" w:hAnsi="Times New Roman"/>
                <w:b/>
                <w:sz w:val="20"/>
                <w:szCs w:val="20"/>
              </w:rPr>
            </w:pPr>
            <w:r>
              <w:rPr>
                <w:rFonts w:ascii="Times New Roman" w:hAnsi="Times New Roman"/>
                <w:b/>
                <w:sz w:val="20"/>
                <w:szCs w:val="20"/>
              </w:rPr>
              <w:t>Sub-category</w:t>
            </w:r>
          </w:p>
        </w:tc>
        <w:tc>
          <w:tcPr>
            <w:tcW w:w="5949" w:type="dxa"/>
            <w:tcBorders>
              <w:top w:val="single" w:sz="4" w:space="0" w:color="auto"/>
              <w:left w:val="single" w:sz="4" w:space="0" w:color="auto"/>
              <w:bottom w:val="single" w:sz="4" w:space="0" w:color="auto"/>
              <w:right w:val="single" w:sz="4" w:space="0" w:color="auto"/>
            </w:tcBorders>
            <w:hideMark/>
          </w:tcPr>
          <w:p w14:paraId="679A66A8" w14:textId="77777777" w:rsidR="00DF4E31" w:rsidRDefault="00DF4E31">
            <w:pPr>
              <w:rPr>
                <w:rFonts w:ascii="Times New Roman" w:hAnsi="Times New Roman"/>
                <w:b/>
                <w:sz w:val="20"/>
                <w:szCs w:val="20"/>
              </w:rPr>
            </w:pPr>
            <w:r>
              <w:rPr>
                <w:rFonts w:ascii="Times New Roman" w:hAnsi="Times New Roman"/>
                <w:b/>
                <w:sz w:val="20"/>
                <w:szCs w:val="20"/>
              </w:rPr>
              <w:t>Criteria</w:t>
            </w:r>
          </w:p>
        </w:tc>
      </w:tr>
      <w:tr w:rsidR="00DF4E31" w14:paraId="2DCE1297" w14:textId="77777777" w:rsidTr="00DF4E31">
        <w:tc>
          <w:tcPr>
            <w:tcW w:w="903" w:type="dxa"/>
            <w:tcBorders>
              <w:top w:val="single" w:sz="4" w:space="0" w:color="auto"/>
              <w:left w:val="single" w:sz="4" w:space="0" w:color="auto"/>
              <w:bottom w:val="single" w:sz="4" w:space="0" w:color="auto"/>
              <w:right w:val="single" w:sz="4" w:space="0" w:color="auto"/>
            </w:tcBorders>
            <w:hideMark/>
          </w:tcPr>
          <w:p w14:paraId="0FAC1B2F" w14:textId="77777777" w:rsidR="00DF4E31" w:rsidRDefault="00DF4E31">
            <w:pPr>
              <w:jc w:val="center"/>
              <w:rPr>
                <w:rFonts w:ascii="Times New Roman" w:hAnsi="Times New Roman"/>
                <w:b/>
                <w:sz w:val="20"/>
                <w:szCs w:val="20"/>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589B8741" w14:textId="1DB0200A" w:rsidR="00DF4E31" w:rsidRDefault="00DF4E31">
            <w:pPr>
              <w:jc w:val="center"/>
              <w:rPr>
                <w:rFonts w:ascii="Times New Roman" w:hAnsi="Times New Roman"/>
                <w:b/>
                <w:sz w:val="20"/>
                <w:szCs w:val="20"/>
              </w:rPr>
            </w:pPr>
          </w:p>
        </w:tc>
        <w:tc>
          <w:tcPr>
            <w:tcW w:w="5949" w:type="dxa"/>
            <w:tcBorders>
              <w:top w:val="single" w:sz="4" w:space="0" w:color="auto"/>
              <w:left w:val="single" w:sz="4" w:space="0" w:color="auto"/>
              <w:bottom w:val="single" w:sz="4" w:space="0" w:color="auto"/>
              <w:right w:val="single" w:sz="4" w:space="0" w:color="auto"/>
            </w:tcBorders>
            <w:hideMark/>
          </w:tcPr>
          <w:p w14:paraId="6D900AC3" w14:textId="6F9E67C4" w:rsidR="00DF4E31" w:rsidRPr="008F00D5" w:rsidRDefault="00DF4E31" w:rsidP="00DF4E31">
            <w:pPr>
              <w:tabs>
                <w:tab w:val="left" w:pos="346"/>
              </w:tabs>
              <w:spacing w:after="40"/>
              <w:rPr>
                <w:rFonts w:ascii="Times New Roman" w:hAnsi="Times New Roman"/>
                <w:sz w:val="20"/>
                <w:szCs w:val="20"/>
                <w:lang w:val="en-GB"/>
              </w:rPr>
            </w:pPr>
            <w:r w:rsidRPr="008F00D5">
              <w:rPr>
                <w:rFonts w:ascii="Times New Roman" w:hAnsi="Times New Roman"/>
                <w:sz w:val="20"/>
                <w:szCs w:val="20"/>
                <w:lang w:val="en-GB"/>
              </w:rPr>
              <w:t xml:space="preserve">Explosive substances, mixtures and articles which </w:t>
            </w:r>
            <w:r w:rsidRPr="008F00D5">
              <w:rPr>
                <w:rFonts w:ascii="Times New Roman" w:hAnsi="Times New Roman"/>
                <w:sz w:val="20"/>
                <w:szCs w:val="20"/>
                <w:lang w:val="en-GB"/>
              </w:rPr>
              <w:br/>
              <w:t xml:space="preserve">(a) </w:t>
            </w:r>
            <w:r w:rsidRPr="008F00D5">
              <w:rPr>
                <w:rFonts w:ascii="Times New Roman" w:hAnsi="Times New Roman"/>
                <w:sz w:val="20"/>
                <w:szCs w:val="20"/>
                <w:lang w:val="en-GB"/>
              </w:rPr>
              <w:tab/>
              <w:t>have not been assigned a division and which</w:t>
            </w:r>
          </w:p>
          <w:p w14:paraId="49F9D652" w14:textId="77777777" w:rsidR="00DF4E31" w:rsidRPr="008F00D5" w:rsidRDefault="00DF4E31" w:rsidP="00DF4E31">
            <w:pPr>
              <w:spacing w:after="40"/>
              <w:ind w:left="854" w:hanging="284"/>
              <w:rPr>
                <w:rFonts w:ascii="Times New Roman" w:hAnsi="Times New Roman"/>
                <w:sz w:val="20"/>
                <w:szCs w:val="20"/>
                <w:lang w:val="en-GB"/>
              </w:rPr>
            </w:pPr>
            <w:r w:rsidRPr="008F00D5">
              <w:rPr>
                <w:rFonts w:ascii="Times New Roman" w:hAnsi="Times New Roman"/>
                <w:sz w:val="20"/>
                <w:szCs w:val="20"/>
                <w:lang w:val="en-GB"/>
              </w:rPr>
              <w:t>(i) are manufactured with the view of producing an explosive or pyrotechnic effect; or</w:t>
            </w:r>
          </w:p>
          <w:p w14:paraId="109FEED2" w14:textId="77777777" w:rsidR="00DF4E31" w:rsidRPr="008F00D5" w:rsidRDefault="00DF4E31" w:rsidP="00DF4E31">
            <w:pPr>
              <w:suppressAutoHyphens w:val="0"/>
              <w:spacing w:after="40" w:line="240" w:lineRule="auto"/>
              <w:ind w:left="854" w:hanging="284"/>
              <w:rPr>
                <w:rFonts w:ascii="Times New Roman" w:hAnsi="Times New Roman"/>
                <w:i/>
                <w:iCs/>
                <w:color w:val="000000"/>
                <w:sz w:val="20"/>
                <w:szCs w:val="20"/>
                <w:lang w:val="en-GB" w:eastAsia="sv-SE"/>
              </w:rPr>
            </w:pPr>
            <w:r w:rsidRPr="008F00D5">
              <w:rPr>
                <w:rFonts w:ascii="Times New Roman" w:hAnsi="Times New Roman"/>
                <w:color w:val="000000"/>
                <w:sz w:val="20"/>
                <w:szCs w:val="20"/>
                <w:lang w:val="en-GB" w:eastAsia="sv-SE"/>
              </w:rPr>
              <w:t xml:space="preserve">(ii) are substances or mixtures which show positive effects when tested in Test series 2 of the </w:t>
            </w:r>
            <w:r w:rsidRPr="008F00D5">
              <w:rPr>
                <w:rFonts w:ascii="Times New Roman" w:hAnsi="Times New Roman"/>
                <w:i/>
                <w:iCs/>
                <w:color w:val="000000"/>
                <w:sz w:val="20"/>
                <w:szCs w:val="20"/>
                <w:lang w:val="en-GB" w:eastAsia="sv-SE"/>
              </w:rPr>
              <w:t xml:space="preserve">Manual of Tests and Criteria </w:t>
            </w:r>
          </w:p>
          <w:p w14:paraId="0E089FCF" w14:textId="6F1ACA4A" w:rsidR="00DF4E31" w:rsidRPr="008F00D5" w:rsidRDefault="00DF4E31" w:rsidP="00DF4E31">
            <w:pPr>
              <w:suppressAutoHyphens w:val="0"/>
              <w:spacing w:after="40" w:line="240" w:lineRule="auto"/>
              <w:ind w:left="322" w:hanging="322"/>
              <w:rPr>
                <w:rFonts w:ascii="Times New Roman" w:hAnsi="Times New Roman"/>
                <w:iCs/>
                <w:color w:val="000000"/>
                <w:sz w:val="20"/>
                <w:szCs w:val="20"/>
                <w:lang w:val="en-GB" w:eastAsia="sv-SE"/>
              </w:rPr>
            </w:pPr>
            <w:r w:rsidRPr="008F00D5">
              <w:rPr>
                <w:rFonts w:ascii="Times New Roman" w:hAnsi="Times New Roman"/>
                <w:iCs/>
                <w:color w:val="000000"/>
                <w:sz w:val="20"/>
                <w:szCs w:val="20"/>
                <w:lang w:val="en-GB" w:eastAsia="sv-SE"/>
              </w:rPr>
              <w:t>or</w:t>
            </w:r>
          </w:p>
          <w:p w14:paraId="39785E0B" w14:textId="71CF7D47" w:rsidR="00DF4E31" w:rsidRPr="008F00D5" w:rsidRDefault="00DF4E31" w:rsidP="00DF4E31">
            <w:pPr>
              <w:suppressAutoHyphens w:val="0"/>
              <w:spacing w:after="40" w:line="240" w:lineRule="auto"/>
              <w:ind w:left="322" w:hanging="322"/>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(b) </w:t>
            </w:r>
            <w:r w:rsidRPr="008F00D5">
              <w:rPr>
                <w:rFonts w:ascii="Times New Roman" w:hAnsi="Times New Roman"/>
                <w:color w:val="000000"/>
                <w:sz w:val="20"/>
                <w:szCs w:val="20"/>
                <w:lang w:val="en-GB" w:eastAsia="sv-SE"/>
              </w:rPr>
              <w:tab/>
              <w:t>are out of the primary packaging of the configuration to which a division was assigned</w:t>
            </w:r>
            <w:r w:rsidRPr="008F00D5">
              <w:rPr>
                <w:rFonts w:ascii="Times New Roman" w:hAnsi="Times New Roman"/>
                <w:i/>
                <w:iCs/>
                <w:color w:val="000000"/>
                <w:sz w:val="20"/>
                <w:szCs w:val="20"/>
                <w:vertAlign w:val="superscript"/>
                <w:lang w:val="en-GB" w:eastAsia="sv-SE"/>
              </w:rPr>
              <w:t>a</w:t>
            </w:r>
            <w:r w:rsidRPr="008F00D5">
              <w:rPr>
                <w:rFonts w:ascii="Times New Roman" w:hAnsi="Times New Roman"/>
                <w:i/>
                <w:iCs/>
                <w:color w:val="000000"/>
                <w:sz w:val="20"/>
                <w:szCs w:val="20"/>
                <w:lang w:val="en-GB" w:eastAsia="sv-SE"/>
              </w:rPr>
              <w:t xml:space="preserve"> </w:t>
            </w:r>
            <w:r w:rsidRPr="008F00D5">
              <w:rPr>
                <w:rFonts w:ascii="Times New Roman" w:hAnsi="Times New Roman"/>
                <w:color w:val="000000"/>
                <w:sz w:val="20"/>
                <w:szCs w:val="20"/>
                <w:lang w:val="en-GB" w:eastAsia="sv-SE"/>
              </w:rPr>
              <w:t>, unless they are explosive articles assigned to a division:</w:t>
            </w:r>
          </w:p>
          <w:p w14:paraId="59BC8F6E" w14:textId="5FFECE8A" w:rsidR="00DF4E31" w:rsidRPr="008F00D5" w:rsidRDefault="00DF4E31" w:rsidP="00DF4E31">
            <w:pPr>
              <w:suppressAutoHyphens w:val="0"/>
              <w:spacing w:after="40" w:line="240" w:lineRule="auto"/>
              <w:ind w:left="712" w:hanging="390"/>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(i) </w:t>
            </w:r>
            <w:r w:rsidRPr="008F00D5">
              <w:rPr>
                <w:rFonts w:ascii="Times New Roman" w:hAnsi="Times New Roman"/>
                <w:color w:val="000000"/>
                <w:sz w:val="20"/>
                <w:szCs w:val="20"/>
                <w:lang w:val="en-GB" w:eastAsia="sv-SE"/>
              </w:rPr>
              <w:tab/>
              <w:t>without a primary packaging; or</w:t>
            </w:r>
          </w:p>
          <w:p w14:paraId="31D75B15" w14:textId="4D4669F6" w:rsidR="00DF4E31" w:rsidRPr="008F00D5" w:rsidRDefault="00DF4E31" w:rsidP="00DF4E31">
            <w:pPr>
              <w:suppressAutoHyphens w:val="0"/>
              <w:spacing w:after="40" w:line="240" w:lineRule="auto"/>
              <w:ind w:left="712" w:hanging="390"/>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(ii) </w:t>
            </w:r>
            <w:r w:rsidRPr="008F00D5">
              <w:rPr>
                <w:rFonts w:ascii="Times New Roman" w:hAnsi="Times New Roman"/>
                <w:color w:val="000000"/>
                <w:sz w:val="20"/>
                <w:szCs w:val="20"/>
                <w:lang w:val="en-GB" w:eastAsia="sv-SE"/>
              </w:rPr>
              <w:tab/>
              <w:t xml:space="preserve">in a primary packaging that does not attenuate the explosive effect, taking into account also intervening packaging material, spacing or critical orientation. </w:t>
            </w:r>
          </w:p>
        </w:tc>
      </w:tr>
      <w:tr w:rsidR="00DF4E31" w14:paraId="23395FF4" w14:textId="77777777" w:rsidTr="00DF4E31">
        <w:tc>
          <w:tcPr>
            <w:tcW w:w="903" w:type="dxa"/>
            <w:vMerge w:val="restart"/>
            <w:tcBorders>
              <w:top w:val="single" w:sz="4" w:space="0" w:color="auto"/>
              <w:left w:val="single" w:sz="4" w:space="0" w:color="auto"/>
              <w:bottom w:val="single" w:sz="4" w:space="0" w:color="auto"/>
              <w:right w:val="single" w:sz="4" w:space="0" w:color="auto"/>
            </w:tcBorders>
            <w:hideMark/>
          </w:tcPr>
          <w:p w14:paraId="55ABFC27" w14:textId="77777777" w:rsidR="00DF4E31" w:rsidRDefault="00DF4E31">
            <w:pPr>
              <w:jc w:val="center"/>
              <w:rPr>
                <w:rFonts w:ascii="Times New Roman" w:hAnsi="Times New Roman"/>
                <w:b/>
                <w:sz w:val="20"/>
                <w:szCs w:val="20"/>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41F54114" w14:textId="77777777" w:rsidR="00DF4E31" w:rsidRDefault="00DF4E31">
            <w:pPr>
              <w:jc w:val="center"/>
              <w:rPr>
                <w:rFonts w:ascii="Times New Roman" w:hAnsi="Times New Roman"/>
                <w:b/>
                <w:sz w:val="20"/>
                <w:szCs w:val="20"/>
              </w:rPr>
            </w:pPr>
            <w:r>
              <w:rPr>
                <w:rFonts w:ascii="Times New Roman" w:hAnsi="Times New Roman"/>
                <w:b/>
                <w:sz w:val="20"/>
                <w:szCs w:val="20"/>
              </w:rPr>
              <w:t>2A</w:t>
            </w:r>
          </w:p>
        </w:tc>
        <w:tc>
          <w:tcPr>
            <w:tcW w:w="5949" w:type="dxa"/>
            <w:tcBorders>
              <w:top w:val="single" w:sz="4" w:space="0" w:color="auto"/>
              <w:left w:val="single" w:sz="4" w:space="0" w:color="auto"/>
              <w:bottom w:val="single" w:sz="4" w:space="0" w:color="auto"/>
              <w:right w:val="single" w:sz="4" w:space="0" w:color="auto"/>
            </w:tcBorders>
          </w:tcPr>
          <w:p w14:paraId="24EEABF7" w14:textId="0F61B548" w:rsidR="00DF4E31" w:rsidRPr="008F00D5" w:rsidRDefault="00DF4E31" w:rsidP="00DF4E31">
            <w:pPr>
              <w:tabs>
                <w:tab w:val="left" w:pos="196"/>
                <w:tab w:val="left" w:pos="466"/>
              </w:tabs>
              <w:rPr>
                <w:rFonts w:ascii="Times New Roman" w:hAnsi="Times New Roman"/>
                <w:sz w:val="20"/>
                <w:szCs w:val="20"/>
                <w:lang w:val="en-GB"/>
              </w:rPr>
            </w:pPr>
            <w:r w:rsidRPr="008F00D5">
              <w:rPr>
                <w:rFonts w:ascii="Times New Roman" w:hAnsi="Times New Roman"/>
                <w:sz w:val="20"/>
                <w:szCs w:val="20"/>
                <w:lang w:val="en-GB"/>
              </w:rPr>
              <w:t>Explosive substances, mixtures and articles which have been assigned</w:t>
            </w:r>
            <w:r w:rsidRPr="008F00D5">
              <w:rPr>
                <w:rFonts w:ascii="Times New Roman" w:hAnsi="Times New Roman"/>
                <w:sz w:val="20"/>
                <w:szCs w:val="20"/>
                <w:lang w:val="en-GB"/>
              </w:rPr>
              <w:br/>
              <w:t xml:space="preserve">(a) </w:t>
            </w:r>
            <w:r w:rsidRPr="008F00D5">
              <w:rPr>
                <w:rFonts w:ascii="Times New Roman" w:hAnsi="Times New Roman"/>
                <w:sz w:val="20"/>
                <w:szCs w:val="20"/>
                <w:lang w:val="en-GB"/>
              </w:rPr>
              <w:tab/>
              <w:t>Division 1.1, 1.2, 1.3, 1.5 or 1.6; or</w:t>
            </w:r>
          </w:p>
          <w:p w14:paraId="2686FA34" w14:textId="327445D4" w:rsidR="00DF4E31" w:rsidRPr="008F00D5" w:rsidRDefault="00DF4E31" w:rsidP="00DF4E31">
            <w:pPr>
              <w:tabs>
                <w:tab w:val="left" w:pos="196"/>
              </w:tabs>
              <w:ind w:left="463" w:hanging="463"/>
              <w:rPr>
                <w:rFonts w:ascii="Times New Roman" w:hAnsi="Times New Roman"/>
                <w:sz w:val="20"/>
                <w:szCs w:val="20"/>
                <w:lang w:val="en-GB"/>
              </w:rPr>
            </w:pPr>
            <w:r w:rsidRPr="008F00D5">
              <w:rPr>
                <w:rFonts w:ascii="Times New Roman" w:hAnsi="Times New Roman"/>
                <w:sz w:val="20"/>
                <w:szCs w:val="20"/>
                <w:lang w:val="en-GB"/>
              </w:rPr>
              <w:t xml:space="preserve">(b) </w:t>
            </w:r>
            <w:r w:rsidRPr="008F00D5">
              <w:rPr>
                <w:rFonts w:ascii="Times New Roman" w:hAnsi="Times New Roman"/>
                <w:sz w:val="20"/>
                <w:szCs w:val="20"/>
                <w:lang w:val="en-GB"/>
              </w:rPr>
              <w:tab/>
              <w:t>Division 1.4 and are not meeting the criteria for sub-category 2B or 2C.</w:t>
            </w:r>
            <w:r w:rsidRPr="008F00D5">
              <w:rPr>
                <w:rFonts w:ascii="Times New Roman" w:hAnsi="Times New Roman"/>
                <w:i/>
                <w:iCs/>
                <w:sz w:val="20"/>
                <w:szCs w:val="20"/>
                <w:vertAlign w:val="superscript"/>
                <w:lang w:val="en-GB"/>
              </w:rPr>
              <w:t>b</w:t>
            </w:r>
            <w:r w:rsidRPr="008F00D5">
              <w:rPr>
                <w:rFonts w:ascii="Times New Roman" w:hAnsi="Times New Roman"/>
                <w:i/>
                <w:iCs/>
                <w:sz w:val="20"/>
                <w:szCs w:val="20"/>
                <w:lang w:val="en-GB"/>
              </w:rPr>
              <w:t xml:space="preserve"> </w:t>
            </w:r>
          </w:p>
        </w:tc>
      </w:tr>
      <w:tr w:rsidR="00DF4E31" w14:paraId="2DCE1E7E" w14:textId="77777777" w:rsidTr="00DF4E31">
        <w:tc>
          <w:tcPr>
            <w:tcW w:w="0" w:type="auto"/>
            <w:vMerge/>
            <w:tcBorders>
              <w:top w:val="single" w:sz="4" w:space="0" w:color="auto"/>
              <w:left w:val="single" w:sz="4" w:space="0" w:color="auto"/>
              <w:bottom w:val="single" w:sz="4" w:space="0" w:color="auto"/>
              <w:right w:val="single" w:sz="4" w:space="0" w:color="auto"/>
            </w:tcBorders>
            <w:hideMark/>
          </w:tcPr>
          <w:p w14:paraId="6B22DCEB" w14:textId="77777777" w:rsidR="00DF4E31" w:rsidRPr="00E2015D" w:rsidRDefault="00DF4E31">
            <w:pPr>
              <w:suppressAutoHyphens w:val="0"/>
              <w:spacing w:line="256" w:lineRule="auto"/>
              <w:rPr>
                <w:rFonts w:ascii="Times New Roman" w:hAnsi="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338215F0" w14:textId="77777777" w:rsidR="00DF4E31" w:rsidRDefault="00DF4E31">
            <w:pPr>
              <w:jc w:val="center"/>
              <w:rPr>
                <w:rFonts w:ascii="Times New Roman" w:hAnsi="Times New Roman"/>
                <w:b/>
                <w:sz w:val="20"/>
                <w:szCs w:val="20"/>
              </w:rPr>
            </w:pPr>
            <w:r>
              <w:rPr>
                <w:rFonts w:ascii="Times New Roman" w:hAnsi="Times New Roman"/>
                <w:b/>
                <w:sz w:val="20"/>
                <w:szCs w:val="20"/>
              </w:rPr>
              <w:t>2B</w:t>
            </w:r>
          </w:p>
        </w:tc>
        <w:tc>
          <w:tcPr>
            <w:tcW w:w="5949" w:type="dxa"/>
            <w:tcBorders>
              <w:top w:val="single" w:sz="4" w:space="0" w:color="auto"/>
              <w:left w:val="single" w:sz="4" w:space="0" w:color="auto"/>
              <w:bottom w:val="single" w:sz="4" w:space="0" w:color="auto"/>
              <w:right w:val="single" w:sz="4" w:space="0" w:color="auto"/>
            </w:tcBorders>
            <w:hideMark/>
          </w:tcPr>
          <w:p w14:paraId="72422BFC" w14:textId="77777777" w:rsidR="00DF4E31" w:rsidRPr="008F00D5" w:rsidRDefault="00DF4E31" w:rsidP="00DF4E31">
            <w:pPr>
              <w:suppressAutoHyphens w:val="0"/>
              <w:spacing w:line="240" w:lineRule="auto"/>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Explosive substances, mixtures and articles which have been assigned to Division 1.4 and a compatibility group other than S, and which: </w:t>
            </w:r>
          </w:p>
          <w:p w14:paraId="5EE69A0F" w14:textId="672B2F2C"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(a) </w:t>
            </w:r>
            <w:r w:rsidRPr="008F00D5">
              <w:rPr>
                <w:rFonts w:ascii="Times New Roman" w:hAnsi="Times New Roman"/>
                <w:color w:val="000000"/>
                <w:sz w:val="20"/>
                <w:szCs w:val="20"/>
                <w:lang w:val="en-GB" w:eastAsia="sv-SE"/>
              </w:rPr>
              <w:tab/>
              <w:t xml:space="preserve">do not detonate and disintegrate when functioned as intended; and </w:t>
            </w:r>
          </w:p>
          <w:p w14:paraId="4FB12A75" w14:textId="7EBD9ED2"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(b) </w:t>
            </w:r>
            <w:r w:rsidRPr="008F00D5">
              <w:rPr>
                <w:rFonts w:ascii="Times New Roman" w:hAnsi="Times New Roman"/>
                <w:color w:val="000000"/>
                <w:sz w:val="20"/>
                <w:szCs w:val="20"/>
                <w:lang w:val="en-GB" w:eastAsia="sv-SE"/>
              </w:rPr>
              <w:tab/>
              <w:t>exhibit no high hazard event</w:t>
            </w:r>
            <w:r w:rsidRPr="008F00D5">
              <w:rPr>
                <w:rFonts w:ascii="Times New Roman" w:hAnsi="Times New Roman"/>
                <w:color w:val="000000"/>
                <w:sz w:val="20"/>
                <w:szCs w:val="20"/>
                <w:vertAlign w:val="superscript"/>
                <w:lang w:val="en-GB" w:eastAsia="sv-SE"/>
              </w:rPr>
              <w:t>c</w:t>
            </w:r>
            <w:r w:rsidRPr="008F00D5">
              <w:rPr>
                <w:rFonts w:ascii="Times New Roman" w:hAnsi="Times New Roman"/>
                <w:color w:val="000000"/>
                <w:sz w:val="20"/>
                <w:szCs w:val="20"/>
                <w:lang w:val="en-GB" w:eastAsia="sv-SE"/>
              </w:rPr>
              <w:t xml:space="preserve"> in test 6(a) or 6(b) of the </w:t>
            </w:r>
            <w:r w:rsidRPr="008F00D5">
              <w:rPr>
                <w:rFonts w:ascii="Times New Roman" w:hAnsi="Times New Roman"/>
                <w:i/>
                <w:iCs/>
                <w:color w:val="000000"/>
                <w:sz w:val="20"/>
                <w:szCs w:val="20"/>
                <w:lang w:val="en-GB" w:eastAsia="sv-SE"/>
              </w:rPr>
              <w:t>Manual of Tests and Criteria</w:t>
            </w:r>
            <w:r w:rsidRPr="008F00D5">
              <w:rPr>
                <w:rFonts w:ascii="Times New Roman" w:hAnsi="Times New Roman"/>
                <w:color w:val="000000"/>
                <w:sz w:val="20"/>
                <w:szCs w:val="20"/>
                <w:lang w:val="en-GB" w:eastAsia="sv-SE"/>
              </w:rPr>
              <w:t xml:space="preserve">; and </w:t>
            </w:r>
          </w:p>
          <w:p w14:paraId="5AB6B1C1" w14:textId="4B82D773" w:rsidR="00DF4E31" w:rsidRPr="008F00D5" w:rsidRDefault="00DF4E31" w:rsidP="00DF4E31">
            <w:pPr>
              <w:ind w:left="463" w:hanging="463"/>
              <w:rPr>
                <w:rFonts w:ascii="Times New Roman" w:hAnsi="Times New Roman"/>
                <w:sz w:val="20"/>
                <w:szCs w:val="20"/>
                <w:lang w:val="en-GB"/>
              </w:rPr>
            </w:pPr>
            <w:r w:rsidRPr="008F00D5">
              <w:rPr>
                <w:rFonts w:ascii="Times New Roman" w:hAnsi="Times New Roman"/>
                <w:sz w:val="20"/>
                <w:szCs w:val="20"/>
                <w:lang w:val="en-GB"/>
              </w:rPr>
              <w:t xml:space="preserve">(c) </w:t>
            </w:r>
            <w:r w:rsidRPr="008F00D5">
              <w:rPr>
                <w:rFonts w:ascii="Times New Roman" w:hAnsi="Times New Roman"/>
                <w:sz w:val="20"/>
                <w:szCs w:val="20"/>
                <w:lang w:val="en-GB"/>
              </w:rPr>
              <w:tab/>
              <w:t>do not require attenuating features, other than that which may be provided by a primary packaging, to mitigate a high hazard event</w:t>
            </w:r>
            <w:r w:rsidRPr="008F00D5">
              <w:rPr>
                <w:rFonts w:ascii="Times New Roman" w:hAnsi="Times New Roman"/>
                <w:sz w:val="20"/>
                <w:szCs w:val="20"/>
                <w:vertAlign w:val="superscript"/>
                <w:lang w:val="en-GB"/>
              </w:rPr>
              <w:t>c</w:t>
            </w:r>
            <w:r w:rsidRPr="008F00D5">
              <w:rPr>
                <w:rFonts w:ascii="Times New Roman" w:hAnsi="Times New Roman"/>
                <w:sz w:val="20"/>
                <w:szCs w:val="20"/>
                <w:lang w:val="en-GB"/>
              </w:rPr>
              <w:t>.</w:t>
            </w:r>
          </w:p>
        </w:tc>
      </w:tr>
      <w:tr w:rsidR="00DF4E31" w14:paraId="691F0DA7" w14:textId="77777777" w:rsidTr="00DF4E31">
        <w:tc>
          <w:tcPr>
            <w:tcW w:w="0" w:type="auto"/>
            <w:vMerge/>
            <w:tcBorders>
              <w:top w:val="single" w:sz="4" w:space="0" w:color="auto"/>
              <w:left w:val="single" w:sz="4" w:space="0" w:color="auto"/>
              <w:bottom w:val="single" w:sz="4" w:space="0" w:color="auto"/>
              <w:right w:val="single" w:sz="4" w:space="0" w:color="auto"/>
            </w:tcBorders>
            <w:hideMark/>
          </w:tcPr>
          <w:p w14:paraId="57749865" w14:textId="77777777" w:rsidR="00DF4E31" w:rsidRPr="00E2015D" w:rsidRDefault="00DF4E31">
            <w:pPr>
              <w:suppressAutoHyphens w:val="0"/>
              <w:spacing w:line="256" w:lineRule="auto"/>
              <w:rPr>
                <w:rFonts w:ascii="Times New Roman" w:hAnsi="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2F07459E" w14:textId="77777777" w:rsidR="00DF4E31" w:rsidRDefault="00DF4E31">
            <w:pPr>
              <w:jc w:val="center"/>
              <w:rPr>
                <w:rFonts w:ascii="Times New Roman" w:hAnsi="Times New Roman"/>
                <w:b/>
                <w:sz w:val="20"/>
                <w:szCs w:val="20"/>
              </w:rPr>
            </w:pPr>
            <w:r>
              <w:rPr>
                <w:rFonts w:ascii="Times New Roman" w:hAnsi="Times New Roman"/>
                <w:b/>
                <w:sz w:val="20"/>
                <w:szCs w:val="20"/>
              </w:rPr>
              <w:t>2C</w:t>
            </w:r>
          </w:p>
        </w:tc>
        <w:tc>
          <w:tcPr>
            <w:tcW w:w="5949" w:type="dxa"/>
            <w:tcBorders>
              <w:top w:val="single" w:sz="4" w:space="0" w:color="auto"/>
              <w:left w:val="single" w:sz="4" w:space="0" w:color="auto"/>
              <w:bottom w:val="single" w:sz="4" w:space="0" w:color="auto"/>
              <w:right w:val="single" w:sz="4" w:space="0" w:color="auto"/>
            </w:tcBorders>
            <w:hideMark/>
          </w:tcPr>
          <w:p w14:paraId="0FA8FAE5" w14:textId="77777777" w:rsidR="00DF4E31" w:rsidRPr="008F00D5" w:rsidRDefault="00DF4E31" w:rsidP="00DF4E31">
            <w:pPr>
              <w:suppressAutoHyphens w:val="0"/>
              <w:spacing w:line="240" w:lineRule="auto"/>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Explosive substances, mixtures and articles which have been assigned to Division 1.4 compatibility group S, and which: </w:t>
            </w:r>
          </w:p>
          <w:p w14:paraId="247382BA" w14:textId="7AC5A973"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(a) </w:t>
            </w:r>
            <w:r w:rsidRPr="008F00D5">
              <w:rPr>
                <w:rFonts w:ascii="Times New Roman" w:hAnsi="Times New Roman"/>
                <w:color w:val="000000"/>
                <w:sz w:val="20"/>
                <w:szCs w:val="20"/>
                <w:lang w:val="en-GB" w:eastAsia="sv-SE"/>
              </w:rPr>
              <w:tab/>
              <w:t>do not detonate and disintegrate when functioned as intended; and</w:t>
            </w:r>
          </w:p>
          <w:p w14:paraId="7E6AF07C" w14:textId="0C029764" w:rsidR="00DF4E31" w:rsidRPr="008F00D5" w:rsidRDefault="00DF4E31" w:rsidP="00DF4E31">
            <w:pPr>
              <w:suppressAutoHyphens w:val="0"/>
              <w:spacing w:line="240" w:lineRule="auto"/>
              <w:ind w:left="463" w:hanging="463"/>
              <w:rPr>
                <w:rFonts w:ascii="Times New Roman" w:hAnsi="Times New Roman"/>
                <w:color w:val="000000"/>
                <w:sz w:val="20"/>
                <w:szCs w:val="20"/>
                <w:lang w:val="en-GB" w:eastAsia="sv-SE"/>
              </w:rPr>
            </w:pPr>
            <w:r w:rsidRPr="008F00D5">
              <w:rPr>
                <w:rFonts w:ascii="Times New Roman" w:hAnsi="Times New Roman"/>
                <w:color w:val="000000"/>
                <w:sz w:val="20"/>
                <w:szCs w:val="20"/>
                <w:lang w:val="en-GB" w:eastAsia="sv-SE"/>
              </w:rPr>
              <w:t xml:space="preserve">(b) </w:t>
            </w:r>
            <w:r w:rsidRPr="008F00D5">
              <w:rPr>
                <w:rFonts w:ascii="Times New Roman" w:hAnsi="Times New Roman"/>
                <w:color w:val="000000"/>
                <w:sz w:val="20"/>
                <w:szCs w:val="20"/>
                <w:lang w:val="en-GB" w:eastAsia="sv-SE"/>
              </w:rPr>
              <w:tab/>
              <w:t>exhibit no high hazard event</w:t>
            </w:r>
            <w:r w:rsidRPr="008F00D5">
              <w:rPr>
                <w:rFonts w:ascii="Times New Roman" w:hAnsi="Times New Roman"/>
                <w:color w:val="000000"/>
                <w:sz w:val="20"/>
                <w:szCs w:val="20"/>
                <w:vertAlign w:val="superscript"/>
                <w:lang w:val="en-GB" w:eastAsia="sv-SE"/>
              </w:rPr>
              <w:t>c</w:t>
            </w:r>
            <w:r w:rsidRPr="008F00D5">
              <w:rPr>
                <w:rFonts w:ascii="Times New Roman" w:hAnsi="Times New Roman"/>
                <w:color w:val="000000"/>
                <w:sz w:val="20"/>
                <w:szCs w:val="20"/>
                <w:lang w:val="en-GB" w:eastAsia="sv-SE"/>
              </w:rPr>
              <w:t xml:space="preserve"> in test 6(a) or 6(b), or in the absence of these test results, similar results in test 6(d) of the </w:t>
            </w:r>
            <w:r w:rsidRPr="008F00D5">
              <w:rPr>
                <w:rFonts w:ascii="Times New Roman" w:hAnsi="Times New Roman"/>
                <w:i/>
                <w:iCs/>
                <w:color w:val="000000"/>
                <w:sz w:val="20"/>
                <w:szCs w:val="20"/>
                <w:lang w:val="en-GB" w:eastAsia="sv-SE"/>
              </w:rPr>
              <w:t>Manual of Tests and Criteria</w:t>
            </w:r>
            <w:r w:rsidRPr="008F00D5">
              <w:rPr>
                <w:rFonts w:ascii="Times New Roman" w:hAnsi="Times New Roman"/>
                <w:color w:val="000000"/>
                <w:sz w:val="20"/>
                <w:szCs w:val="20"/>
                <w:lang w:val="en-GB" w:eastAsia="sv-SE"/>
              </w:rPr>
              <w:t>; and</w:t>
            </w:r>
          </w:p>
          <w:p w14:paraId="6798B9DC" w14:textId="5A769F7C" w:rsidR="00DF4E31" w:rsidRPr="008F00D5" w:rsidRDefault="00DF4E31" w:rsidP="00DF4E31">
            <w:pPr>
              <w:ind w:left="463" w:hanging="463"/>
              <w:rPr>
                <w:rFonts w:ascii="Times New Roman" w:hAnsi="Times New Roman"/>
                <w:sz w:val="20"/>
                <w:szCs w:val="20"/>
                <w:lang w:val="en-GB"/>
              </w:rPr>
            </w:pPr>
            <w:r w:rsidRPr="008F00D5">
              <w:rPr>
                <w:rFonts w:ascii="Times New Roman" w:hAnsi="Times New Roman"/>
                <w:sz w:val="20"/>
                <w:szCs w:val="20"/>
                <w:lang w:val="en-GB"/>
              </w:rPr>
              <w:t xml:space="preserve">(c) </w:t>
            </w:r>
            <w:r w:rsidRPr="008F00D5">
              <w:rPr>
                <w:rFonts w:ascii="Times New Roman" w:hAnsi="Times New Roman"/>
                <w:sz w:val="20"/>
                <w:szCs w:val="20"/>
                <w:lang w:val="en-GB"/>
              </w:rPr>
              <w:tab/>
              <w:t>do not require attenuating features, other than that which may be provided by a primary packaging, to mitigate a high hazard event</w:t>
            </w:r>
            <w:r w:rsidRPr="008F00D5">
              <w:rPr>
                <w:rFonts w:ascii="Times New Roman" w:hAnsi="Times New Roman"/>
                <w:sz w:val="20"/>
                <w:szCs w:val="20"/>
                <w:vertAlign w:val="superscript"/>
                <w:lang w:val="en-GB"/>
              </w:rPr>
              <w:t>c</w:t>
            </w:r>
            <w:r w:rsidRPr="008F00D5">
              <w:rPr>
                <w:rFonts w:ascii="Times New Roman" w:hAnsi="Times New Roman"/>
                <w:sz w:val="20"/>
                <w:szCs w:val="20"/>
                <w:lang w:val="en-GB"/>
              </w:rPr>
              <w:t>.</w:t>
            </w:r>
          </w:p>
        </w:tc>
      </w:tr>
    </w:tbl>
    <w:p w14:paraId="07368811" w14:textId="27BA984E" w:rsidR="00DF4E31" w:rsidRPr="00E333AA" w:rsidRDefault="00DF4E31" w:rsidP="00E333AA">
      <w:pPr>
        <w:pStyle w:val="SingleTxtG"/>
        <w:rPr>
          <w:i/>
          <w:iCs/>
        </w:rPr>
      </w:pPr>
      <w:r w:rsidRPr="00E333AA">
        <w:rPr>
          <w:i/>
          <w:iCs/>
          <w:vertAlign w:val="superscript"/>
        </w:rPr>
        <w:t>a</w:t>
      </w:r>
      <w:r w:rsidRPr="00E333AA">
        <w:rPr>
          <w:i/>
          <w:iCs/>
        </w:rPr>
        <w:t xml:space="preserve"> </w:t>
      </w:r>
      <w:r w:rsidRPr="00E333AA">
        <w:rPr>
          <w:i/>
          <w:iCs/>
        </w:rPr>
        <w:tab/>
        <w:t>Explosives in Category 2 that are removed from their primary packaging for use remain classified in Category 2, see 2.1.1.3.4.</w:t>
      </w:r>
    </w:p>
    <w:p w14:paraId="185676ED" w14:textId="3C71BFB4" w:rsidR="00DF4E31" w:rsidRPr="00E333AA" w:rsidRDefault="00DF4E31" w:rsidP="00E333AA">
      <w:pPr>
        <w:pStyle w:val="SingleTxtG"/>
        <w:rPr>
          <w:i/>
          <w:iCs/>
        </w:rPr>
      </w:pPr>
      <w:r w:rsidRPr="00E333AA">
        <w:rPr>
          <w:i/>
          <w:iCs/>
          <w:vertAlign w:val="superscript"/>
        </w:rPr>
        <w:t>b</w:t>
      </w:r>
      <w:r w:rsidRPr="00E333AA">
        <w:rPr>
          <w:i/>
          <w:iCs/>
        </w:rPr>
        <w:t xml:space="preserve"> </w:t>
      </w:r>
      <w:r w:rsidRPr="00E333AA">
        <w:rPr>
          <w:i/>
          <w:iCs/>
        </w:rPr>
        <w:tab/>
        <w:t xml:space="preserve">The manufacturer, supplier or competent authority may classify an explosive of Division 1.4 as sub-category 2A on basis of data or other considerations even if it meets the technical criteria for sub-category 2B or 2C. </w:t>
      </w:r>
    </w:p>
    <w:p w14:paraId="22B40D54" w14:textId="72D42E49" w:rsidR="00DF4E31" w:rsidRPr="00E333AA" w:rsidRDefault="00DF4E31" w:rsidP="00E333AA">
      <w:pPr>
        <w:pStyle w:val="SingleTxtG"/>
        <w:rPr>
          <w:i/>
          <w:iCs/>
        </w:rPr>
      </w:pPr>
      <w:r w:rsidRPr="00E333AA">
        <w:rPr>
          <w:i/>
          <w:iCs/>
          <w:vertAlign w:val="superscript"/>
        </w:rPr>
        <w:t>c</w:t>
      </w:r>
      <w:r w:rsidRPr="00E333AA">
        <w:rPr>
          <w:i/>
          <w:iCs/>
        </w:rPr>
        <w:t xml:space="preserve"> </w:t>
      </w:r>
      <w:r w:rsidRPr="00E333AA">
        <w:rPr>
          <w:i/>
          <w:iCs/>
        </w:rPr>
        <w:tab/>
        <w:t>A high hazard event is exhibited when performing test 6(a) or 6(b), according to the Manual of Tests and Criteria, by:</w:t>
      </w:r>
    </w:p>
    <w:p w14:paraId="18E6E5A2" w14:textId="6403C18F" w:rsidR="00DF4E31" w:rsidRPr="00E333AA" w:rsidRDefault="00DF4E31" w:rsidP="00E333AA">
      <w:pPr>
        <w:pStyle w:val="SingleTxtG"/>
        <w:ind w:left="1701"/>
        <w:rPr>
          <w:i/>
          <w:iCs/>
        </w:rPr>
      </w:pPr>
      <w:r w:rsidRPr="00E333AA">
        <w:rPr>
          <w:i/>
          <w:iCs/>
        </w:rPr>
        <w:t>(a)</w:t>
      </w:r>
      <w:r w:rsidRPr="00E333AA">
        <w:rPr>
          <w:i/>
          <w:iCs/>
        </w:rPr>
        <w:tab/>
        <w:t xml:space="preserve">a significant change in the witness plate shape, such as perforation, gouge, substantial dent or bowing; or </w:t>
      </w:r>
    </w:p>
    <w:p w14:paraId="6D042688" w14:textId="499320FE" w:rsidR="00DF4E31" w:rsidRPr="00E333AA" w:rsidRDefault="00DF4E31" w:rsidP="00E333AA">
      <w:pPr>
        <w:pStyle w:val="SingleTxtG"/>
        <w:ind w:left="1701"/>
        <w:rPr>
          <w:i/>
          <w:iCs/>
        </w:rPr>
      </w:pPr>
      <w:r w:rsidRPr="00E333AA">
        <w:rPr>
          <w:i/>
          <w:iCs/>
        </w:rPr>
        <w:t>(b)</w:t>
      </w:r>
      <w:r w:rsidRPr="00E333AA">
        <w:rPr>
          <w:i/>
          <w:iCs/>
        </w:rPr>
        <w:tab/>
        <w:t>instantaneous scattering of most of the confining material.”.</w:t>
      </w:r>
    </w:p>
    <w:p w14:paraId="27A8120A" w14:textId="6459506C" w:rsidR="00AF5DE1" w:rsidRPr="00E9775D" w:rsidRDefault="000831BB" w:rsidP="00DF4E31">
      <w:pPr>
        <w:spacing w:before="240"/>
        <w:jc w:val="center"/>
      </w:pPr>
      <w:r>
        <w:rPr>
          <w:u w:val="single"/>
        </w:rPr>
        <w:tab/>
      </w:r>
      <w:r>
        <w:rPr>
          <w:u w:val="single"/>
        </w:rPr>
        <w:tab/>
      </w:r>
      <w:r>
        <w:rPr>
          <w:u w:val="single"/>
        </w:rPr>
        <w:tab/>
      </w:r>
    </w:p>
    <w:sectPr w:rsidR="00AF5DE1" w:rsidRPr="00E9775D" w:rsidSect="00E9775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4B44" w14:textId="77777777" w:rsidR="00603DA1" w:rsidRPr="00C47B2E" w:rsidRDefault="00603DA1" w:rsidP="00C47B2E">
      <w:pPr>
        <w:pStyle w:val="Footer"/>
      </w:pPr>
    </w:p>
  </w:endnote>
  <w:endnote w:type="continuationSeparator" w:id="0">
    <w:p w14:paraId="304059D7" w14:textId="77777777" w:rsidR="00603DA1" w:rsidRPr="00C47B2E" w:rsidRDefault="00603DA1" w:rsidP="00C47B2E">
      <w:pPr>
        <w:pStyle w:val="Footer"/>
      </w:pPr>
    </w:p>
  </w:endnote>
  <w:endnote w:type="continuationNotice" w:id="1">
    <w:p w14:paraId="73FB3E7C" w14:textId="77777777" w:rsidR="00603DA1" w:rsidRPr="00C47B2E" w:rsidRDefault="00603DA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ACD4" w14:textId="06C5C0ED" w:rsidR="00D94B05" w:rsidRPr="00E9775D" w:rsidRDefault="00E9775D" w:rsidP="00E9775D">
    <w:pPr>
      <w:pStyle w:val="Footer"/>
      <w:tabs>
        <w:tab w:val="right" w:pos="9598"/>
        <w:tab w:val="right" w:pos="9638"/>
      </w:tabs>
      <w:rPr>
        <w:sz w:val="18"/>
      </w:rPr>
    </w:pPr>
    <w:r w:rsidRPr="00E9775D">
      <w:rPr>
        <w:b/>
        <w:sz w:val="18"/>
      </w:rPr>
      <w:fldChar w:fldCharType="begin"/>
    </w:r>
    <w:r w:rsidRPr="00E9775D">
      <w:rPr>
        <w:b/>
        <w:sz w:val="18"/>
      </w:rPr>
      <w:instrText xml:space="preserve"> PAGE  \* MERGEFORMAT </w:instrText>
    </w:r>
    <w:r w:rsidRPr="00E9775D">
      <w:rPr>
        <w:b/>
        <w:sz w:val="18"/>
      </w:rPr>
      <w:fldChar w:fldCharType="separate"/>
    </w:r>
    <w:r w:rsidR="00A97499">
      <w:rPr>
        <w:b/>
        <w:noProof/>
        <w:sz w:val="18"/>
      </w:rPr>
      <w:t>4</w:t>
    </w:r>
    <w:r w:rsidRPr="00E977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EEAE" w14:textId="31818ED9" w:rsidR="00D94B05" w:rsidRPr="00E9775D" w:rsidRDefault="00E9775D" w:rsidP="00E07A1A">
    <w:pPr>
      <w:pStyle w:val="Footer"/>
      <w:tabs>
        <w:tab w:val="left" w:pos="5775"/>
        <w:tab w:val="right" w:pos="9598"/>
        <w:tab w:val="right" w:pos="9638"/>
      </w:tabs>
      <w:jc w:val="right"/>
      <w:rPr>
        <w:sz w:val="18"/>
      </w:rPr>
    </w:pPr>
    <w:r>
      <w:rPr>
        <w:b/>
        <w:sz w:val="18"/>
      </w:rPr>
      <w:tab/>
    </w:r>
    <w:r w:rsidRPr="00E9775D">
      <w:rPr>
        <w:sz w:val="18"/>
      </w:rPr>
      <w:fldChar w:fldCharType="begin"/>
    </w:r>
    <w:r w:rsidRPr="00E9775D">
      <w:rPr>
        <w:sz w:val="18"/>
      </w:rPr>
      <w:instrText xml:space="preserve"> PAGE  \* MERGEFORMAT </w:instrText>
    </w:r>
    <w:r w:rsidRPr="00E9775D">
      <w:rPr>
        <w:sz w:val="18"/>
      </w:rPr>
      <w:fldChar w:fldCharType="separate"/>
    </w:r>
    <w:r w:rsidR="00A97499">
      <w:rPr>
        <w:noProof/>
        <w:sz w:val="18"/>
      </w:rPr>
      <w:t>5</w:t>
    </w:r>
    <w:r w:rsidRPr="00E9775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F15D" w14:textId="77777777" w:rsidR="00D94B05" w:rsidRPr="00E9775D" w:rsidRDefault="00E52109" w:rsidP="00764440">
    <w:pPr>
      <w:pStyle w:val="Footer"/>
      <w:rPr>
        <w:rFonts w:asciiTheme="majorBidi" w:hAnsiTheme="majorBidi" w:cstheme="majorBidi"/>
        <w:sz w:val="20"/>
      </w:rPr>
    </w:pPr>
    <w:r>
      <w:rPr>
        <w:noProof/>
        <w:lang w:val="sv-SE" w:eastAsia="sv-SE"/>
      </w:rPr>
      <w:drawing>
        <wp:anchor distT="0" distB="0" distL="114300" distR="114300" simplePos="0" relativeHeight="251659264" behindDoc="0" locked="1" layoutInCell="1" allowOverlap="1" wp14:anchorId="7D34D24E" wp14:editId="6E75049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6FE1" w14:textId="77777777" w:rsidR="00603DA1" w:rsidRPr="00C47B2E" w:rsidRDefault="00603DA1" w:rsidP="00C47B2E">
      <w:pPr>
        <w:tabs>
          <w:tab w:val="right" w:pos="2155"/>
        </w:tabs>
        <w:spacing w:after="80" w:line="240" w:lineRule="auto"/>
        <w:ind w:left="680"/>
      </w:pPr>
      <w:r>
        <w:rPr>
          <w:u w:val="single"/>
        </w:rPr>
        <w:tab/>
      </w:r>
    </w:p>
  </w:footnote>
  <w:footnote w:type="continuationSeparator" w:id="0">
    <w:p w14:paraId="0E1F4CA9" w14:textId="77777777" w:rsidR="00603DA1" w:rsidRPr="00C47B2E" w:rsidRDefault="00603DA1" w:rsidP="005E716E">
      <w:pPr>
        <w:tabs>
          <w:tab w:val="right" w:pos="2155"/>
        </w:tabs>
        <w:spacing w:after="80" w:line="240" w:lineRule="auto"/>
        <w:ind w:left="680"/>
      </w:pPr>
      <w:r>
        <w:rPr>
          <w:u w:val="single"/>
        </w:rPr>
        <w:tab/>
      </w:r>
    </w:p>
  </w:footnote>
  <w:footnote w:type="continuationNotice" w:id="1">
    <w:p w14:paraId="02323AF5" w14:textId="77777777" w:rsidR="00603DA1" w:rsidRPr="00C47B2E" w:rsidRDefault="00603DA1" w:rsidP="00C47B2E">
      <w:pPr>
        <w:pStyle w:val="Footer"/>
      </w:pPr>
    </w:p>
  </w:footnote>
  <w:footnote w:id="2">
    <w:p w14:paraId="08EBF64B" w14:textId="7E299E65" w:rsidR="00CF30F1" w:rsidRPr="00CF30F1" w:rsidRDefault="00CF30F1">
      <w:pPr>
        <w:pStyle w:val="FootnoteText"/>
        <w:rPr>
          <w:lang w:val="fr-CH"/>
        </w:rPr>
      </w:pPr>
      <w:r>
        <w:rPr>
          <w:rStyle w:val="FootnoteReference"/>
        </w:rPr>
        <w:tab/>
      </w:r>
      <w:r w:rsidRPr="00CF30F1">
        <w:rPr>
          <w:rStyle w:val="FootnoteReference"/>
          <w:sz w:val="20"/>
          <w:vertAlign w:val="baseline"/>
        </w:rPr>
        <w:t>*</w:t>
      </w:r>
      <w:r>
        <w:rPr>
          <w:rStyle w:val="FootnoteReference"/>
          <w:sz w:val="20"/>
          <w:vertAlign w:val="baseline"/>
        </w:rPr>
        <w:tab/>
      </w:r>
      <w:r w:rsidRPr="00B34E88">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14A0" w14:textId="59A9AFBD" w:rsidR="00E9775D" w:rsidRPr="00E9775D" w:rsidRDefault="009A23DA">
    <w:pPr>
      <w:pStyle w:val="Header"/>
    </w:pPr>
    <w:fldSimple w:instr=" TITLE  \* MERGEFORMAT ">
      <w:r w:rsidR="00E9775D">
        <w:t>ST/SG/AC.10/C.3/2020/20/Add.1</w:t>
      </w:r>
    </w:fldSimple>
    <w:r w:rsidR="00E9775D">
      <w:br/>
    </w:r>
    <w:fldSimple w:instr=" KEYWORDS  \* MERGEFORMAT ">
      <w:r w:rsidR="00E9775D">
        <w:t>ST/SG/AC.10/C.4/2020/5/Add.1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D2E" w14:textId="54CE9D94" w:rsidR="00D94B05" w:rsidRPr="00E9775D" w:rsidRDefault="009A23DA" w:rsidP="00E9775D">
    <w:pPr>
      <w:pStyle w:val="Header"/>
      <w:jc w:val="right"/>
    </w:pPr>
    <w:fldSimple w:instr=" TITLE  \* MERGEFORMAT ">
      <w:r w:rsidR="00E9775D">
        <w:t>ST/SG/AC.10/C.3/2020/20/Add.1</w:t>
      </w:r>
    </w:fldSimple>
    <w:r w:rsidR="00E9775D">
      <w:br/>
    </w:r>
    <w:fldSimple w:instr=" KEYWORDS  \* MERGEFORMAT ">
      <w:r w:rsidR="00E9775D">
        <w:t>ST/SG/AC.10/C.4/2020/5/Add.1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9350A6"/>
    <w:multiLevelType w:val="hybridMultilevel"/>
    <w:tmpl w:val="023ADCC8"/>
    <w:lvl w:ilvl="0" w:tplc="FBFEE656">
      <w:start w:val="1"/>
      <w:numFmt w:val="bullet"/>
      <w:lvlText w:val=""/>
      <w:lvlJc w:val="left"/>
      <w:pPr>
        <w:ind w:left="1494" w:hanging="360"/>
      </w:pPr>
      <w:rPr>
        <w:rFonts w:ascii="Symbol" w:eastAsia="Times New Roman" w:hAnsi="Symbol"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5D"/>
    <w:rsid w:val="00046E92"/>
    <w:rsid w:val="00063C90"/>
    <w:rsid w:val="000831BB"/>
    <w:rsid w:val="000A7C94"/>
    <w:rsid w:val="00101B98"/>
    <w:rsid w:val="0014125B"/>
    <w:rsid w:val="001514D1"/>
    <w:rsid w:val="002475B7"/>
    <w:rsid w:val="00247E2C"/>
    <w:rsid w:val="002A32CB"/>
    <w:rsid w:val="002D5B2C"/>
    <w:rsid w:val="002D6C53"/>
    <w:rsid w:val="002F5595"/>
    <w:rsid w:val="00334F6A"/>
    <w:rsid w:val="00342AC8"/>
    <w:rsid w:val="00343302"/>
    <w:rsid w:val="003979DE"/>
    <w:rsid w:val="003A77C3"/>
    <w:rsid w:val="003B4550"/>
    <w:rsid w:val="003D2A18"/>
    <w:rsid w:val="00413386"/>
    <w:rsid w:val="00461253"/>
    <w:rsid w:val="004858F5"/>
    <w:rsid w:val="004A2814"/>
    <w:rsid w:val="004C0622"/>
    <w:rsid w:val="005042C2"/>
    <w:rsid w:val="00510389"/>
    <w:rsid w:val="00527F08"/>
    <w:rsid w:val="005618D5"/>
    <w:rsid w:val="005C1EA4"/>
    <w:rsid w:val="005E716E"/>
    <w:rsid w:val="00603DA1"/>
    <w:rsid w:val="006153D6"/>
    <w:rsid w:val="006476E1"/>
    <w:rsid w:val="006604DF"/>
    <w:rsid w:val="00671529"/>
    <w:rsid w:val="006B63CB"/>
    <w:rsid w:val="0070489D"/>
    <w:rsid w:val="007268F9"/>
    <w:rsid w:val="00750282"/>
    <w:rsid w:val="00764440"/>
    <w:rsid w:val="0077101B"/>
    <w:rsid w:val="007C52B0"/>
    <w:rsid w:val="007C566F"/>
    <w:rsid w:val="007C6033"/>
    <w:rsid w:val="008147C8"/>
    <w:rsid w:val="0081753A"/>
    <w:rsid w:val="00857D23"/>
    <w:rsid w:val="00866D65"/>
    <w:rsid w:val="008F00D5"/>
    <w:rsid w:val="009411B4"/>
    <w:rsid w:val="00946F1D"/>
    <w:rsid w:val="009A23DA"/>
    <w:rsid w:val="009B35BB"/>
    <w:rsid w:val="009B6FDC"/>
    <w:rsid w:val="009D0139"/>
    <w:rsid w:val="009D717D"/>
    <w:rsid w:val="009E4754"/>
    <w:rsid w:val="009F5CDC"/>
    <w:rsid w:val="00A072D7"/>
    <w:rsid w:val="00A775CF"/>
    <w:rsid w:val="00A873B9"/>
    <w:rsid w:val="00A97499"/>
    <w:rsid w:val="00AB57A0"/>
    <w:rsid w:val="00AD1A9C"/>
    <w:rsid w:val="00AF5DE1"/>
    <w:rsid w:val="00B06045"/>
    <w:rsid w:val="00B206DD"/>
    <w:rsid w:val="00B20DF8"/>
    <w:rsid w:val="00B477A3"/>
    <w:rsid w:val="00B52EF4"/>
    <w:rsid w:val="00B777AD"/>
    <w:rsid w:val="00C03015"/>
    <w:rsid w:val="00C0358D"/>
    <w:rsid w:val="00C17F5A"/>
    <w:rsid w:val="00C35A27"/>
    <w:rsid w:val="00C47B2E"/>
    <w:rsid w:val="00C7314D"/>
    <w:rsid w:val="00C82B83"/>
    <w:rsid w:val="00CA32AA"/>
    <w:rsid w:val="00CF30F1"/>
    <w:rsid w:val="00D5553D"/>
    <w:rsid w:val="00D63CD2"/>
    <w:rsid w:val="00D87DC2"/>
    <w:rsid w:val="00D9013D"/>
    <w:rsid w:val="00D94B05"/>
    <w:rsid w:val="00DE5CA2"/>
    <w:rsid w:val="00DF4E31"/>
    <w:rsid w:val="00E02C2B"/>
    <w:rsid w:val="00E07A1A"/>
    <w:rsid w:val="00E2015D"/>
    <w:rsid w:val="00E21C27"/>
    <w:rsid w:val="00E26BCF"/>
    <w:rsid w:val="00E333AA"/>
    <w:rsid w:val="00E52109"/>
    <w:rsid w:val="00E75317"/>
    <w:rsid w:val="00E9775D"/>
    <w:rsid w:val="00EC0CE6"/>
    <w:rsid w:val="00EC7C1D"/>
    <w:rsid w:val="00ED6C48"/>
    <w:rsid w:val="00EE3045"/>
    <w:rsid w:val="00F0255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97285"/>
  <w15:docId w15:val="{15E28969-EC2A-42DB-B598-22448E39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D5553D"/>
    <w:rPr>
      <w:b/>
      <w:sz w:val="28"/>
    </w:rPr>
  </w:style>
  <w:style w:type="character" w:customStyle="1" w:styleId="H1GChar">
    <w:name w:val="_ H_1_G Char"/>
    <w:link w:val="H1G"/>
    <w:locked/>
    <w:rsid w:val="00D5553D"/>
    <w:rPr>
      <w:b/>
      <w:sz w:val="24"/>
    </w:rPr>
  </w:style>
  <w:style w:type="character" w:styleId="CommentReference">
    <w:name w:val="annotation reference"/>
    <w:basedOn w:val="DefaultParagraphFont"/>
    <w:uiPriority w:val="99"/>
    <w:semiHidden/>
    <w:unhideWhenUsed/>
    <w:rsid w:val="00DE5CA2"/>
    <w:rPr>
      <w:sz w:val="16"/>
      <w:szCs w:val="16"/>
    </w:rPr>
  </w:style>
  <w:style w:type="paragraph" w:styleId="CommentText">
    <w:name w:val="annotation text"/>
    <w:basedOn w:val="Normal"/>
    <w:link w:val="CommentTextChar"/>
    <w:uiPriority w:val="99"/>
    <w:semiHidden/>
    <w:unhideWhenUsed/>
    <w:rsid w:val="00DE5CA2"/>
    <w:pPr>
      <w:spacing w:line="240" w:lineRule="auto"/>
    </w:pPr>
  </w:style>
  <w:style w:type="character" w:customStyle="1" w:styleId="CommentTextChar">
    <w:name w:val="Comment Text Char"/>
    <w:basedOn w:val="DefaultParagraphFont"/>
    <w:link w:val="CommentText"/>
    <w:uiPriority w:val="99"/>
    <w:semiHidden/>
    <w:rsid w:val="00DE5CA2"/>
  </w:style>
  <w:style w:type="paragraph" w:styleId="CommentSubject">
    <w:name w:val="annotation subject"/>
    <w:basedOn w:val="CommentText"/>
    <w:next w:val="CommentText"/>
    <w:link w:val="CommentSubjectChar"/>
    <w:uiPriority w:val="99"/>
    <w:semiHidden/>
    <w:unhideWhenUsed/>
    <w:rsid w:val="00DE5CA2"/>
    <w:rPr>
      <w:b/>
      <w:bCs/>
    </w:rPr>
  </w:style>
  <w:style w:type="character" w:customStyle="1" w:styleId="CommentSubjectChar">
    <w:name w:val="Comment Subject Char"/>
    <w:basedOn w:val="CommentTextChar"/>
    <w:link w:val="CommentSubject"/>
    <w:uiPriority w:val="99"/>
    <w:semiHidden/>
    <w:rsid w:val="00DE5CA2"/>
    <w:rPr>
      <w:b/>
      <w:bCs/>
    </w:rPr>
  </w:style>
  <w:style w:type="paragraph" w:styleId="ListParagraph">
    <w:name w:val="List Paragraph"/>
    <w:basedOn w:val="Normal"/>
    <w:uiPriority w:val="34"/>
    <w:qFormat/>
    <w:rsid w:val="00DF4E31"/>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 w:type="table" w:customStyle="1" w:styleId="Tabellrutnt1">
    <w:name w:val="Tabellrutnät1"/>
    <w:basedOn w:val="TableNormal"/>
    <w:uiPriority w:val="39"/>
    <w:rsid w:val="00DF4E31"/>
    <w:pPr>
      <w:spacing w:after="0" w:line="256"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215">
      <w:bodyDiv w:val="1"/>
      <w:marLeft w:val="0"/>
      <w:marRight w:val="0"/>
      <w:marTop w:val="0"/>
      <w:marBottom w:val="0"/>
      <w:divBdr>
        <w:top w:val="none" w:sz="0" w:space="0" w:color="auto"/>
        <w:left w:val="none" w:sz="0" w:space="0" w:color="auto"/>
        <w:bottom w:val="none" w:sz="0" w:space="0" w:color="auto"/>
        <w:right w:val="none" w:sz="0" w:space="0" w:color="auto"/>
      </w:divBdr>
    </w:div>
    <w:div w:id="10685215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7647979">
      <w:bodyDiv w:val="1"/>
      <w:marLeft w:val="0"/>
      <w:marRight w:val="0"/>
      <w:marTop w:val="0"/>
      <w:marBottom w:val="0"/>
      <w:divBdr>
        <w:top w:val="none" w:sz="0" w:space="0" w:color="auto"/>
        <w:left w:val="none" w:sz="0" w:space="0" w:color="auto"/>
        <w:bottom w:val="none" w:sz="0" w:space="0" w:color="auto"/>
        <w:right w:val="none" w:sz="0" w:space="0" w:color="auto"/>
      </w:divBdr>
    </w:div>
    <w:div w:id="765882190">
      <w:bodyDiv w:val="1"/>
      <w:marLeft w:val="0"/>
      <w:marRight w:val="0"/>
      <w:marTop w:val="0"/>
      <w:marBottom w:val="0"/>
      <w:divBdr>
        <w:top w:val="none" w:sz="0" w:space="0" w:color="auto"/>
        <w:left w:val="none" w:sz="0" w:space="0" w:color="auto"/>
        <w:bottom w:val="none" w:sz="0" w:space="0" w:color="auto"/>
        <w:right w:val="none" w:sz="0" w:space="0" w:color="auto"/>
      </w:divBdr>
    </w:div>
    <w:div w:id="979386391">
      <w:bodyDiv w:val="1"/>
      <w:marLeft w:val="0"/>
      <w:marRight w:val="0"/>
      <w:marTop w:val="0"/>
      <w:marBottom w:val="0"/>
      <w:divBdr>
        <w:top w:val="none" w:sz="0" w:space="0" w:color="auto"/>
        <w:left w:val="none" w:sz="0" w:space="0" w:color="auto"/>
        <w:bottom w:val="none" w:sz="0" w:space="0" w:color="auto"/>
        <w:right w:val="none" w:sz="0" w:space="0" w:color="auto"/>
      </w:divBdr>
    </w:div>
    <w:div w:id="18319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C612-4821-46E1-B926-F058F10E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779</TotalTime>
  <Pages>5</Pages>
  <Words>1760</Words>
  <Characters>10033</Characters>
  <Application>Microsoft Office Word</Application>
  <DocSecurity>0</DocSecurity>
  <Lines>83</Lines>
  <Paragraphs>23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ST/SG/AC.10/C.3/2020/20/Add.1</vt:lpstr>
      <vt:lpstr>ST/SG/AC.10/C.3/2020/20/Add.1</vt: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ST/SG/AC.10/C.3/2020/20/Add.1</dc:title>
  <dc:subject/>
  <dc:creator>Rosa</dc:creator>
  <cp:keywords>ST/SG/AC.10/C.4/2020/5/Add.1</cp:keywords>
  <cp:lastModifiedBy>Laurence Berthet</cp:lastModifiedBy>
  <cp:revision>9</cp:revision>
  <dcterms:created xsi:type="dcterms:W3CDTF">2020-09-03T16:19:00Z</dcterms:created>
  <dcterms:modified xsi:type="dcterms:W3CDTF">2020-09-04T11:44:00Z</dcterms:modified>
</cp:coreProperties>
</file>