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CD40081" w14:textId="77777777" w:rsidTr="006476E1">
        <w:trPr>
          <w:trHeight w:val="851"/>
        </w:trPr>
        <w:tc>
          <w:tcPr>
            <w:tcW w:w="1259" w:type="dxa"/>
            <w:tcBorders>
              <w:top w:val="nil"/>
              <w:left w:val="nil"/>
              <w:bottom w:val="single" w:sz="4" w:space="0" w:color="auto"/>
              <w:right w:val="nil"/>
            </w:tcBorders>
          </w:tcPr>
          <w:p w14:paraId="1230DA99" w14:textId="77777777" w:rsidR="00E52109" w:rsidRPr="002A32CB" w:rsidRDefault="00E52109" w:rsidP="004858F5"/>
        </w:tc>
        <w:tc>
          <w:tcPr>
            <w:tcW w:w="2236" w:type="dxa"/>
            <w:tcBorders>
              <w:top w:val="nil"/>
              <w:left w:val="nil"/>
              <w:bottom w:val="single" w:sz="4" w:space="0" w:color="auto"/>
              <w:right w:val="nil"/>
            </w:tcBorders>
            <w:vAlign w:val="bottom"/>
          </w:tcPr>
          <w:p w14:paraId="773EDF7E"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210E2A7" w14:textId="77777777" w:rsidR="00E52109" w:rsidRDefault="00533F96" w:rsidP="006F0E7B">
            <w:pPr>
              <w:suppressAutoHyphens w:val="0"/>
              <w:jc w:val="right"/>
            </w:pPr>
            <w:r w:rsidRPr="00533F96">
              <w:rPr>
                <w:sz w:val="40"/>
              </w:rPr>
              <w:t>ST</w:t>
            </w:r>
            <w:r>
              <w:t>/SG/AC.10/C.3/2020/</w:t>
            </w:r>
            <w:r w:rsidR="008C0FB4">
              <w:t>15</w:t>
            </w:r>
          </w:p>
        </w:tc>
      </w:tr>
      <w:tr w:rsidR="00E52109" w14:paraId="2987E1EB" w14:textId="77777777" w:rsidTr="006476E1">
        <w:trPr>
          <w:trHeight w:val="2835"/>
        </w:trPr>
        <w:tc>
          <w:tcPr>
            <w:tcW w:w="1259" w:type="dxa"/>
            <w:tcBorders>
              <w:top w:val="single" w:sz="4" w:space="0" w:color="auto"/>
              <w:left w:val="nil"/>
              <w:bottom w:val="single" w:sz="12" w:space="0" w:color="auto"/>
              <w:right w:val="nil"/>
            </w:tcBorders>
          </w:tcPr>
          <w:p w14:paraId="0C24148E" w14:textId="77777777" w:rsidR="00E52109" w:rsidRDefault="00E52109" w:rsidP="006476E1">
            <w:pPr>
              <w:spacing w:before="120"/>
              <w:jc w:val="center"/>
            </w:pPr>
            <w:r>
              <w:rPr>
                <w:noProof/>
                <w:lang w:val="fr-CH" w:eastAsia="fr-CH"/>
              </w:rPr>
              <w:drawing>
                <wp:inline distT="0" distB="0" distL="0" distR="0" wp14:anchorId="1010AD7D" wp14:editId="6ADC3D0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F354E32"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B05C05D" w14:textId="77777777" w:rsidR="00D94B05" w:rsidRDefault="006F0E7B" w:rsidP="006F0E7B">
            <w:pPr>
              <w:suppressAutoHyphens w:val="0"/>
              <w:spacing w:before="240" w:line="240" w:lineRule="exact"/>
            </w:pPr>
            <w:r>
              <w:t>Distr.: General</w:t>
            </w:r>
          </w:p>
          <w:p w14:paraId="46B16E5A" w14:textId="77777777" w:rsidR="006F0E7B" w:rsidRDefault="009264BD" w:rsidP="006F0E7B">
            <w:pPr>
              <w:suppressAutoHyphens w:val="0"/>
              <w:spacing w:line="240" w:lineRule="exact"/>
            </w:pPr>
            <w:r>
              <w:t>6</w:t>
            </w:r>
            <w:r w:rsidR="006F0E7B">
              <w:t xml:space="preserve"> </w:t>
            </w:r>
            <w:r w:rsidR="008E23AD">
              <w:t>April</w:t>
            </w:r>
            <w:r w:rsidR="006F0E7B">
              <w:t xml:space="preserve"> 2020</w:t>
            </w:r>
          </w:p>
          <w:p w14:paraId="1FE33FE0" w14:textId="77777777" w:rsidR="006F0E7B" w:rsidRDefault="006F0E7B" w:rsidP="006F0E7B">
            <w:pPr>
              <w:suppressAutoHyphens w:val="0"/>
              <w:spacing w:line="240" w:lineRule="exact"/>
            </w:pPr>
          </w:p>
          <w:p w14:paraId="6C162B4C" w14:textId="77777777" w:rsidR="006F0E7B" w:rsidRDefault="006F0E7B" w:rsidP="006F0E7B">
            <w:pPr>
              <w:suppressAutoHyphens w:val="0"/>
              <w:spacing w:line="240" w:lineRule="exact"/>
            </w:pPr>
            <w:r>
              <w:t>Original: English</w:t>
            </w:r>
          </w:p>
        </w:tc>
      </w:tr>
    </w:tbl>
    <w:p w14:paraId="5CF2D002" w14:textId="77777777" w:rsidR="006F0E7B" w:rsidRPr="006500BA" w:rsidRDefault="006F0E7B"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6A22BC2F" w14:textId="77777777" w:rsidR="006F0E7B" w:rsidRPr="006500BA" w:rsidRDefault="006F0E7B" w:rsidP="004858F5">
      <w:pPr>
        <w:spacing w:before="120"/>
        <w:rPr>
          <w:rFonts w:ascii="Helv" w:hAnsi="Helv" w:cs="Helv"/>
          <w:b/>
          <w:color w:val="000000"/>
        </w:rPr>
      </w:pPr>
      <w:r w:rsidRPr="006500BA">
        <w:rPr>
          <w:b/>
        </w:rPr>
        <w:t xml:space="preserve">Sub-Committee of Experts on the </w:t>
      </w:r>
      <w:r>
        <w:rPr>
          <w:b/>
        </w:rPr>
        <w:t>Transport of Dangerous Goods</w:t>
      </w:r>
    </w:p>
    <w:p w14:paraId="519A40A6" w14:textId="77777777" w:rsidR="006F0E7B" w:rsidRPr="006500BA" w:rsidRDefault="00DD57DA" w:rsidP="004858F5">
      <w:pPr>
        <w:spacing w:before="120"/>
        <w:rPr>
          <w:b/>
        </w:rPr>
      </w:pPr>
      <w:r>
        <w:rPr>
          <w:b/>
        </w:rPr>
        <w:t>Fifty-seventh</w:t>
      </w:r>
      <w:r w:rsidR="006F0E7B">
        <w:rPr>
          <w:b/>
        </w:rPr>
        <w:t xml:space="preserve"> </w:t>
      </w:r>
      <w:r w:rsidR="006F0E7B" w:rsidRPr="006500BA">
        <w:rPr>
          <w:b/>
        </w:rPr>
        <w:t>session</w:t>
      </w:r>
    </w:p>
    <w:p w14:paraId="25AEF786" w14:textId="77777777" w:rsidR="00DD57DA" w:rsidRPr="003A1B34" w:rsidRDefault="00DD57DA" w:rsidP="00DD57DA">
      <w:pPr>
        <w:tabs>
          <w:tab w:val="left" w:pos="6361"/>
          <w:tab w:val="left" w:pos="6939"/>
        </w:tabs>
        <w:spacing w:before="40"/>
        <w:outlineLvl w:val="0"/>
        <w:rPr>
          <w:bCs/>
        </w:rPr>
      </w:pPr>
      <w:r w:rsidRPr="003A1B34">
        <w:t>29 June</w:t>
      </w:r>
      <w:r>
        <w:t>-</w:t>
      </w:r>
      <w:r w:rsidRPr="003A1B34">
        <w:t>8 July 2020</w:t>
      </w:r>
    </w:p>
    <w:p w14:paraId="445A93A4" w14:textId="77777777" w:rsidR="00DD57DA" w:rsidRDefault="00DD57DA" w:rsidP="00DD57DA">
      <w:r w:rsidRPr="003A1B34">
        <w:t>Item 3 of the provisional agenda</w:t>
      </w:r>
    </w:p>
    <w:p w14:paraId="61DECAC0" w14:textId="77777777" w:rsidR="00DD57DA" w:rsidRPr="008A199B" w:rsidRDefault="00DD57DA" w:rsidP="00DD57DA">
      <w:pPr>
        <w:rPr>
          <w:b/>
        </w:rPr>
      </w:pPr>
      <w:r w:rsidRPr="008A199B">
        <w:rPr>
          <w:b/>
        </w:rPr>
        <w:t>Listing, classification and packing</w:t>
      </w:r>
    </w:p>
    <w:p w14:paraId="3B150F3A" w14:textId="77777777" w:rsidR="008C0FB4" w:rsidRDefault="00DD57DA" w:rsidP="008C0FB4">
      <w:pPr>
        <w:pStyle w:val="HChG"/>
        <w:rPr>
          <w:rFonts w:eastAsia="Times New Roman"/>
          <w:lang w:eastAsia="en-US"/>
        </w:rPr>
      </w:pPr>
      <w:r>
        <w:tab/>
      </w:r>
      <w:r w:rsidR="008C0FB4">
        <w:tab/>
      </w:r>
      <w:r w:rsidR="008C0FB4">
        <w:rPr>
          <w:rFonts w:eastAsia="Times New Roman"/>
          <w:lang w:eastAsia="en-US"/>
        </w:rPr>
        <w:t>Consequential amendments related to the introduction of “TEMPERATUR</w:t>
      </w:r>
      <w:bookmarkStart w:id="0" w:name="_GoBack"/>
      <w:bookmarkEnd w:id="0"/>
      <w:r w:rsidR="008C0FB4">
        <w:rPr>
          <w:rFonts w:eastAsia="Times New Roman"/>
          <w:lang w:eastAsia="en-US"/>
        </w:rPr>
        <w:t xml:space="preserve">E CONTROLLED” in 3.1.2.6 and </w:t>
      </w:r>
      <w:r w:rsidR="008C0FB4">
        <w:rPr>
          <w:rFonts w:eastAsia="Arial Unicode MS" w:cs="Arial Unicode MS"/>
          <w:lang w:eastAsia="en-US"/>
        </w:rPr>
        <w:tab/>
      </w:r>
      <w:r w:rsidR="008C0FB4">
        <w:rPr>
          <w:rFonts w:eastAsia="Times New Roman"/>
          <w:lang w:eastAsia="en-US"/>
        </w:rPr>
        <w:t>reference to “MOLTEN” as part of the proper shipping name in the transport document</w:t>
      </w:r>
    </w:p>
    <w:p w14:paraId="31F5F7FE" w14:textId="77777777" w:rsidR="008C0FB4" w:rsidRDefault="008C0FB4" w:rsidP="008C0FB4">
      <w:pPr>
        <w:keepNext/>
        <w:keepLines/>
        <w:tabs>
          <w:tab w:val="right" w:pos="851"/>
        </w:tabs>
        <w:kinsoku/>
        <w:overflowPunct/>
        <w:autoSpaceDE/>
        <w:adjustRightInd/>
        <w:snapToGrid/>
        <w:spacing w:before="360" w:after="240" w:line="270" w:lineRule="exact"/>
        <w:ind w:left="1134" w:right="1134" w:hanging="1134"/>
        <w:rPr>
          <w:rFonts w:eastAsia="Arial Unicode MS" w:cs="Arial Unicode MS"/>
          <w:b/>
          <w:sz w:val="24"/>
          <w:lang w:eastAsia="en-US"/>
        </w:rPr>
      </w:pPr>
      <w:r>
        <w:rPr>
          <w:rFonts w:eastAsia="Arial Unicode MS" w:cs="Arial Unicode MS"/>
          <w:b/>
          <w:sz w:val="24"/>
          <w:lang w:eastAsia="en-US"/>
        </w:rPr>
        <w:tab/>
      </w:r>
      <w:r>
        <w:rPr>
          <w:rFonts w:eastAsia="Arial Unicode MS" w:cs="Arial Unicode MS"/>
          <w:b/>
          <w:sz w:val="24"/>
          <w:lang w:eastAsia="en-US"/>
        </w:rPr>
        <w:tab/>
        <w:t>Transmitted by the expert from Spain</w:t>
      </w:r>
      <w:r>
        <w:rPr>
          <w:rStyle w:val="FootnoteReference"/>
          <w:rFonts w:eastAsia="Arial Unicode MS" w:cs="Arial Unicode MS"/>
          <w:b/>
          <w:lang w:eastAsia="en-US"/>
        </w:rPr>
        <w:footnoteReference w:id="2"/>
      </w:r>
    </w:p>
    <w:p w14:paraId="44378F88" w14:textId="77777777" w:rsidR="008C0FB4" w:rsidRDefault="008C0FB4" w:rsidP="008C0FB4">
      <w:pPr>
        <w:pStyle w:val="HChG"/>
        <w:rPr>
          <w:rFonts w:eastAsia="Times New Roman"/>
          <w:lang w:val="x-none" w:eastAsia="en-US"/>
        </w:rPr>
      </w:pPr>
      <w:r>
        <w:rPr>
          <w:rFonts w:eastAsia="Times New Roman"/>
          <w:lang w:eastAsia="en-US"/>
        </w:rPr>
        <w:tab/>
      </w:r>
      <w:r>
        <w:rPr>
          <w:rFonts w:eastAsia="Times New Roman"/>
          <w:lang w:eastAsia="en-US"/>
        </w:rPr>
        <w:tab/>
      </w:r>
      <w:r>
        <w:rPr>
          <w:rFonts w:eastAsia="Times New Roman"/>
          <w:lang w:eastAsia="en-US"/>
        </w:rPr>
        <w:tab/>
        <w:t>Introduction</w:t>
      </w:r>
    </w:p>
    <w:p w14:paraId="228A4074" w14:textId="77777777" w:rsidR="008C0FB4" w:rsidRDefault="008C0FB4" w:rsidP="008C0FB4">
      <w:pPr>
        <w:pStyle w:val="SingleTxtG"/>
        <w:rPr>
          <w:lang w:eastAsia="en-US"/>
        </w:rPr>
      </w:pPr>
      <w:r>
        <w:rPr>
          <w:lang w:eastAsia="en-US"/>
        </w:rPr>
        <w:t>1.</w:t>
      </w:r>
      <w:r>
        <w:rPr>
          <w:lang w:eastAsia="en-US"/>
        </w:rPr>
        <w:tab/>
        <w:t>In the twentieth revised edition of the Model Regulations (2017) a new text was introduced in 3.1.2.6 (b) indicating that, when the words “TEMPERATURE CONTROLLED” are not already included in capital letters in the name of a substance i</w:t>
      </w:r>
      <w:r w:rsidR="00FB4A72">
        <w:rPr>
          <w:lang w:eastAsia="en-US"/>
        </w:rPr>
        <w:t>n the case</w:t>
      </w:r>
      <w:r>
        <w:rPr>
          <w:lang w:eastAsia="en-US"/>
        </w:rPr>
        <w:t xml:space="preserve"> temperature control is used for stabilization, this </w:t>
      </w:r>
      <w:r w:rsidR="00FB4A72">
        <w:rPr>
          <w:lang w:eastAsia="en-US"/>
        </w:rPr>
        <w:t xml:space="preserve">text </w:t>
      </w:r>
      <w:r>
        <w:rPr>
          <w:lang w:eastAsia="en-US"/>
        </w:rPr>
        <w:t>has to be added as part of the proper shipping name. Nevertheless, 5.4.1.5.4 has not been updated. Spain considers that the text in 5.4.1.5.4 should directly reference the case when the words “TEMPERATURE CONTROLLED” are included into the proper shipping name because this would ease the application of the regulations for end users. For that reason, in the December 2019 Sub-Committee meeting, Spain presented informal document INF.5 (56</w:t>
      </w:r>
      <w:r w:rsidRPr="008C0FB4">
        <w:rPr>
          <w:vertAlign w:val="superscript"/>
          <w:lang w:eastAsia="en-US"/>
        </w:rPr>
        <w:t>th</w:t>
      </w:r>
      <w:r>
        <w:rPr>
          <w:lang w:eastAsia="en-US"/>
        </w:rPr>
        <w:t xml:space="preserve"> session) proposing the following amendments related to this subject:</w:t>
      </w:r>
    </w:p>
    <w:p w14:paraId="2CD77922" w14:textId="77777777" w:rsidR="008C0FB4" w:rsidRDefault="008C0FB4" w:rsidP="008C0FB4">
      <w:pPr>
        <w:pStyle w:val="Bullet1G"/>
        <w:rPr>
          <w:lang w:eastAsia="en-US"/>
        </w:rPr>
      </w:pPr>
      <w:r>
        <w:rPr>
          <w:lang w:eastAsia="en-US"/>
        </w:rPr>
        <w:t>to amend the text of 5.4.1.5.4</w:t>
      </w:r>
      <w:r>
        <w:rPr>
          <w:lang w:val="x-none" w:eastAsia="en-US"/>
        </w:rPr>
        <w:t xml:space="preserve"> </w:t>
      </w:r>
      <w:r>
        <w:rPr>
          <w:lang w:eastAsia="en-US"/>
        </w:rPr>
        <w:t>(paragraph 7 of informal document INF 5),</w:t>
      </w:r>
    </w:p>
    <w:p w14:paraId="614EE2C5" w14:textId="77777777" w:rsidR="008C0FB4" w:rsidRDefault="008C0FB4" w:rsidP="008C0FB4">
      <w:pPr>
        <w:pStyle w:val="Bullet1G"/>
        <w:rPr>
          <w:lang w:eastAsia="en-US"/>
        </w:rPr>
      </w:pPr>
      <w:r>
        <w:rPr>
          <w:lang w:eastAsia="en-US"/>
        </w:rPr>
        <w:t>to include in 5.4.1.4.3 a cross reference to 3.1.2.6 for modifying the proper shipping name (by including an additional sub-paragraph (e) under 5.4.1.4.3 in informal document INF.5), and</w:t>
      </w:r>
    </w:p>
    <w:p w14:paraId="2A5E7C1B" w14:textId="77777777" w:rsidR="008C0FB4" w:rsidRDefault="008C0FB4" w:rsidP="008C0FB4">
      <w:pPr>
        <w:pStyle w:val="Bullet1G"/>
        <w:rPr>
          <w:lang w:eastAsia="en-US"/>
        </w:rPr>
      </w:pPr>
      <w:r>
        <w:rPr>
          <w:lang w:eastAsia="en-US"/>
        </w:rPr>
        <w:t>to amend the text of 7.1.5.3.2 (paragraph 9 of the informal document INF 5).</w:t>
      </w:r>
    </w:p>
    <w:p w14:paraId="05CBD7CD" w14:textId="77777777" w:rsidR="008C0FB4" w:rsidRDefault="008C0FB4" w:rsidP="008C0FB4">
      <w:pPr>
        <w:pStyle w:val="SingleTxtG"/>
        <w:rPr>
          <w:lang w:eastAsia="en-US"/>
        </w:rPr>
      </w:pPr>
      <w:r>
        <w:rPr>
          <w:lang w:eastAsia="en-US"/>
        </w:rPr>
        <w:t>2.</w:t>
      </w:r>
      <w:r>
        <w:rPr>
          <w:lang w:eastAsia="en-US"/>
        </w:rPr>
        <w:tab/>
        <w:t>In the same session, Spain also presented informal document INF.6 (56</w:t>
      </w:r>
      <w:r w:rsidRPr="008C0FB4">
        <w:rPr>
          <w:vertAlign w:val="superscript"/>
          <w:lang w:eastAsia="en-US"/>
        </w:rPr>
        <w:t>th</w:t>
      </w:r>
      <w:r>
        <w:rPr>
          <w:lang w:eastAsia="en-US"/>
        </w:rPr>
        <w:t xml:space="preserve"> session) to include a reference to “MOLTEN” as part of the proper shipping name in the transport document by </w:t>
      </w:r>
      <w:r w:rsidR="00FB4A72">
        <w:rPr>
          <w:lang w:eastAsia="en-US"/>
        </w:rPr>
        <w:t>insert</w:t>
      </w:r>
      <w:r>
        <w:rPr>
          <w:lang w:eastAsia="en-US"/>
        </w:rPr>
        <w:t>ing a new paragraph (d) to 5.4.1.4.3, as an additional consequential amendment to INF.5 (56</w:t>
      </w:r>
      <w:r w:rsidRPr="008C0FB4">
        <w:rPr>
          <w:vertAlign w:val="superscript"/>
          <w:lang w:eastAsia="en-US"/>
        </w:rPr>
        <w:t>th</w:t>
      </w:r>
      <w:r>
        <w:rPr>
          <w:lang w:eastAsia="en-US"/>
        </w:rPr>
        <w:t xml:space="preserve"> session).</w:t>
      </w:r>
    </w:p>
    <w:p w14:paraId="78228B97" w14:textId="77777777" w:rsidR="008C0FB4" w:rsidRDefault="008C0FB4">
      <w:pPr>
        <w:suppressAutoHyphens w:val="0"/>
        <w:kinsoku/>
        <w:overflowPunct/>
        <w:autoSpaceDE/>
        <w:autoSpaceDN/>
        <w:adjustRightInd/>
        <w:snapToGrid/>
        <w:spacing w:after="200" w:line="276" w:lineRule="auto"/>
        <w:rPr>
          <w:rFonts w:eastAsia="Times New Roman"/>
          <w:lang w:eastAsia="en-US"/>
        </w:rPr>
      </w:pPr>
      <w:r>
        <w:rPr>
          <w:rFonts w:eastAsia="Times New Roman"/>
          <w:lang w:eastAsia="en-US"/>
        </w:rPr>
        <w:br w:type="page"/>
      </w:r>
    </w:p>
    <w:p w14:paraId="605221EE" w14:textId="77777777" w:rsidR="008C0FB4" w:rsidRDefault="008C0FB4" w:rsidP="008C0FB4">
      <w:pPr>
        <w:pStyle w:val="SingleTxtG"/>
        <w:rPr>
          <w:lang w:eastAsia="en-US"/>
        </w:rPr>
      </w:pPr>
      <w:r>
        <w:rPr>
          <w:lang w:eastAsia="en-US"/>
        </w:rPr>
        <w:lastRenderedPageBreak/>
        <w:t>3.</w:t>
      </w:r>
      <w:r>
        <w:rPr>
          <w:lang w:eastAsia="en-US"/>
        </w:rPr>
        <w:tab/>
        <w:t xml:space="preserve">As mentioned in the report of the Sub-Committee of Experts on the Transport of Dangerous Goods on its fifty-sixth session (document ST/SG/AC.10/C.3/112, paragraph E, 7), there was support for the amendments to 5.4.1.5.4 and 7.1.5.3.2 in informal document INF.5 and for the </w:t>
      </w:r>
      <w:r w:rsidR="00EB2D1A">
        <w:rPr>
          <w:lang w:eastAsia="en-US"/>
        </w:rPr>
        <w:t>inser</w:t>
      </w:r>
      <w:r>
        <w:rPr>
          <w:lang w:eastAsia="en-US"/>
        </w:rPr>
        <w:t xml:space="preserve">tion of a new sub-paragraph (d) in 5.4.1.4.3, as proposed in informal document INF.6. Since several delegations provided comments on the proposed text for 5.4.1.4.3 (e) during the session, the Sub-Committee invited Spain to revise it accordingly and to consolidate all the proposed amendments in a unique official document for the next session. This new document reflects the Spanish proposal and the comments received. </w:t>
      </w:r>
    </w:p>
    <w:p w14:paraId="49EC8DE3" w14:textId="77777777" w:rsidR="008C0FB4" w:rsidRPr="009264BD" w:rsidRDefault="00D74BA4" w:rsidP="009264BD">
      <w:pPr>
        <w:keepNext/>
        <w:keepLines/>
        <w:tabs>
          <w:tab w:val="right" w:pos="851"/>
        </w:tabs>
        <w:kinsoku/>
        <w:overflowPunct/>
        <w:autoSpaceDE/>
        <w:adjustRightInd/>
        <w:snapToGrid/>
        <w:spacing w:before="360" w:after="240" w:line="270" w:lineRule="exact"/>
        <w:ind w:left="1134" w:right="1134" w:hanging="1134"/>
        <w:rPr>
          <w:rFonts w:eastAsia="Times New Roman"/>
          <w:b/>
          <w:sz w:val="24"/>
          <w:lang w:eastAsia="en-US"/>
        </w:rPr>
      </w:pPr>
      <w:r>
        <w:rPr>
          <w:rFonts w:eastAsia="Times New Roman"/>
          <w:b/>
          <w:sz w:val="24"/>
          <w:lang w:eastAsia="en-US"/>
        </w:rPr>
        <w:tab/>
      </w:r>
      <w:r>
        <w:rPr>
          <w:rFonts w:eastAsia="Times New Roman"/>
          <w:b/>
          <w:sz w:val="24"/>
          <w:lang w:eastAsia="en-US"/>
        </w:rPr>
        <w:tab/>
      </w:r>
      <w:r w:rsidR="008C0FB4" w:rsidRPr="009264BD">
        <w:rPr>
          <w:rFonts w:eastAsia="Times New Roman"/>
          <w:b/>
          <w:sz w:val="24"/>
          <w:lang w:eastAsia="en-US"/>
        </w:rPr>
        <w:t>“TEMPERATURE CONTROLLED” in the transport document (5.4.1)</w:t>
      </w:r>
    </w:p>
    <w:p w14:paraId="130C22EC" w14:textId="77777777" w:rsidR="008C0FB4" w:rsidRDefault="008C0FB4" w:rsidP="008C0FB4">
      <w:pPr>
        <w:pStyle w:val="SingleTxtG"/>
        <w:rPr>
          <w:lang w:eastAsia="en-US"/>
        </w:rPr>
      </w:pPr>
      <w:r>
        <w:rPr>
          <w:lang w:eastAsia="en-US"/>
        </w:rPr>
        <w:t>4.</w:t>
      </w:r>
      <w:r>
        <w:rPr>
          <w:lang w:eastAsia="en-US"/>
        </w:rPr>
        <w:tab/>
        <w:t xml:space="preserve">Although in the twentieth revised edition of the Model Regulations (2017) a new text was introduced into 3.1.2.6 (b), the paragraph 5.4.1.5.4 was not updated. The </w:t>
      </w:r>
      <w:r w:rsidR="00EB2D1A">
        <w:rPr>
          <w:lang w:eastAsia="en-US"/>
        </w:rPr>
        <w:t xml:space="preserve">current </w:t>
      </w:r>
      <w:r>
        <w:rPr>
          <w:lang w:eastAsia="en-US"/>
        </w:rPr>
        <w:t>text of 5.4.1.5.4 is:</w:t>
      </w:r>
    </w:p>
    <w:p w14:paraId="53A468F6" w14:textId="77777777" w:rsidR="008C0FB4" w:rsidRDefault="008C0FB4" w:rsidP="008C0FB4">
      <w:pPr>
        <w:kinsoku/>
        <w:overflowPunct/>
        <w:autoSpaceDE/>
        <w:adjustRightInd/>
        <w:snapToGrid/>
        <w:spacing w:after="120"/>
        <w:ind w:left="1701" w:right="1134"/>
        <w:jc w:val="both"/>
        <w:rPr>
          <w:rFonts w:eastAsia="Times New Roman"/>
          <w:i/>
          <w:lang w:eastAsia="en-US"/>
        </w:rPr>
      </w:pPr>
      <w:r>
        <w:rPr>
          <w:rFonts w:eastAsia="Times New Roman"/>
          <w:lang w:eastAsia="en-US"/>
        </w:rPr>
        <w:t>“</w:t>
      </w:r>
      <w:r>
        <w:rPr>
          <w:rFonts w:eastAsia="Times New Roman"/>
          <w:i/>
          <w:lang w:eastAsia="en-US"/>
        </w:rPr>
        <w:t>5.4.1.5.4</w:t>
      </w:r>
      <w:r>
        <w:rPr>
          <w:rFonts w:eastAsia="Times New Roman"/>
          <w:lang w:eastAsia="en-US"/>
        </w:rPr>
        <w:t xml:space="preserve"> </w:t>
      </w:r>
      <w:r>
        <w:rPr>
          <w:rFonts w:eastAsia="Times New Roman"/>
          <w:lang w:eastAsia="en-US"/>
        </w:rPr>
        <w:tab/>
        <w:t>S</w:t>
      </w:r>
      <w:r>
        <w:rPr>
          <w:rFonts w:eastAsia="Times New Roman"/>
          <w:i/>
          <w:lang w:eastAsia="en-US"/>
        </w:rPr>
        <w:t>ubstances stabilized by temperature control</w:t>
      </w:r>
    </w:p>
    <w:p w14:paraId="655B8C2B" w14:textId="77777777" w:rsidR="008C0FB4" w:rsidRDefault="008C0FB4" w:rsidP="008C0FB4">
      <w:pPr>
        <w:pStyle w:val="SingleTxtG"/>
        <w:ind w:left="1701"/>
        <w:rPr>
          <w:lang w:eastAsia="en-US"/>
        </w:rPr>
      </w:pPr>
      <w:r>
        <w:rPr>
          <w:lang w:eastAsia="en-US"/>
        </w:rPr>
        <w:t>If the word “STABILIZED” is part of the proper shipping name (see also 3.1.2.6), when stabilization is by means of temperature control, the control and emergency temperatures (see 7.1.5.3) shall be indicated in the transport document, as follows:</w:t>
      </w:r>
    </w:p>
    <w:p w14:paraId="041D2F8E" w14:textId="77777777" w:rsidR="008C0FB4" w:rsidRDefault="008C0FB4" w:rsidP="008C0FB4">
      <w:pPr>
        <w:kinsoku/>
        <w:overflowPunct/>
        <w:autoSpaceDE/>
        <w:adjustRightInd/>
        <w:snapToGrid/>
        <w:spacing w:after="120"/>
        <w:ind w:left="1134" w:right="1134" w:firstLine="567"/>
        <w:jc w:val="both"/>
        <w:rPr>
          <w:rFonts w:eastAsia="Times New Roman"/>
          <w:lang w:eastAsia="en-US"/>
        </w:rPr>
      </w:pPr>
      <w:r>
        <w:rPr>
          <w:rFonts w:eastAsia="Times New Roman"/>
          <w:lang w:eastAsia="en-US"/>
        </w:rPr>
        <w:t>“Control temperature: …ºC Emergency temperature: …ºC””.</w:t>
      </w:r>
    </w:p>
    <w:p w14:paraId="6EB61D92" w14:textId="77777777" w:rsidR="008C0FB4" w:rsidRDefault="008C0FB4" w:rsidP="008C0FB4">
      <w:pPr>
        <w:pStyle w:val="SingleTxtG"/>
        <w:rPr>
          <w:lang w:eastAsia="en-US"/>
        </w:rPr>
      </w:pPr>
      <w:r>
        <w:rPr>
          <w:lang w:eastAsia="en-US"/>
        </w:rPr>
        <w:t>5.</w:t>
      </w:r>
      <w:r>
        <w:rPr>
          <w:lang w:eastAsia="en-US"/>
        </w:rPr>
        <w:tab/>
        <w:t>The text in 5.4.1.5.4 should now directly reference the case when the words “TEMPERATURE CONTROLLED” are included into the proper shipping name. The proposed amendment is included in paragraph 15 of this document.</w:t>
      </w:r>
    </w:p>
    <w:p w14:paraId="5B9952B6" w14:textId="77777777" w:rsidR="008C0FB4" w:rsidRDefault="008C0FB4" w:rsidP="008C0FB4">
      <w:pPr>
        <w:pStyle w:val="SingleTxtG"/>
        <w:rPr>
          <w:lang w:eastAsia="en-US"/>
        </w:rPr>
      </w:pPr>
      <w:r>
        <w:rPr>
          <w:lang w:eastAsia="en-US"/>
        </w:rPr>
        <w:t>6.</w:t>
      </w:r>
      <w:r>
        <w:rPr>
          <w:lang w:eastAsia="en-US"/>
        </w:rPr>
        <w:tab/>
        <w:t xml:space="preserve">Additionally, it may be interesting to include in 5.4.1.4.3 a reference to 3.1.2.6, to recall the fact that the proper shipping name of the substance </w:t>
      </w:r>
      <w:r w:rsidR="00EB2D1A">
        <w:rPr>
          <w:lang w:eastAsia="en-US"/>
        </w:rPr>
        <w:t>must</w:t>
      </w:r>
      <w:r>
        <w:rPr>
          <w:lang w:eastAsia="en-US"/>
        </w:rPr>
        <w:t xml:space="preserve"> be modified. 5.4.1 should include all important points to complete the transport document, and unless the user is familiar with the transport of stabilized or stabilized by temperature controlled products, the contents of 3.1.2.6 may be unknown. This reference to 3.1.2.6 could be done by including an additional sub-paragraph under 5.4.1.4.3. The proposed text </w:t>
      </w:r>
      <w:proofErr w:type="gramStart"/>
      <w:r>
        <w:rPr>
          <w:lang w:eastAsia="en-US"/>
        </w:rPr>
        <w:t>takes into account</w:t>
      </w:r>
      <w:proofErr w:type="gramEnd"/>
      <w:r>
        <w:rPr>
          <w:lang w:eastAsia="en-US"/>
        </w:rPr>
        <w:t xml:space="preserve"> the comments received from the other delegations during the December meeting, to make clear that there are several ways to stabilize substances and one of them is by temperature control. The proposed amendment is included in paragraph 16 of this document, as a new paragraph 5.4.1.4.3 (f).</w:t>
      </w:r>
    </w:p>
    <w:p w14:paraId="240706E1" w14:textId="77777777" w:rsidR="008C0FB4" w:rsidRDefault="008C0FB4" w:rsidP="008C0FB4">
      <w:pPr>
        <w:keepNext/>
        <w:keepLines/>
        <w:tabs>
          <w:tab w:val="right" w:pos="851"/>
        </w:tabs>
        <w:kinsoku/>
        <w:overflowPunct/>
        <w:autoSpaceDE/>
        <w:adjustRightInd/>
        <w:snapToGrid/>
        <w:spacing w:before="360" w:after="240" w:line="270" w:lineRule="exact"/>
        <w:ind w:left="1134" w:right="1134" w:hanging="1134"/>
        <w:rPr>
          <w:rFonts w:eastAsia="Times New Roman"/>
          <w:b/>
          <w:sz w:val="24"/>
          <w:lang w:eastAsia="en-US"/>
        </w:rPr>
      </w:pPr>
      <w:r>
        <w:rPr>
          <w:rFonts w:eastAsia="Times New Roman"/>
          <w:b/>
          <w:sz w:val="24"/>
          <w:lang w:eastAsia="en-US"/>
        </w:rPr>
        <w:tab/>
      </w:r>
      <w:r>
        <w:rPr>
          <w:rFonts w:eastAsia="Times New Roman"/>
          <w:b/>
          <w:sz w:val="24"/>
          <w:lang w:eastAsia="en-US"/>
        </w:rPr>
        <w:tab/>
        <w:t>“TEMPERATURE CONTROLLED” in special provisions contained in 7.1.5</w:t>
      </w:r>
    </w:p>
    <w:p w14:paraId="3C9FBBC2" w14:textId="77777777" w:rsidR="008C0FB4" w:rsidRDefault="008C0FB4" w:rsidP="008C0FB4">
      <w:pPr>
        <w:pStyle w:val="SingleTxtG"/>
        <w:rPr>
          <w:lang w:eastAsia="en-US"/>
        </w:rPr>
      </w:pPr>
      <w:r>
        <w:rPr>
          <w:lang w:eastAsia="en-US"/>
        </w:rPr>
        <w:t>7.</w:t>
      </w:r>
      <w:r>
        <w:rPr>
          <w:lang w:eastAsia="en-US"/>
        </w:rPr>
        <w:tab/>
        <w:t>In 7.1.5.3.2 it is indicated to which substances the provisions of 7.1.5 apply. Inter alia, under a) substances for which the proper shipping name as indicated in column 2 of Table A of Chapter 3.2 or according to 3.1.2.6 contains the word “STABILIZED” are named.</w:t>
      </w:r>
    </w:p>
    <w:p w14:paraId="56F2C908" w14:textId="77777777" w:rsidR="008C0FB4" w:rsidRDefault="008C0FB4" w:rsidP="008C0FB4">
      <w:pPr>
        <w:pStyle w:val="SingleTxtG"/>
        <w:rPr>
          <w:lang w:eastAsia="en-US"/>
        </w:rPr>
      </w:pPr>
      <w:r>
        <w:rPr>
          <w:lang w:eastAsia="en-US"/>
        </w:rPr>
        <w:t>8.</w:t>
      </w:r>
      <w:r>
        <w:rPr>
          <w:lang w:eastAsia="en-US"/>
        </w:rPr>
        <w:tab/>
        <w:t>To clearly include here also those substances stabilized by temperature control where in the proper shipping name the words “TEMPERATURE CONTROLLED” appear, this case should be added into the same indent. The proposed amendment is shown in paragraph 17 of this document.</w:t>
      </w:r>
    </w:p>
    <w:p w14:paraId="3B1723A7" w14:textId="77777777" w:rsidR="008C0FB4" w:rsidRPr="008C0FB4" w:rsidRDefault="00AA5C0D" w:rsidP="009264BD">
      <w:pPr>
        <w:keepNext/>
        <w:keepLines/>
        <w:tabs>
          <w:tab w:val="right" w:pos="851"/>
        </w:tabs>
        <w:kinsoku/>
        <w:overflowPunct/>
        <w:autoSpaceDE/>
        <w:adjustRightInd/>
        <w:snapToGrid/>
        <w:spacing w:before="360" w:after="240" w:line="270" w:lineRule="exact"/>
        <w:ind w:left="1134" w:right="1134" w:hanging="1134"/>
        <w:rPr>
          <w:b/>
          <w:bCs/>
          <w:lang w:eastAsia="en-US"/>
        </w:rPr>
      </w:pPr>
      <w:r>
        <w:rPr>
          <w:b/>
          <w:bCs/>
          <w:lang w:eastAsia="en-US"/>
        </w:rPr>
        <w:tab/>
      </w:r>
      <w:r>
        <w:rPr>
          <w:b/>
          <w:bCs/>
          <w:lang w:eastAsia="en-US"/>
        </w:rPr>
        <w:tab/>
      </w:r>
      <w:r w:rsidR="008C0FB4" w:rsidRPr="008C0FB4">
        <w:rPr>
          <w:b/>
          <w:bCs/>
          <w:lang w:eastAsia="en-US"/>
        </w:rPr>
        <w:t>“</w:t>
      </w:r>
      <w:r w:rsidR="008C0FB4" w:rsidRPr="009264BD">
        <w:rPr>
          <w:rFonts w:eastAsia="Times New Roman"/>
          <w:b/>
          <w:sz w:val="24"/>
          <w:lang w:eastAsia="en-US"/>
        </w:rPr>
        <w:t>MOLTEN</w:t>
      </w:r>
      <w:r w:rsidR="008C0FB4" w:rsidRPr="008C0FB4">
        <w:rPr>
          <w:b/>
          <w:bCs/>
          <w:lang w:eastAsia="en-US"/>
        </w:rPr>
        <w:t>” in the transport document (5.4.1)</w:t>
      </w:r>
    </w:p>
    <w:p w14:paraId="01BF9F27" w14:textId="77777777" w:rsidR="008C0FB4" w:rsidRDefault="008C0FB4" w:rsidP="008C0FB4">
      <w:pPr>
        <w:pStyle w:val="SingleTxtG"/>
        <w:rPr>
          <w:lang w:eastAsia="en-US"/>
        </w:rPr>
      </w:pPr>
      <w:r>
        <w:rPr>
          <w:lang w:eastAsia="en-US"/>
        </w:rPr>
        <w:t>9.</w:t>
      </w:r>
      <w:r>
        <w:rPr>
          <w:lang w:eastAsia="en-US"/>
        </w:rPr>
        <w:tab/>
        <w:t xml:space="preserve">As has been mentioned before, 5.4.1 should include all important facts to complete the transport document. Paragraph 3.1.2.5 explains when to include the qualifying word “MOLTEN” into the proper shipping name. It may be interesting to include in 5.4.1.4.3 a reference to 3.1.2.5 to recall the fact when the proper shipping name of the substance </w:t>
      </w:r>
      <w:proofErr w:type="gramStart"/>
      <w:r>
        <w:rPr>
          <w:lang w:eastAsia="en-US"/>
        </w:rPr>
        <w:t>has to</w:t>
      </w:r>
      <w:proofErr w:type="gramEnd"/>
      <w:r>
        <w:rPr>
          <w:lang w:eastAsia="en-US"/>
        </w:rPr>
        <w:t xml:space="preserve"> be modified including the word “MOLTEN”.</w:t>
      </w:r>
    </w:p>
    <w:p w14:paraId="2F495AB5" w14:textId="77777777" w:rsidR="008C0FB4" w:rsidRDefault="008C0FB4">
      <w:pPr>
        <w:suppressAutoHyphens w:val="0"/>
        <w:kinsoku/>
        <w:overflowPunct/>
        <w:autoSpaceDE/>
        <w:autoSpaceDN/>
        <w:adjustRightInd/>
        <w:snapToGrid/>
        <w:spacing w:after="200" w:line="276" w:lineRule="auto"/>
        <w:rPr>
          <w:lang w:eastAsia="en-US"/>
        </w:rPr>
      </w:pPr>
      <w:r>
        <w:rPr>
          <w:lang w:eastAsia="en-US"/>
        </w:rPr>
        <w:br w:type="page"/>
      </w:r>
    </w:p>
    <w:p w14:paraId="2C29ACCC" w14:textId="77777777" w:rsidR="008C0FB4" w:rsidRDefault="008C0FB4" w:rsidP="008C0FB4">
      <w:pPr>
        <w:pStyle w:val="SingleTxtG"/>
        <w:rPr>
          <w:lang w:eastAsia="en-US"/>
        </w:rPr>
      </w:pPr>
      <w:r>
        <w:rPr>
          <w:lang w:eastAsia="en-US"/>
        </w:rPr>
        <w:lastRenderedPageBreak/>
        <w:t>10.</w:t>
      </w:r>
      <w:r>
        <w:rPr>
          <w:lang w:eastAsia="en-US"/>
        </w:rPr>
        <w:tab/>
        <w:t>The present text of 5.4.1.4.3 d) is:</w:t>
      </w:r>
    </w:p>
    <w:p w14:paraId="55D6CCD3" w14:textId="77777777" w:rsidR="008C0FB4" w:rsidRPr="008C0FB4" w:rsidRDefault="008C0FB4" w:rsidP="008C0FB4">
      <w:pPr>
        <w:pStyle w:val="SingleTxtG"/>
        <w:ind w:left="1701"/>
        <w:rPr>
          <w:i/>
          <w:iCs/>
          <w:lang w:eastAsia="en-US"/>
        </w:rPr>
      </w:pPr>
      <w:r w:rsidRPr="008C0FB4">
        <w:rPr>
          <w:i/>
          <w:iCs/>
          <w:lang w:eastAsia="en-US"/>
        </w:rPr>
        <w:t>“5.4.1.4.3</w:t>
      </w:r>
      <w:r w:rsidRPr="008C0FB4">
        <w:rPr>
          <w:i/>
          <w:iCs/>
          <w:lang w:eastAsia="en-US"/>
        </w:rPr>
        <w:tab/>
        <w:t>Information which supplements the proper shipping name in the dangerous goods description</w:t>
      </w:r>
    </w:p>
    <w:p w14:paraId="2C7C95C4" w14:textId="77777777" w:rsidR="008C0FB4" w:rsidRDefault="008C0FB4" w:rsidP="008C0FB4">
      <w:pPr>
        <w:pStyle w:val="SingleTxtG"/>
        <w:ind w:left="1701"/>
        <w:rPr>
          <w:lang w:eastAsia="en-US"/>
        </w:rPr>
      </w:pPr>
      <w:r>
        <w:rPr>
          <w:lang w:eastAsia="en-US"/>
        </w:rPr>
        <w:t>The proper shipping name in the dangerous goods description shall be supplemented as follows:</w:t>
      </w:r>
    </w:p>
    <w:p w14:paraId="428A553F" w14:textId="77777777" w:rsidR="008C0FB4" w:rsidRDefault="008C0FB4" w:rsidP="008C0FB4">
      <w:pPr>
        <w:kinsoku/>
        <w:overflowPunct/>
        <w:autoSpaceDE/>
        <w:adjustRightInd/>
        <w:snapToGrid/>
        <w:spacing w:after="120"/>
        <w:ind w:left="2268" w:right="1134" w:hanging="567"/>
        <w:jc w:val="both"/>
        <w:rPr>
          <w:rFonts w:eastAsia="Times New Roman"/>
          <w:lang w:eastAsia="en-US"/>
        </w:rPr>
      </w:pPr>
      <w:r>
        <w:rPr>
          <w:rFonts w:eastAsia="Times New Roman"/>
          <w:lang w:eastAsia="en-US"/>
        </w:rPr>
        <w:t>…</w:t>
      </w:r>
    </w:p>
    <w:p w14:paraId="4FF531F2" w14:textId="77777777" w:rsidR="008C0FB4" w:rsidRDefault="008C0FB4" w:rsidP="008C0FB4">
      <w:pPr>
        <w:pStyle w:val="SingleTxtG"/>
        <w:ind w:left="1701"/>
        <w:rPr>
          <w:lang w:eastAsia="en-US"/>
        </w:rPr>
      </w:pPr>
      <w:r>
        <w:rPr>
          <w:lang w:eastAsia="en-US"/>
        </w:rPr>
        <w:t>(d)</w:t>
      </w:r>
      <w:r>
        <w:rPr>
          <w:lang w:eastAsia="en-US"/>
        </w:rPr>
        <w:tab/>
        <w:t xml:space="preserve">Elevated temperature substances: If the proper shipping name of a substance which is transported or offered for transport in a liquid state at a temperature equal to or exceeding 100 °C, or in a solid state at a temperature equal to or exceeding 240 °C, does not convey the elevated temperature condition (for example, by using the term </w:t>
      </w:r>
      <w:r>
        <w:rPr>
          <w:b/>
          <w:lang w:eastAsia="en-US"/>
        </w:rPr>
        <w:t>“MOLTEN”</w:t>
      </w:r>
      <w:r>
        <w:rPr>
          <w:lang w:eastAsia="en-US"/>
        </w:rPr>
        <w:t xml:space="preserve"> or </w:t>
      </w:r>
      <w:r>
        <w:rPr>
          <w:b/>
          <w:lang w:eastAsia="en-US"/>
        </w:rPr>
        <w:t>“ELEVATED TEMPERATURE”</w:t>
      </w:r>
      <w:r>
        <w:rPr>
          <w:lang w:eastAsia="en-US"/>
        </w:rPr>
        <w:t xml:space="preserve"> as part of the shipping name), the word </w:t>
      </w:r>
      <w:r>
        <w:rPr>
          <w:b/>
          <w:lang w:eastAsia="en-US"/>
        </w:rPr>
        <w:t>“HOT”</w:t>
      </w:r>
      <w:r>
        <w:rPr>
          <w:lang w:eastAsia="en-US"/>
        </w:rPr>
        <w:t xml:space="preserve"> shall immediately precede the proper shipping name.”.</w:t>
      </w:r>
    </w:p>
    <w:p w14:paraId="0C89E583" w14:textId="77777777" w:rsidR="008C0FB4" w:rsidRDefault="008C0FB4" w:rsidP="008C0FB4">
      <w:pPr>
        <w:pStyle w:val="SingleTxtG"/>
        <w:rPr>
          <w:lang w:eastAsia="en-US"/>
        </w:rPr>
      </w:pPr>
      <w:r>
        <w:rPr>
          <w:lang w:eastAsia="en-US"/>
        </w:rPr>
        <w:t>11.</w:t>
      </w:r>
      <w:r>
        <w:rPr>
          <w:lang w:eastAsia="en-US"/>
        </w:rPr>
        <w:tab/>
        <w:t>The existing paragraph 5.4.1.4.3 (d) explains when to introduce the word “HOT” into the proper shipping name but does not mention when to add “MOLTEN” as defined by 3.1.2.5.</w:t>
      </w:r>
    </w:p>
    <w:p w14:paraId="213688D7" w14:textId="77777777" w:rsidR="008C0FB4" w:rsidRDefault="008C0FB4" w:rsidP="008C0FB4">
      <w:pPr>
        <w:pStyle w:val="SingleTxtG"/>
        <w:rPr>
          <w:lang w:eastAsia="en-US"/>
        </w:rPr>
      </w:pPr>
      <w:r>
        <w:rPr>
          <w:lang w:eastAsia="en-US"/>
        </w:rPr>
        <w:t>12.</w:t>
      </w:r>
      <w:r>
        <w:rPr>
          <w:lang w:eastAsia="en-US"/>
        </w:rPr>
        <w:tab/>
        <w:t xml:space="preserve">The reference to 3.1.2.5 could be done by inserting a new sub-paragraph (d), explaining when to add the Word </w:t>
      </w:r>
      <w:r>
        <w:rPr>
          <w:b/>
          <w:lang w:eastAsia="en-US"/>
        </w:rPr>
        <w:t>“MOLTEN”</w:t>
      </w:r>
      <w:r>
        <w:rPr>
          <w:lang w:eastAsia="en-US"/>
        </w:rPr>
        <w:t xml:space="preserve">, similarly as what has been proposed in paragraph 6 of this </w:t>
      </w:r>
      <w:r>
        <w:rPr>
          <w:color w:val="000000" w:themeColor="text1"/>
          <w:lang w:eastAsia="en-US"/>
        </w:rPr>
        <w:t xml:space="preserve">document for stabilized </w:t>
      </w:r>
      <w:r>
        <w:rPr>
          <w:lang w:eastAsia="en-US"/>
        </w:rPr>
        <w:t>or temperature controlled substances.</w:t>
      </w:r>
    </w:p>
    <w:p w14:paraId="442C6710" w14:textId="77777777" w:rsidR="008C0FB4" w:rsidRDefault="008C0FB4" w:rsidP="008C0FB4">
      <w:pPr>
        <w:pStyle w:val="SingleTxtG"/>
        <w:rPr>
          <w:lang w:eastAsia="en-US"/>
        </w:rPr>
      </w:pPr>
      <w:r>
        <w:rPr>
          <w:lang w:eastAsia="en-US"/>
        </w:rPr>
        <w:t>13.</w:t>
      </w:r>
      <w:r>
        <w:rPr>
          <w:lang w:eastAsia="en-US"/>
        </w:rPr>
        <w:tab/>
        <w:t>The proposed amendment is included in paragraph 16 of this document, as a new paragraph 5.4.1.4.3 (d).</w:t>
      </w:r>
    </w:p>
    <w:p w14:paraId="767AAB2C" w14:textId="77777777" w:rsidR="008C0FB4" w:rsidRDefault="008C0FB4" w:rsidP="008C0FB4">
      <w:pPr>
        <w:pStyle w:val="HChG"/>
        <w:rPr>
          <w:lang w:eastAsia="en-US"/>
        </w:rPr>
      </w:pPr>
      <w:r>
        <w:rPr>
          <w:lang w:val="x-none" w:eastAsia="en-US"/>
        </w:rPr>
        <w:tab/>
      </w:r>
      <w:r>
        <w:rPr>
          <w:lang w:val="x-none" w:eastAsia="en-US"/>
        </w:rPr>
        <w:tab/>
      </w:r>
      <w:r>
        <w:rPr>
          <w:lang w:val="x-none" w:eastAsia="en-US"/>
        </w:rPr>
        <w:tab/>
      </w:r>
      <w:r>
        <w:rPr>
          <w:lang w:eastAsia="en-US"/>
        </w:rPr>
        <w:t>Proposals</w:t>
      </w:r>
    </w:p>
    <w:p w14:paraId="5B05B96F" w14:textId="77777777" w:rsidR="008C0FB4" w:rsidRDefault="008C0FB4" w:rsidP="008C0FB4">
      <w:pPr>
        <w:pStyle w:val="SingleTxtG"/>
        <w:rPr>
          <w:lang w:eastAsia="en-US"/>
        </w:rPr>
      </w:pPr>
      <w:r>
        <w:rPr>
          <w:lang w:eastAsia="en-US"/>
        </w:rPr>
        <w:t xml:space="preserve">14. </w:t>
      </w:r>
      <w:r>
        <w:rPr>
          <w:lang w:eastAsia="en-US"/>
        </w:rPr>
        <w:tab/>
        <w:t xml:space="preserve">All the proposed amendments are shown below (deleted text shown as </w:t>
      </w:r>
      <w:r>
        <w:rPr>
          <w:strike/>
          <w:lang w:eastAsia="en-US"/>
        </w:rPr>
        <w:t>stricken through</w:t>
      </w:r>
      <w:r>
        <w:rPr>
          <w:lang w:eastAsia="en-US"/>
        </w:rPr>
        <w:t>, new text added</w:t>
      </w:r>
      <w:r w:rsidR="00AA5C0D">
        <w:rPr>
          <w:lang w:eastAsia="en-US"/>
        </w:rPr>
        <w:t xml:space="preserve"> as</w:t>
      </w:r>
      <w:r>
        <w:rPr>
          <w:lang w:eastAsia="en-US"/>
        </w:rPr>
        <w:t xml:space="preserve"> </w:t>
      </w:r>
      <w:r>
        <w:rPr>
          <w:u w:val="single"/>
          <w:lang w:eastAsia="en-US"/>
        </w:rPr>
        <w:t>underlined</w:t>
      </w:r>
      <w:r>
        <w:rPr>
          <w:lang w:eastAsia="en-US"/>
        </w:rPr>
        <w:t>).</w:t>
      </w:r>
    </w:p>
    <w:p w14:paraId="05A7BA4F" w14:textId="77777777" w:rsidR="008C0FB4" w:rsidRDefault="008C0FB4" w:rsidP="008C0FB4">
      <w:pPr>
        <w:pStyle w:val="SingleTxtG"/>
        <w:rPr>
          <w:lang w:eastAsia="en-US"/>
        </w:rPr>
      </w:pPr>
      <w:r>
        <w:rPr>
          <w:lang w:eastAsia="en-US"/>
        </w:rPr>
        <w:t>15.</w:t>
      </w:r>
      <w:r>
        <w:rPr>
          <w:lang w:eastAsia="en-US"/>
        </w:rPr>
        <w:tab/>
        <w:t>Spain proposes to amend the text of 5.4.1.5.4 to read as follows:</w:t>
      </w:r>
    </w:p>
    <w:p w14:paraId="0EA31A28" w14:textId="77777777" w:rsidR="008C0FB4" w:rsidRDefault="008C0FB4" w:rsidP="008C0FB4">
      <w:pPr>
        <w:kinsoku/>
        <w:overflowPunct/>
        <w:autoSpaceDE/>
        <w:adjustRightInd/>
        <w:snapToGrid/>
        <w:spacing w:after="120"/>
        <w:ind w:left="1701" w:right="1134"/>
        <w:jc w:val="both"/>
        <w:rPr>
          <w:rFonts w:eastAsia="Times New Roman"/>
          <w:lang w:eastAsia="en-US"/>
        </w:rPr>
      </w:pPr>
      <w:r>
        <w:rPr>
          <w:rFonts w:eastAsia="Times New Roman"/>
          <w:i/>
          <w:lang w:eastAsia="en-US"/>
        </w:rPr>
        <w:t>“5.4.1.5.4</w:t>
      </w:r>
      <w:r>
        <w:rPr>
          <w:rFonts w:eastAsia="Times New Roman"/>
          <w:lang w:eastAsia="en-US"/>
        </w:rPr>
        <w:t xml:space="preserve"> </w:t>
      </w:r>
      <w:r>
        <w:rPr>
          <w:rFonts w:eastAsia="Times New Roman"/>
          <w:lang w:eastAsia="en-US"/>
        </w:rPr>
        <w:tab/>
        <w:t>S</w:t>
      </w:r>
      <w:r>
        <w:rPr>
          <w:rFonts w:eastAsia="Times New Roman"/>
          <w:i/>
          <w:lang w:eastAsia="en-US"/>
        </w:rPr>
        <w:t>ubstances stabilized by temperature control</w:t>
      </w:r>
      <w:r>
        <w:rPr>
          <w:rFonts w:eastAsia="Times New Roman"/>
          <w:lang w:eastAsia="en-US"/>
        </w:rPr>
        <w:t xml:space="preserve"> </w:t>
      </w:r>
    </w:p>
    <w:p w14:paraId="222F1F83" w14:textId="77777777" w:rsidR="008C0FB4" w:rsidRDefault="008C0FB4" w:rsidP="008C0FB4">
      <w:pPr>
        <w:kinsoku/>
        <w:overflowPunct/>
        <w:autoSpaceDE/>
        <w:adjustRightInd/>
        <w:snapToGrid/>
        <w:spacing w:after="120"/>
        <w:ind w:left="1701" w:right="1134"/>
        <w:jc w:val="both"/>
        <w:rPr>
          <w:rFonts w:eastAsia="Times New Roman"/>
          <w:lang w:eastAsia="en-US"/>
        </w:rPr>
      </w:pPr>
      <w:r>
        <w:rPr>
          <w:rFonts w:eastAsia="Times New Roman"/>
          <w:lang w:eastAsia="en-US"/>
        </w:rPr>
        <w:t xml:space="preserve">If the </w:t>
      </w:r>
      <w:proofErr w:type="spellStart"/>
      <w:r>
        <w:rPr>
          <w:rFonts w:eastAsia="Times New Roman"/>
          <w:strike/>
          <w:lang w:eastAsia="en-US"/>
        </w:rPr>
        <w:t>word</w:t>
      </w:r>
      <w:r>
        <w:rPr>
          <w:rFonts w:eastAsia="Times New Roman"/>
          <w:u w:val="single"/>
          <w:lang w:eastAsia="en-US"/>
        </w:rPr>
        <w:t>words</w:t>
      </w:r>
      <w:proofErr w:type="spellEnd"/>
      <w:r>
        <w:rPr>
          <w:rFonts w:eastAsia="Times New Roman"/>
          <w:lang w:eastAsia="en-US"/>
        </w:rPr>
        <w:t xml:space="preserve"> </w:t>
      </w:r>
      <w:r>
        <w:rPr>
          <w:rFonts w:eastAsia="Times New Roman"/>
          <w:strike/>
          <w:lang w:eastAsia="en-US"/>
        </w:rPr>
        <w:t>“</w:t>
      </w:r>
      <w:r>
        <w:rPr>
          <w:rFonts w:eastAsia="Times New Roman"/>
          <w:b/>
          <w:strike/>
          <w:lang w:eastAsia="en-US"/>
        </w:rPr>
        <w:t>STABILIZED</w:t>
      </w:r>
      <w:r>
        <w:rPr>
          <w:rFonts w:eastAsia="Times New Roman"/>
          <w:strike/>
          <w:lang w:eastAsia="en-US"/>
        </w:rPr>
        <w:t>”</w:t>
      </w:r>
      <w:r>
        <w:rPr>
          <w:rFonts w:eastAsia="Times New Roman"/>
          <w:lang w:eastAsia="en-US"/>
        </w:rPr>
        <w:t xml:space="preserve"> “</w:t>
      </w:r>
      <w:r>
        <w:rPr>
          <w:rFonts w:eastAsia="Times New Roman"/>
          <w:b/>
          <w:u w:val="single"/>
          <w:lang w:eastAsia="en-US"/>
        </w:rPr>
        <w:t>TEMPERATURE CONTROLLED</w:t>
      </w:r>
      <w:r>
        <w:rPr>
          <w:rFonts w:eastAsia="Times New Roman"/>
          <w:lang w:eastAsia="en-US"/>
        </w:rPr>
        <w:t xml:space="preserve">” </w:t>
      </w:r>
      <w:proofErr w:type="spellStart"/>
      <w:r>
        <w:rPr>
          <w:rFonts w:eastAsia="Times New Roman"/>
          <w:strike/>
          <w:lang w:eastAsia="en-US"/>
        </w:rPr>
        <w:t>is</w:t>
      </w:r>
      <w:r>
        <w:rPr>
          <w:rFonts w:eastAsia="Times New Roman"/>
          <w:u w:val="single"/>
          <w:lang w:eastAsia="en-US"/>
        </w:rPr>
        <w:t>are</w:t>
      </w:r>
      <w:proofErr w:type="spellEnd"/>
      <w:r>
        <w:rPr>
          <w:rFonts w:eastAsia="Times New Roman"/>
          <w:lang w:eastAsia="en-US"/>
        </w:rPr>
        <w:t xml:space="preserve"> part of the proper shipping name (see also 3.1.2.6), </w:t>
      </w:r>
      <w:r>
        <w:rPr>
          <w:rFonts w:eastAsia="Times New Roman"/>
          <w:strike/>
          <w:lang w:eastAsia="en-US"/>
        </w:rPr>
        <w:t>when stabilization is by means of temperature control,</w:t>
      </w:r>
      <w:r>
        <w:rPr>
          <w:rFonts w:eastAsia="Times New Roman"/>
          <w:lang w:eastAsia="en-US"/>
        </w:rPr>
        <w:t xml:space="preserve"> the control and emergency temperatures (see 7.1.5.3) shall be indicated in the transport document, as follows:</w:t>
      </w:r>
    </w:p>
    <w:p w14:paraId="04D8BA29" w14:textId="77777777" w:rsidR="008C0FB4" w:rsidRDefault="008C0FB4" w:rsidP="008A74FC">
      <w:pPr>
        <w:pStyle w:val="SingleTxtG"/>
        <w:ind w:firstLine="567"/>
        <w:rPr>
          <w:lang w:eastAsia="en-US"/>
        </w:rPr>
      </w:pPr>
      <w:r>
        <w:rPr>
          <w:lang w:eastAsia="en-US"/>
        </w:rPr>
        <w:t>“Control temperature: …ºC Emergency temperature: …ºC””.</w:t>
      </w:r>
    </w:p>
    <w:p w14:paraId="096A7B02" w14:textId="77777777" w:rsidR="008C0FB4" w:rsidRDefault="008C0FB4" w:rsidP="008C0FB4">
      <w:pPr>
        <w:pStyle w:val="SingleTxtG"/>
        <w:rPr>
          <w:lang w:eastAsia="en-US"/>
        </w:rPr>
      </w:pPr>
      <w:r>
        <w:rPr>
          <w:lang w:eastAsia="en-US"/>
        </w:rPr>
        <w:t xml:space="preserve">16. </w:t>
      </w:r>
      <w:r>
        <w:rPr>
          <w:lang w:eastAsia="en-US"/>
        </w:rPr>
        <w:tab/>
        <w:t>Additionally, Spain proposes to include into 5.4.1.4.3 a cross reference to 3.1.2.5 and 3.1.2.6 for modifying the proper shipping:</w:t>
      </w:r>
    </w:p>
    <w:p w14:paraId="54FDB379" w14:textId="77777777" w:rsidR="008C0FB4" w:rsidRPr="008A74FC" w:rsidRDefault="008C0FB4" w:rsidP="008A74FC">
      <w:pPr>
        <w:pStyle w:val="SingleTxtG"/>
        <w:ind w:left="1701"/>
        <w:rPr>
          <w:i/>
          <w:iCs/>
          <w:lang w:eastAsia="en-US"/>
        </w:rPr>
      </w:pPr>
      <w:r w:rsidRPr="008A74FC">
        <w:rPr>
          <w:i/>
          <w:iCs/>
          <w:lang w:eastAsia="en-US"/>
        </w:rPr>
        <w:t>“5.4.1.4.3</w:t>
      </w:r>
      <w:r w:rsidRPr="008A74FC">
        <w:rPr>
          <w:i/>
          <w:iCs/>
          <w:lang w:eastAsia="en-US"/>
        </w:rPr>
        <w:tab/>
        <w:t xml:space="preserve"> Information which supplements the proper shipping name in the dangerous goods description</w:t>
      </w:r>
    </w:p>
    <w:p w14:paraId="23DB0831" w14:textId="77777777" w:rsidR="008C0FB4" w:rsidRDefault="008C0FB4" w:rsidP="008A74FC">
      <w:pPr>
        <w:pStyle w:val="SingleTxtG"/>
        <w:ind w:left="1701"/>
        <w:rPr>
          <w:lang w:eastAsia="en-US"/>
        </w:rPr>
      </w:pPr>
      <w:r>
        <w:rPr>
          <w:lang w:eastAsia="en-US"/>
        </w:rPr>
        <w:t>The proper shipping name in the dangerous goods description shall be supplemented as follows:</w:t>
      </w:r>
    </w:p>
    <w:p w14:paraId="24D61479" w14:textId="77777777" w:rsidR="008C0FB4" w:rsidRDefault="008C0FB4" w:rsidP="008A74FC">
      <w:pPr>
        <w:pStyle w:val="SingleTxtG"/>
        <w:ind w:left="1701"/>
        <w:rPr>
          <w:lang w:eastAsia="en-US"/>
        </w:rPr>
      </w:pPr>
      <w:r>
        <w:rPr>
          <w:lang w:eastAsia="en-US"/>
        </w:rPr>
        <w:t>(a)</w:t>
      </w:r>
      <w:r>
        <w:rPr>
          <w:lang w:eastAsia="en-US"/>
        </w:rPr>
        <w:tab/>
        <w:t>Technical names for “</w:t>
      </w:r>
      <w:proofErr w:type="spellStart"/>
      <w:r>
        <w:rPr>
          <w:lang w:eastAsia="en-US"/>
        </w:rPr>
        <w:t>n.o.s</w:t>
      </w:r>
      <w:proofErr w:type="spellEnd"/>
      <w:r>
        <w:rPr>
          <w:lang w:eastAsia="en-US"/>
        </w:rPr>
        <w:t>.” and other generic descriptions: Proper shipping names that are assigned special provision 274 or 318 in Column 6 of the Dangerous Goods List shall be supplemented with their technical or chemical group names as described in 3.1.2.8;</w:t>
      </w:r>
    </w:p>
    <w:p w14:paraId="43DC232C" w14:textId="77777777" w:rsidR="008C0FB4" w:rsidRDefault="008C0FB4" w:rsidP="008A74FC">
      <w:pPr>
        <w:pStyle w:val="SingleTxtG"/>
        <w:ind w:left="1701"/>
        <w:rPr>
          <w:lang w:eastAsia="en-US"/>
        </w:rPr>
      </w:pPr>
      <w:r>
        <w:rPr>
          <w:lang w:eastAsia="en-US"/>
        </w:rPr>
        <w:t>(b)</w:t>
      </w:r>
      <w:r>
        <w:rPr>
          <w:lang w:eastAsia="en-US"/>
        </w:rPr>
        <w:tab/>
        <w:t xml:space="preserve">Empty uncleaned packagings, bulk containers and tanks: Empty means of containment (including packagings, IBCs, bulk containers, portable tanks, tank-vehicles and tank-wagons) which contain the residue of dangerous goods of classes other than Class 7 shall be described as such by, for example, placing the words </w:t>
      </w:r>
      <w:r>
        <w:rPr>
          <w:spacing w:val="-3"/>
          <w:lang w:eastAsia="en-US"/>
        </w:rPr>
        <w:t>“</w:t>
      </w:r>
      <w:r>
        <w:rPr>
          <w:b/>
          <w:spacing w:val="-3"/>
          <w:lang w:eastAsia="en-US"/>
        </w:rPr>
        <w:t xml:space="preserve">EMPTY </w:t>
      </w:r>
      <w:r>
        <w:rPr>
          <w:b/>
          <w:lang w:eastAsia="en-US"/>
        </w:rPr>
        <w:t>UNCLEANED</w:t>
      </w:r>
      <w:r>
        <w:rPr>
          <w:lang w:eastAsia="en-US"/>
        </w:rPr>
        <w:t>” or “</w:t>
      </w:r>
      <w:r>
        <w:rPr>
          <w:b/>
          <w:lang w:eastAsia="en-US"/>
        </w:rPr>
        <w:t>RESIDUE LAST CONTAINED</w:t>
      </w:r>
      <w:r>
        <w:rPr>
          <w:lang w:eastAsia="en-US"/>
        </w:rPr>
        <w:t>” before or after the dangerous goods description specified in 5.4.1.4.1 (a) to</w:t>
      </w:r>
      <w:r>
        <w:rPr>
          <w:spacing w:val="-12"/>
          <w:lang w:eastAsia="en-US"/>
        </w:rPr>
        <w:t xml:space="preserve"> </w:t>
      </w:r>
      <w:r>
        <w:rPr>
          <w:lang w:eastAsia="en-US"/>
        </w:rPr>
        <w:t>(e);</w:t>
      </w:r>
    </w:p>
    <w:p w14:paraId="6F3E382E" w14:textId="77777777" w:rsidR="008A74FC" w:rsidRDefault="008A74FC">
      <w:pPr>
        <w:suppressAutoHyphens w:val="0"/>
        <w:kinsoku/>
        <w:overflowPunct/>
        <w:autoSpaceDE/>
        <w:autoSpaceDN/>
        <w:adjustRightInd/>
        <w:snapToGrid/>
        <w:spacing w:after="200" w:line="276" w:lineRule="auto"/>
        <w:rPr>
          <w:lang w:eastAsia="en-US"/>
        </w:rPr>
      </w:pPr>
      <w:r>
        <w:rPr>
          <w:lang w:eastAsia="en-US"/>
        </w:rPr>
        <w:br w:type="page"/>
      </w:r>
    </w:p>
    <w:p w14:paraId="40FE3DD0" w14:textId="77777777" w:rsidR="008C0FB4" w:rsidRDefault="008C0FB4" w:rsidP="008C0FB4">
      <w:pPr>
        <w:pStyle w:val="SingleTxtG"/>
        <w:ind w:left="1701"/>
        <w:rPr>
          <w:lang w:eastAsia="en-US"/>
        </w:rPr>
      </w:pPr>
      <w:r>
        <w:rPr>
          <w:lang w:eastAsia="en-US"/>
        </w:rPr>
        <w:lastRenderedPageBreak/>
        <w:t>(c)</w:t>
      </w:r>
      <w:r>
        <w:rPr>
          <w:lang w:eastAsia="en-US"/>
        </w:rPr>
        <w:tab/>
        <w:t>Wastes: For waste dangerous goods (other than radioactive wastes) which are being transported for disposal, or for processing for disposal, the proper shipping name shall be</w:t>
      </w:r>
      <w:r>
        <w:rPr>
          <w:spacing w:val="-6"/>
          <w:lang w:eastAsia="en-US"/>
        </w:rPr>
        <w:t xml:space="preserve"> </w:t>
      </w:r>
      <w:r>
        <w:rPr>
          <w:lang w:eastAsia="en-US"/>
        </w:rPr>
        <w:t>preceded</w:t>
      </w:r>
      <w:r>
        <w:rPr>
          <w:spacing w:val="-5"/>
          <w:lang w:eastAsia="en-US"/>
        </w:rPr>
        <w:t xml:space="preserve"> </w:t>
      </w:r>
      <w:r>
        <w:rPr>
          <w:lang w:eastAsia="en-US"/>
        </w:rPr>
        <w:t>by</w:t>
      </w:r>
      <w:r>
        <w:rPr>
          <w:spacing w:val="-8"/>
          <w:lang w:eastAsia="en-US"/>
        </w:rPr>
        <w:t xml:space="preserve"> </w:t>
      </w:r>
      <w:r>
        <w:rPr>
          <w:lang w:eastAsia="en-US"/>
        </w:rPr>
        <w:t>the</w:t>
      </w:r>
      <w:r>
        <w:rPr>
          <w:spacing w:val="-5"/>
          <w:lang w:eastAsia="en-US"/>
        </w:rPr>
        <w:t xml:space="preserve"> </w:t>
      </w:r>
      <w:r>
        <w:rPr>
          <w:lang w:eastAsia="en-US"/>
        </w:rPr>
        <w:t>word</w:t>
      </w:r>
      <w:r>
        <w:rPr>
          <w:spacing w:val="-5"/>
          <w:lang w:eastAsia="en-US"/>
        </w:rPr>
        <w:t xml:space="preserve"> </w:t>
      </w:r>
      <w:r>
        <w:rPr>
          <w:b/>
          <w:lang w:eastAsia="en-US"/>
        </w:rPr>
        <w:t>“WASTE”</w:t>
      </w:r>
      <w:r>
        <w:rPr>
          <w:lang w:eastAsia="en-US"/>
        </w:rPr>
        <w:t>,</w:t>
      </w:r>
      <w:r>
        <w:rPr>
          <w:spacing w:val="-5"/>
          <w:lang w:eastAsia="en-US"/>
        </w:rPr>
        <w:t xml:space="preserve"> </w:t>
      </w:r>
      <w:r>
        <w:rPr>
          <w:lang w:eastAsia="en-US"/>
        </w:rPr>
        <w:t>unless</w:t>
      </w:r>
      <w:r>
        <w:rPr>
          <w:spacing w:val="-5"/>
          <w:lang w:eastAsia="en-US"/>
        </w:rPr>
        <w:t xml:space="preserve"> </w:t>
      </w:r>
      <w:r>
        <w:rPr>
          <w:lang w:eastAsia="en-US"/>
        </w:rPr>
        <w:t>this</w:t>
      </w:r>
      <w:r>
        <w:rPr>
          <w:spacing w:val="-7"/>
          <w:lang w:eastAsia="en-US"/>
        </w:rPr>
        <w:t xml:space="preserve"> </w:t>
      </w:r>
      <w:r>
        <w:rPr>
          <w:lang w:eastAsia="en-US"/>
        </w:rPr>
        <w:t>is</w:t>
      </w:r>
      <w:r>
        <w:rPr>
          <w:spacing w:val="-8"/>
          <w:lang w:eastAsia="en-US"/>
        </w:rPr>
        <w:t xml:space="preserve"> </w:t>
      </w:r>
      <w:r>
        <w:rPr>
          <w:lang w:eastAsia="en-US"/>
        </w:rPr>
        <w:t>already</w:t>
      </w:r>
      <w:r>
        <w:rPr>
          <w:spacing w:val="-7"/>
          <w:lang w:eastAsia="en-US"/>
        </w:rPr>
        <w:t xml:space="preserve"> </w:t>
      </w:r>
      <w:r>
        <w:rPr>
          <w:lang w:eastAsia="en-US"/>
        </w:rPr>
        <w:t>a</w:t>
      </w:r>
      <w:r>
        <w:rPr>
          <w:spacing w:val="-5"/>
          <w:lang w:eastAsia="en-US"/>
        </w:rPr>
        <w:t xml:space="preserve"> </w:t>
      </w:r>
      <w:r>
        <w:rPr>
          <w:lang w:eastAsia="en-US"/>
        </w:rPr>
        <w:t>part</w:t>
      </w:r>
      <w:r>
        <w:rPr>
          <w:spacing w:val="-4"/>
          <w:lang w:eastAsia="en-US"/>
        </w:rPr>
        <w:t xml:space="preserve"> </w:t>
      </w:r>
      <w:r>
        <w:rPr>
          <w:lang w:eastAsia="en-US"/>
        </w:rPr>
        <w:t>of</w:t>
      </w:r>
      <w:r>
        <w:rPr>
          <w:spacing w:val="-7"/>
          <w:lang w:eastAsia="en-US"/>
        </w:rPr>
        <w:t xml:space="preserve"> </w:t>
      </w:r>
      <w:r>
        <w:rPr>
          <w:lang w:eastAsia="en-US"/>
        </w:rPr>
        <w:t>the</w:t>
      </w:r>
      <w:r>
        <w:rPr>
          <w:spacing w:val="-7"/>
          <w:lang w:eastAsia="en-US"/>
        </w:rPr>
        <w:t xml:space="preserve"> </w:t>
      </w:r>
      <w:r>
        <w:rPr>
          <w:lang w:eastAsia="en-US"/>
        </w:rPr>
        <w:t>proper</w:t>
      </w:r>
      <w:r>
        <w:rPr>
          <w:spacing w:val="-7"/>
          <w:lang w:eastAsia="en-US"/>
        </w:rPr>
        <w:t xml:space="preserve"> </w:t>
      </w:r>
      <w:r>
        <w:rPr>
          <w:lang w:eastAsia="en-US"/>
        </w:rPr>
        <w:t>shipping name;</w:t>
      </w:r>
    </w:p>
    <w:p w14:paraId="74962D33" w14:textId="77777777" w:rsidR="008C0FB4" w:rsidRPr="008C0FB4" w:rsidRDefault="008C0FB4" w:rsidP="008C0FB4">
      <w:pPr>
        <w:pStyle w:val="SingleTxtG"/>
        <w:ind w:left="1701"/>
        <w:rPr>
          <w:u w:val="single"/>
          <w:lang w:eastAsia="en-US"/>
        </w:rPr>
      </w:pPr>
      <w:r w:rsidRPr="008C0FB4">
        <w:rPr>
          <w:u w:val="single"/>
          <w:lang w:eastAsia="en-US"/>
        </w:rPr>
        <w:t>(d)</w:t>
      </w:r>
      <w:r w:rsidRPr="008C0FB4">
        <w:rPr>
          <w:u w:val="single"/>
          <w:lang w:eastAsia="en-US"/>
        </w:rPr>
        <w:tab/>
        <w:t xml:space="preserve">Molten substances: When a substance, which is solid in accordance with the definition in 1.2.1, is offered for transport in the molten state, the qualifying word </w:t>
      </w:r>
      <w:r w:rsidRPr="008C0FB4">
        <w:rPr>
          <w:b/>
          <w:u w:val="single"/>
          <w:lang w:eastAsia="en-US"/>
        </w:rPr>
        <w:t>“MOLTEN”</w:t>
      </w:r>
      <w:r w:rsidRPr="008C0FB4">
        <w:rPr>
          <w:u w:val="single"/>
          <w:lang w:eastAsia="en-US"/>
        </w:rPr>
        <w:t xml:space="preserve"> shall be added as part of the proper shipping name, unless it is already part of the proper shipping name (see 3.1.2.5);</w:t>
      </w:r>
    </w:p>
    <w:p w14:paraId="4050F929" w14:textId="77777777" w:rsidR="008C0FB4" w:rsidRDefault="008C0FB4" w:rsidP="008C0FB4">
      <w:pPr>
        <w:pStyle w:val="SingleTxtG"/>
        <w:ind w:left="1701"/>
        <w:rPr>
          <w:lang w:eastAsia="en-US"/>
        </w:rPr>
      </w:pPr>
      <w:r>
        <w:rPr>
          <w:lang w:eastAsia="en-US"/>
        </w:rPr>
        <w:t>(e)</w:t>
      </w:r>
      <w:r>
        <w:rPr>
          <w:lang w:eastAsia="en-US"/>
        </w:rPr>
        <w:tab/>
      </w:r>
      <w:r>
        <w:rPr>
          <w:strike/>
          <w:lang w:eastAsia="en-US"/>
        </w:rPr>
        <w:t>(d)</w:t>
      </w:r>
      <w:r>
        <w:rPr>
          <w:lang w:eastAsia="en-US"/>
        </w:rPr>
        <w:t>Elevated temperature substances: If the proper shipping name of a substance which is transported or offered for transport in a liquid state at a temperature equal to or exceeding</w:t>
      </w:r>
      <w:r>
        <w:rPr>
          <w:spacing w:val="-10"/>
          <w:lang w:eastAsia="en-US"/>
        </w:rPr>
        <w:t xml:space="preserve"> </w:t>
      </w:r>
      <w:r>
        <w:rPr>
          <w:lang w:eastAsia="en-US"/>
        </w:rPr>
        <w:t>100</w:t>
      </w:r>
      <w:r>
        <w:rPr>
          <w:spacing w:val="-10"/>
          <w:lang w:eastAsia="en-US"/>
        </w:rPr>
        <w:t xml:space="preserve"> </w:t>
      </w:r>
      <w:r>
        <w:rPr>
          <w:lang w:eastAsia="en-US"/>
        </w:rPr>
        <w:t>°C,</w:t>
      </w:r>
      <w:r>
        <w:rPr>
          <w:spacing w:val="-8"/>
          <w:lang w:eastAsia="en-US"/>
        </w:rPr>
        <w:t xml:space="preserve"> </w:t>
      </w:r>
      <w:r>
        <w:rPr>
          <w:lang w:eastAsia="en-US"/>
        </w:rPr>
        <w:t>or</w:t>
      </w:r>
      <w:r>
        <w:rPr>
          <w:spacing w:val="-9"/>
          <w:lang w:eastAsia="en-US"/>
        </w:rPr>
        <w:t xml:space="preserve"> </w:t>
      </w:r>
      <w:r>
        <w:rPr>
          <w:lang w:eastAsia="en-US"/>
        </w:rPr>
        <w:t>in</w:t>
      </w:r>
      <w:r>
        <w:rPr>
          <w:spacing w:val="-10"/>
          <w:lang w:eastAsia="en-US"/>
        </w:rPr>
        <w:t xml:space="preserve"> </w:t>
      </w:r>
      <w:r>
        <w:rPr>
          <w:lang w:eastAsia="en-US"/>
        </w:rPr>
        <w:t>a</w:t>
      </w:r>
      <w:r>
        <w:rPr>
          <w:spacing w:val="-10"/>
          <w:lang w:eastAsia="en-US"/>
        </w:rPr>
        <w:t xml:space="preserve"> </w:t>
      </w:r>
      <w:r>
        <w:rPr>
          <w:lang w:eastAsia="en-US"/>
        </w:rPr>
        <w:t>solid</w:t>
      </w:r>
      <w:r>
        <w:rPr>
          <w:spacing w:val="-10"/>
          <w:lang w:eastAsia="en-US"/>
        </w:rPr>
        <w:t xml:space="preserve"> </w:t>
      </w:r>
      <w:r>
        <w:rPr>
          <w:lang w:eastAsia="en-US"/>
        </w:rPr>
        <w:t>state</w:t>
      </w:r>
      <w:r>
        <w:rPr>
          <w:spacing w:val="-7"/>
          <w:lang w:eastAsia="en-US"/>
        </w:rPr>
        <w:t xml:space="preserve"> </w:t>
      </w:r>
      <w:r>
        <w:rPr>
          <w:lang w:eastAsia="en-US"/>
        </w:rPr>
        <w:t>at</w:t>
      </w:r>
      <w:r>
        <w:rPr>
          <w:spacing w:val="-9"/>
          <w:lang w:eastAsia="en-US"/>
        </w:rPr>
        <w:t xml:space="preserve"> </w:t>
      </w:r>
      <w:r>
        <w:rPr>
          <w:lang w:eastAsia="en-US"/>
        </w:rPr>
        <w:t>a</w:t>
      </w:r>
      <w:r>
        <w:rPr>
          <w:spacing w:val="-9"/>
          <w:lang w:eastAsia="en-US"/>
        </w:rPr>
        <w:t xml:space="preserve"> </w:t>
      </w:r>
      <w:r>
        <w:rPr>
          <w:lang w:eastAsia="en-US"/>
        </w:rPr>
        <w:t>temperature</w:t>
      </w:r>
      <w:r>
        <w:rPr>
          <w:spacing w:val="-10"/>
          <w:lang w:eastAsia="en-US"/>
        </w:rPr>
        <w:t xml:space="preserve"> </w:t>
      </w:r>
      <w:r>
        <w:rPr>
          <w:lang w:eastAsia="en-US"/>
        </w:rPr>
        <w:t>equal</w:t>
      </w:r>
      <w:r>
        <w:rPr>
          <w:spacing w:val="-9"/>
          <w:lang w:eastAsia="en-US"/>
        </w:rPr>
        <w:t xml:space="preserve"> </w:t>
      </w:r>
      <w:r>
        <w:rPr>
          <w:lang w:eastAsia="en-US"/>
        </w:rPr>
        <w:t>to</w:t>
      </w:r>
      <w:r>
        <w:rPr>
          <w:spacing w:val="-10"/>
          <w:lang w:eastAsia="en-US"/>
        </w:rPr>
        <w:t xml:space="preserve"> </w:t>
      </w:r>
      <w:r>
        <w:rPr>
          <w:lang w:eastAsia="en-US"/>
        </w:rPr>
        <w:t>or</w:t>
      </w:r>
      <w:r>
        <w:rPr>
          <w:spacing w:val="-9"/>
          <w:lang w:eastAsia="en-US"/>
        </w:rPr>
        <w:t xml:space="preserve"> </w:t>
      </w:r>
      <w:r>
        <w:rPr>
          <w:lang w:eastAsia="en-US"/>
        </w:rPr>
        <w:t>exceeding</w:t>
      </w:r>
      <w:r>
        <w:rPr>
          <w:spacing w:val="-10"/>
          <w:lang w:eastAsia="en-US"/>
        </w:rPr>
        <w:t xml:space="preserve"> </w:t>
      </w:r>
      <w:r>
        <w:rPr>
          <w:lang w:eastAsia="en-US"/>
        </w:rPr>
        <w:t>240 °C,</w:t>
      </w:r>
      <w:r>
        <w:rPr>
          <w:spacing w:val="-10"/>
          <w:lang w:eastAsia="en-US"/>
        </w:rPr>
        <w:t xml:space="preserve"> </w:t>
      </w:r>
      <w:r>
        <w:rPr>
          <w:lang w:eastAsia="en-US"/>
        </w:rPr>
        <w:t xml:space="preserve">does not convey the elevated temperature condition (for example, by using the term </w:t>
      </w:r>
      <w:r>
        <w:rPr>
          <w:b/>
          <w:lang w:eastAsia="en-US"/>
        </w:rPr>
        <w:t>“MOLTEN”</w:t>
      </w:r>
      <w:r>
        <w:rPr>
          <w:b/>
          <w:spacing w:val="-5"/>
          <w:lang w:eastAsia="en-US"/>
        </w:rPr>
        <w:t xml:space="preserve"> </w:t>
      </w:r>
      <w:r>
        <w:rPr>
          <w:lang w:eastAsia="en-US"/>
        </w:rPr>
        <w:t>or</w:t>
      </w:r>
      <w:r>
        <w:rPr>
          <w:spacing w:val="-3"/>
          <w:lang w:eastAsia="en-US"/>
        </w:rPr>
        <w:t xml:space="preserve"> </w:t>
      </w:r>
      <w:r>
        <w:rPr>
          <w:b/>
          <w:lang w:eastAsia="en-US"/>
        </w:rPr>
        <w:t>“ELEVATED</w:t>
      </w:r>
      <w:r>
        <w:rPr>
          <w:b/>
          <w:spacing w:val="-5"/>
          <w:lang w:eastAsia="en-US"/>
        </w:rPr>
        <w:t xml:space="preserve"> </w:t>
      </w:r>
      <w:r>
        <w:rPr>
          <w:b/>
          <w:lang w:eastAsia="en-US"/>
        </w:rPr>
        <w:t>TEMPERATURE”</w:t>
      </w:r>
      <w:r>
        <w:rPr>
          <w:b/>
          <w:spacing w:val="-5"/>
          <w:lang w:eastAsia="en-US"/>
        </w:rPr>
        <w:t xml:space="preserve"> </w:t>
      </w:r>
      <w:r>
        <w:rPr>
          <w:lang w:eastAsia="en-US"/>
        </w:rPr>
        <w:t>as</w:t>
      </w:r>
      <w:r>
        <w:rPr>
          <w:spacing w:val="-3"/>
          <w:lang w:eastAsia="en-US"/>
        </w:rPr>
        <w:t xml:space="preserve"> </w:t>
      </w:r>
      <w:r>
        <w:rPr>
          <w:lang w:eastAsia="en-US"/>
        </w:rPr>
        <w:t>part</w:t>
      </w:r>
      <w:r>
        <w:rPr>
          <w:spacing w:val="-5"/>
          <w:lang w:eastAsia="en-US"/>
        </w:rPr>
        <w:t xml:space="preserve"> </w:t>
      </w:r>
      <w:r>
        <w:rPr>
          <w:lang w:eastAsia="en-US"/>
        </w:rPr>
        <w:t>of</w:t>
      </w:r>
      <w:r>
        <w:rPr>
          <w:spacing w:val="-6"/>
          <w:lang w:eastAsia="en-US"/>
        </w:rPr>
        <w:t xml:space="preserve"> </w:t>
      </w:r>
      <w:r>
        <w:rPr>
          <w:lang w:eastAsia="en-US"/>
        </w:rPr>
        <w:t>the</w:t>
      </w:r>
      <w:r>
        <w:rPr>
          <w:spacing w:val="-3"/>
          <w:lang w:eastAsia="en-US"/>
        </w:rPr>
        <w:t xml:space="preserve"> </w:t>
      </w:r>
      <w:r>
        <w:rPr>
          <w:lang w:eastAsia="en-US"/>
        </w:rPr>
        <w:t>shipping</w:t>
      </w:r>
      <w:r>
        <w:rPr>
          <w:spacing w:val="-6"/>
          <w:lang w:eastAsia="en-US"/>
        </w:rPr>
        <w:t xml:space="preserve"> </w:t>
      </w:r>
      <w:r>
        <w:rPr>
          <w:lang w:eastAsia="en-US"/>
        </w:rPr>
        <w:t>name),</w:t>
      </w:r>
      <w:r>
        <w:rPr>
          <w:spacing w:val="-7"/>
          <w:lang w:eastAsia="en-US"/>
        </w:rPr>
        <w:t xml:space="preserve"> </w:t>
      </w:r>
      <w:r>
        <w:rPr>
          <w:lang w:eastAsia="en-US"/>
        </w:rPr>
        <w:t xml:space="preserve">the word </w:t>
      </w:r>
      <w:r>
        <w:rPr>
          <w:b/>
          <w:lang w:eastAsia="en-US"/>
        </w:rPr>
        <w:t xml:space="preserve">“HOT” </w:t>
      </w:r>
      <w:r>
        <w:rPr>
          <w:lang w:eastAsia="en-US"/>
        </w:rPr>
        <w:t>shall immediately precede the proper shipping</w:t>
      </w:r>
      <w:r>
        <w:rPr>
          <w:spacing w:val="-13"/>
          <w:lang w:eastAsia="en-US"/>
        </w:rPr>
        <w:t xml:space="preserve"> </w:t>
      </w:r>
      <w:r>
        <w:rPr>
          <w:lang w:eastAsia="en-US"/>
        </w:rPr>
        <w:t>name.”</w:t>
      </w:r>
      <w:r w:rsidR="002814CA">
        <w:rPr>
          <w:lang w:eastAsia="en-US"/>
        </w:rPr>
        <w:t>;</w:t>
      </w:r>
    </w:p>
    <w:p w14:paraId="7D7368A4" w14:textId="77777777" w:rsidR="008C0FB4" w:rsidRPr="008C0FB4" w:rsidRDefault="008C0FB4" w:rsidP="008C0FB4">
      <w:pPr>
        <w:pStyle w:val="SingleTxtG"/>
        <w:ind w:left="1701"/>
        <w:rPr>
          <w:u w:val="single"/>
          <w:lang w:eastAsia="en-US"/>
        </w:rPr>
      </w:pPr>
      <w:r w:rsidRPr="008C0FB4">
        <w:rPr>
          <w:u w:val="single"/>
          <w:lang w:eastAsia="en-US"/>
        </w:rPr>
        <w:t>(f)</w:t>
      </w:r>
      <w:r w:rsidRPr="008C0FB4">
        <w:rPr>
          <w:u w:val="single"/>
          <w:lang w:eastAsia="en-US"/>
        </w:rPr>
        <w:tab/>
        <w:t>Stabilized and temperature controlled substances: Unless already part of the proper shipping name the word “</w:t>
      </w:r>
      <w:r w:rsidRPr="008C0FB4">
        <w:rPr>
          <w:b/>
          <w:u w:val="single"/>
          <w:lang w:eastAsia="en-US"/>
        </w:rPr>
        <w:t>STABILIZED”</w:t>
      </w:r>
      <w:r w:rsidRPr="008C0FB4">
        <w:rPr>
          <w:u w:val="single"/>
          <w:lang w:eastAsia="en-US"/>
        </w:rPr>
        <w:t xml:space="preserve"> shall be added to the proper shipping name if stabilization is used and the words </w:t>
      </w:r>
      <w:r w:rsidRPr="008C0FB4">
        <w:rPr>
          <w:b/>
          <w:u w:val="single"/>
          <w:lang w:eastAsia="en-US"/>
        </w:rPr>
        <w:t>“TEMPERATURE CONTROLLED”</w:t>
      </w:r>
      <w:r w:rsidRPr="008C0FB4">
        <w:rPr>
          <w:u w:val="single"/>
          <w:lang w:eastAsia="en-US"/>
        </w:rPr>
        <w:t xml:space="preserve"> shall be added to the proper shipping name if stabilization is by temperature control or a combination of chemical stabilization and temperature control (see 3.1.2.6).</w:t>
      </w:r>
    </w:p>
    <w:p w14:paraId="4F82581C" w14:textId="77777777" w:rsidR="008C0FB4" w:rsidRDefault="008C0FB4" w:rsidP="008C0FB4">
      <w:pPr>
        <w:pStyle w:val="SingleTxtG"/>
        <w:rPr>
          <w:lang w:eastAsia="en-US"/>
        </w:rPr>
      </w:pPr>
      <w:r>
        <w:rPr>
          <w:lang w:eastAsia="en-US"/>
        </w:rPr>
        <w:t>17.</w:t>
      </w:r>
      <w:r>
        <w:rPr>
          <w:lang w:eastAsia="en-US"/>
        </w:rPr>
        <w:tab/>
        <w:t>Spain proposes to amend the text of 7.1.5.3.2 to read as follows:</w:t>
      </w:r>
    </w:p>
    <w:p w14:paraId="567AFFD0" w14:textId="77777777" w:rsidR="008C0FB4" w:rsidRDefault="008C0FB4" w:rsidP="008C0FB4">
      <w:pPr>
        <w:pStyle w:val="SingleTxtG"/>
        <w:ind w:firstLine="567"/>
        <w:rPr>
          <w:lang w:eastAsia="en-US"/>
        </w:rPr>
      </w:pPr>
      <w:r>
        <w:rPr>
          <w:lang w:eastAsia="en-US"/>
        </w:rPr>
        <w:t xml:space="preserve">“These provisions also apply to the carriage of substances for which: </w:t>
      </w:r>
    </w:p>
    <w:p w14:paraId="47B4C001" w14:textId="77777777" w:rsidR="008C0FB4" w:rsidRDefault="008C0FB4" w:rsidP="008C0FB4">
      <w:pPr>
        <w:pStyle w:val="SingleTxtG"/>
        <w:ind w:left="1701"/>
        <w:rPr>
          <w:lang w:eastAsia="en-US"/>
        </w:rPr>
      </w:pPr>
      <w:r>
        <w:rPr>
          <w:lang w:eastAsia="en-US"/>
        </w:rPr>
        <w:t>(a)</w:t>
      </w:r>
      <w:r>
        <w:rPr>
          <w:lang w:eastAsia="en-US"/>
        </w:rPr>
        <w:tab/>
        <w:t xml:space="preserve">The proper shipping name as indicated in column 2 of the Dangerous Goods List of Chapter 3.2 or according to 3.1.2.6 contains the </w:t>
      </w:r>
      <w:r>
        <w:rPr>
          <w:strike/>
          <w:lang w:eastAsia="en-US"/>
        </w:rPr>
        <w:t>word</w:t>
      </w:r>
      <w:r>
        <w:rPr>
          <w:lang w:eastAsia="en-US"/>
        </w:rPr>
        <w:t xml:space="preserve"> </w:t>
      </w:r>
      <w:r>
        <w:rPr>
          <w:u w:val="single"/>
          <w:lang w:eastAsia="en-US"/>
        </w:rPr>
        <w:t>word</w:t>
      </w:r>
      <w:r w:rsidR="002814CA">
        <w:rPr>
          <w:u w:val="single"/>
          <w:lang w:eastAsia="en-US"/>
        </w:rPr>
        <w:t>(</w:t>
      </w:r>
      <w:r>
        <w:rPr>
          <w:u w:val="single"/>
          <w:lang w:eastAsia="en-US"/>
        </w:rPr>
        <w:t>s</w:t>
      </w:r>
      <w:r w:rsidR="002814CA">
        <w:rPr>
          <w:u w:val="single"/>
          <w:lang w:eastAsia="en-US"/>
        </w:rPr>
        <w:t>)</w:t>
      </w:r>
      <w:r>
        <w:rPr>
          <w:lang w:eastAsia="en-US"/>
        </w:rPr>
        <w:t xml:space="preserve"> </w:t>
      </w:r>
      <w:r>
        <w:rPr>
          <w:b/>
          <w:lang w:eastAsia="en-US"/>
        </w:rPr>
        <w:t>“STABILIZED</w:t>
      </w:r>
      <w:r>
        <w:rPr>
          <w:lang w:eastAsia="en-US"/>
        </w:rPr>
        <w:t xml:space="preserve">” </w:t>
      </w:r>
      <w:r>
        <w:rPr>
          <w:u w:val="single"/>
          <w:lang w:eastAsia="en-US"/>
        </w:rPr>
        <w:t xml:space="preserve">or </w:t>
      </w:r>
      <w:r>
        <w:rPr>
          <w:b/>
          <w:u w:val="single"/>
          <w:lang w:eastAsia="en-US"/>
        </w:rPr>
        <w:t>“TEMPERATURE CONTROLLED”</w:t>
      </w:r>
      <w:r>
        <w:rPr>
          <w:lang w:eastAsia="en-US"/>
        </w:rPr>
        <w:t>; and</w:t>
      </w:r>
    </w:p>
    <w:p w14:paraId="7C36C059" w14:textId="77777777" w:rsidR="008C0FB4" w:rsidRDefault="008C0FB4" w:rsidP="008C0FB4">
      <w:pPr>
        <w:pStyle w:val="SingleTxtG"/>
        <w:ind w:firstLine="567"/>
        <w:rPr>
          <w:lang w:eastAsia="en-US"/>
        </w:rPr>
      </w:pPr>
      <w:r>
        <w:rPr>
          <w:lang w:eastAsia="en-US"/>
        </w:rPr>
        <w:t>(b)</w:t>
      </w:r>
      <w:r>
        <w:rPr>
          <w:lang w:eastAsia="en-US"/>
        </w:rPr>
        <w:tab/>
        <w:t>The SADT….”</w:t>
      </w:r>
    </w:p>
    <w:p w14:paraId="5B7E1C4D" w14:textId="77777777" w:rsidR="008C0FB4" w:rsidRDefault="008C0FB4" w:rsidP="008C0FB4">
      <w:pPr>
        <w:kinsoku/>
        <w:overflowPunct/>
        <w:autoSpaceDE/>
        <w:adjustRightInd/>
        <w:snapToGrid/>
        <w:spacing w:before="240"/>
        <w:jc w:val="center"/>
        <w:rPr>
          <w:rFonts w:eastAsia="Times New Roman"/>
          <w:u w:val="single"/>
          <w:lang w:eastAsia="en-US"/>
        </w:rPr>
      </w:pPr>
      <w:r>
        <w:rPr>
          <w:rFonts w:eastAsia="Times New Roman"/>
          <w:u w:val="single"/>
          <w:lang w:eastAsia="en-US"/>
        </w:rPr>
        <w:tab/>
      </w:r>
      <w:r>
        <w:rPr>
          <w:rFonts w:eastAsia="Times New Roman"/>
          <w:u w:val="single"/>
          <w:lang w:eastAsia="en-US"/>
        </w:rPr>
        <w:tab/>
      </w:r>
      <w:r>
        <w:rPr>
          <w:rFonts w:eastAsia="Times New Roman"/>
          <w:u w:val="single"/>
          <w:lang w:eastAsia="en-US"/>
        </w:rPr>
        <w:tab/>
      </w:r>
    </w:p>
    <w:sectPr w:rsidR="008C0FB4" w:rsidSect="008C0FB4">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75E75" w14:textId="77777777" w:rsidR="00A1759E" w:rsidRPr="00C47B2E" w:rsidRDefault="00A1759E" w:rsidP="00C47B2E">
      <w:pPr>
        <w:pStyle w:val="Footer"/>
      </w:pPr>
    </w:p>
  </w:endnote>
  <w:endnote w:type="continuationSeparator" w:id="0">
    <w:p w14:paraId="6701A4C8" w14:textId="77777777" w:rsidR="00A1759E" w:rsidRPr="00C47B2E" w:rsidRDefault="00A1759E" w:rsidP="00C47B2E">
      <w:pPr>
        <w:pStyle w:val="Footer"/>
      </w:pPr>
    </w:p>
  </w:endnote>
  <w:endnote w:type="continuationNotice" w:id="1">
    <w:p w14:paraId="495CEF1B" w14:textId="77777777" w:rsidR="00A1759E" w:rsidRPr="00C47B2E" w:rsidRDefault="00A1759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27EC9" w14:textId="77777777" w:rsidR="00A1759E" w:rsidRPr="009B34F6" w:rsidRDefault="00A1759E" w:rsidP="009B34F6">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1640" w14:textId="77777777" w:rsidR="00A1759E" w:rsidRPr="009B34F6" w:rsidRDefault="00A1759E" w:rsidP="009B34F6">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91881" w14:textId="77777777" w:rsidR="00427E1C" w:rsidRDefault="00427E1C">
    <w:pPr>
      <w:pStyle w:val="Footer"/>
    </w:pPr>
    <w:r>
      <w:rPr>
        <w:noProof/>
        <w:lang w:val="fr-CH" w:eastAsia="fr-CH"/>
      </w:rPr>
      <w:drawing>
        <wp:anchor distT="0" distB="0" distL="114300" distR="114300" simplePos="0" relativeHeight="251659264" behindDoc="0" locked="1" layoutInCell="1" allowOverlap="1" wp14:anchorId="4E5311D5" wp14:editId="63DFFF41">
          <wp:simplePos x="0" y="0"/>
          <wp:positionH relativeFrom="margin">
            <wp:posOffset>5152390</wp:posOffset>
          </wp:positionH>
          <wp:positionV relativeFrom="margin">
            <wp:posOffset>9252585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3401A" w14:textId="77777777" w:rsidR="00A1759E" w:rsidRPr="00C47B2E" w:rsidRDefault="00A1759E" w:rsidP="00C47B2E">
      <w:pPr>
        <w:tabs>
          <w:tab w:val="right" w:pos="2155"/>
        </w:tabs>
        <w:spacing w:after="80" w:line="240" w:lineRule="auto"/>
        <w:ind w:left="680"/>
      </w:pPr>
      <w:r>
        <w:rPr>
          <w:u w:val="single"/>
        </w:rPr>
        <w:tab/>
      </w:r>
    </w:p>
  </w:footnote>
  <w:footnote w:type="continuationSeparator" w:id="0">
    <w:p w14:paraId="4FE671AA" w14:textId="77777777" w:rsidR="00A1759E" w:rsidRPr="00C47B2E" w:rsidRDefault="00A1759E" w:rsidP="005E716E">
      <w:pPr>
        <w:tabs>
          <w:tab w:val="right" w:pos="2155"/>
        </w:tabs>
        <w:spacing w:after="80" w:line="240" w:lineRule="auto"/>
        <w:ind w:left="680"/>
      </w:pPr>
      <w:r>
        <w:rPr>
          <w:u w:val="single"/>
        </w:rPr>
        <w:tab/>
      </w:r>
    </w:p>
  </w:footnote>
  <w:footnote w:type="continuationNotice" w:id="1">
    <w:p w14:paraId="53678EA5" w14:textId="77777777" w:rsidR="00A1759E" w:rsidRPr="00C47B2E" w:rsidRDefault="00A1759E" w:rsidP="00C47B2E">
      <w:pPr>
        <w:pStyle w:val="Footer"/>
      </w:pPr>
    </w:p>
  </w:footnote>
  <w:footnote w:id="2">
    <w:p w14:paraId="23504984" w14:textId="77777777" w:rsidR="008C0FB4" w:rsidRPr="008C0FB4" w:rsidRDefault="008C0FB4" w:rsidP="008C0FB4">
      <w:pPr>
        <w:pStyle w:val="FootnoteText"/>
        <w:tabs>
          <w:tab w:val="left" w:pos="1418"/>
        </w:tabs>
        <w:ind w:firstLine="0"/>
        <w:rPr>
          <w:lang w:val="fr-CH"/>
        </w:rPr>
      </w:pPr>
      <w:r>
        <w:rPr>
          <w:rStyle w:val="FootnoteReference"/>
        </w:rPr>
        <w:footnoteRef/>
      </w:r>
      <w:r>
        <w:t xml:space="preserve">  </w:t>
      </w:r>
      <w:r>
        <w:tab/>
      </w:r>
      <w:r w:rsidRPr="00493B59">
        <w:rPr>
          <w:lang w:val="en-US"/>
        </w:rPr>
        <w:t xml:space="preserve">2020 (A/74/6 (Sect.20) and Supplementary, </w:t>
      </w:r>
      <w:proofErr w:type="spellStart"/>
      <w:r w:rsidRPr="00493B59">
        <w:rPr>
          <w:lang w:val="en-US"/>
        </w:rPr>
        <w:t>Subprogramme</w:t>
      </w:r>
      <w:proofErr w:type="spellEnd"/>
      <w:r w:rsidRPr="00493B59">
        <w:rPr>
          <w:lang w:val="en-US"/>
        </w:rPr>
        <w:t xml:space="preserv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64ACE" w14:textId="77777777" w:rsidR="00A1759E" w:rsidRPr="008C0FB4" w:rsidRDefault="008C0FB4" w:rsidP="009B34F6">
    <w:pPr>
      <w:pStyle w:val="Header"/>
      <w:rPr>
        <w:lang w:val="fr-CH"/>
      </w:rPr>
    </w:pPr>
    <w:r>
      <w:rPr>
        <w:lang w:val="fr-CH"/>
      </w:rPr>
      <w:t>ST/SG/AC.10/C.3/2020/15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D07DB" w14:textId="77777777" w:rsidR="00A1759E" w:rsidRPr="008C0FB4" w:rsidRDefault="008C0FB4" w:rsidP="009B34F6">
    <w:pPr>
      <w:pStyle w:val="Header"/>
      <w:jc w:val="right"/>
      <w:rPr>
        <w:lang w:val="fr-CH"/>
      </w:rPr>
    </w:pPr>
    <w:r w:rsidRPr="008C0FB4">
      <w:rPr>
        <w:lang w:val="fr-CH"/>
      </w:rPr>
      <w:t>ST/SG/AC.10/C.3/2020/15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059D1" w14:textId="77777777" w:rsidR="008C0FB4" w:rsidRDefault="008C0FB4" w:rsidP="008C0FB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2295092"/>
    <w:multiLevelType w:val="hybridMultilevel"/>
    <w:tmpl w:val="02FE0612"/>
    <w:lvl w:ilvl="0" w:tplc="FFD66326">
      <w:start w:val="1"/>
      <w:numFmt w:val="bullet"/>
      <w:lvlText w:val="-"/>
      <w:lvlJc w:val="left"/>
      <w:pPr>
        <w:ind w:left="1494" w:hanging="360"/>
      </w:pPr>
      <w:rPr>
        <w:rFonts w:ascii="Times New Roman" w:eastAsia="Malgun Gothic" w:hAnsi="Times New Roman" w:cs="Times New Roman" w:hint="default"/>
      </w:rPr>
    </w:lvl>
    <w:lvl w:ilvl="1" w:tplc="04090003" w:tentative="1">
      <w:start w:val="1"/>
      <w:numFmt w:val="bullet"/>
      <w:lvlText w:val=""/>
      <w:lvlJc w:val="left"/>
      <w:pPr>
        <w:ind w:left="1934" w:hanging="400"/>
      </w:pPr>
      <w:rPr>
        <w:rFonts w:ascii="Wingdings" w:hAnsi="Wingdings" w:hint="default"/>
      </w:rPr>
    </w:lvl>
    <w:lvl w:ilvl="2" w:tplc="04090005" w:tentative="1">
      <w:start w:val="1"/>
      <w:numFmt w:val="bullet"/>
      <w:lvlText w:val=""/>
      <w:lvlJc w:val="left"/>
      <w:pPr>
        <w:ind w:left="2334" w:hanging="400"/>
      </w:pPr>
      <w:rPr>
        <w:rFonts w:ascii="Wingdings" w:hAnsi="Wingdings" w:hint="default"/>
      </w:rPr>
    </w:lvl>
    <w:lvl w:ilvl="3" w:tplc="04090001" w:tentative="1">
      <w:start w:val="1"/>
      <w:numFmt w:val="bullet"/>
      <w:lvlText w:val=""/>
      <w:lvlJc w:val="left"/>
      <w:pPr>
        <w:ind w:left="2734" w:hanging="400"/>
      </w:pPr>
      <w:rPr>
        <w:rFonts w:ascii="Wingdings" w:hAnsi="Wingdings" w:hint="default"/>
      </w:rPr>
    </w:lvl>
    <w:lvl w:ilvl="4" w:tplc="04090003" w:tentative="1">
      <w:start w:val="1"/>
      <w:numFmt w:val="bullet"/>
      <w:lvlText w:val=""/>
      <w:lvlJc w:val="left"/>
      <w:pPr>
        <w:ind w:left="3134" w:hanging="400"/>
      </w:pPr>
      <w:rPr>
        <w:rFonts w:ascii="Wingdings" w:hAnsi="Wingdings" w:hint="default"/>
      </w:rPr>
    </w:lvl>
    <w:lvl w:ilvl="5" w:tplc="04090005" w:tentative="1">
      <w:start w:val="1"/>
      <w:numFmt w:val="bullet"/>
      <w:lvlText w:val=""/>
      <w:lvlJc w:val="left"/>
      <w:pPr>
        <w:ind w:left="3534" w:hanging="400"/>
      </w:pPr>
      <w:rPr>
        <w:rFonts w:ascii="Wingdings" w:hAnsi="Wingdings" w:hint="default"/>
      </w:rPr>
    </w:lvl>
    <w:lvl w:ilvl="6" w:tplc="04090001" w:tentative="1">
      <w:start w:val="1"/>
      <w:numFmt w:val="bullet"/>
      <w:lvlText w:val=""/>
      <w:lvlJc w:val="left"/>
      <w:pPr>
        <w:ind w:left="3934" w:hanging="400"/>
      </w:pPr>
      <w:rPr>
        <w:rFonts w:ascii="Wingdings" w:hAnsi="Wingdings" w:hint="default"/>
      </w:rPr>
    </w:lvl>
    <w:lvl w:ilvl="7" w:tplc="04090003" w:tentative="1">
      <w:start w:val="1"/>
      <w:numFmt w:val="bullet"/>
      <w:lvlText w:val=""/>
      <w:lvlJc w:val="left"/>
      <w:pPr>
        <w:ind w:left="4334" w:hanging="400"/>
      </w:pPr>
      <w:rPr>
        <w:rFonts w:ascii="Wingdings" w:hAnsi="Wingdings" w:hint="default"/>
      </w:rPr>
    </w:lvl>
    <w:lvl w:ilvl="8" w:tplc="04090005" w:tentative="1">
      <w:start w:val="1"/>
      <w:numFmt w:val="bullet"/>
      <w:lvlText w:val=""/>
      <w:lvlJc w:val="left"/>
      <w:pPr>
        <w:ind w:left="4734" w:hanging="400"/>
      </w:pPr>
      <w:rPr>
        <w:rFonts w:ascii="Wingdings" w:hAnsi="Wingdings" w:hint="default"/>
      </w:rPr>
    </w:lvl>
  </w:abstractNum>
  <w:abstractNum w:abstractNumId="4" w15:restartNumberingAfterBreak="0">
    <w:nsid w:val="157306B4"/>
    <w:multiLevelType w:val="hybridMultilevel"/>
    <w:tmpl w:val="AC68C532"/>
    <w:lvl w:ilvl="0" w:tplc="0C0A0001">
      <w:start w:val="1"/>
      <w:numFmt w:val="bullet"/>
      <w:lvlText w:val=""/>
      <w:lvlJc w:val="left"/>
      <w:pPr>
        <w:ind w:left="2214" w:hanging="360"/>
      </w:pPr>
      <w:rPr>
        <w:rFonts w:ascii="Symbol" w:hAnsi="Symbol" w:hint="default"/>
      </w:rPr>
    </w:lvl>
    <w:lvl w:ilvl="1" w:tplc="0C0A0003">
      <w:start w:val="1"/>
      <w:numFmt w:val="bullet"/>
      <w:lvlText w:val="o"/>
      <w:lvlJc w:val="left"/>
      <w:pPr>
        <w:ind w:left="2934" w:hanging="360"/>
      </w:pPr>
      <w:rPr>
        <w:rFonts w:ascii="Courier New" w:hAnsi="Courier New" w:cs="Courier New" w:hint="default"/>
      </w:rPr>
    </w:lvl>
    <w:lvl w:ilvl="2" w:tplc="0C0A0005">
      <w:start w:val="1"/>
      <w:numFmt w:val="bullet"/>
      <w:lvlText w:val=""/>
      <w:lvlJc w:val="left"/>
      <w:pPr>
        <w:ind w:left="3654" w:hanging="360"/>
      </w:pPr>
      <w:rPr>
        <w:rFonts w:ascii="Wingdings" w:hAnsi="Wingdings" w:hint="default"/>
      </w:rPr>
    </w:lvl>
    <w:lvl w:ilvl="3" w:tplc="0C0A0001">
      <w:start w:val="1"/>
      <w:numFmt w:val="bullet"/>
      <w:lvlText w:val=""/>
      <w:lvlJc w:val="left"/>
      <w:pPr>
        <w:ind w:left="4374" w:hanging="360"/>
      </w:pPr>
      <w:rPr>
        <w:rFonts w:ascii="Symbol" w:hAnsi="Symbol" w:hint="default"/>
      </w:rPr>
    </w:lvl>
    <w:lvl w:ilvl="4" w:tplc="0C0A0003">
      <w:start w:val="1"/>
      <w:numFmt w:val="bullet"/>
      <w:lvlText w:val="o"/>
      <w:lvlJc w:val="left"/>
      <w:pPr>
        <w:ind w:left="5094" w:hanging="360"/>
      </w:pPr>
      <w:rPr>
        <w:rFonts w:ascii="Courier New" w:hAnsi="Courier New" w:cs="Courier New" w:hint="default"/>
      </w:rPr>
    </w:lvl>
    <w:lvl w:ilvl="5" w:tplc="0C0A0005">
      <w:start w:val="1"/>
      <w:numFmt w:val="bullet"/>
      <w:lvlText w:val=""/>
      <w:lvlJc w:val="left"/>
      <w:pPr>
        <w:ind w:left="5814" w:hanging="360"/>
      </w:pPr>
      <w:rPr>
        <w:rFonts w:ascii="Wingdings" w:hAnsi="Wingdings" w:hint="default"/>
      </w:rPr>
    </w:lvl>
    <w:lvl w:ilvl="6" w:tplc="0C0A0001">
      <w:start w:val="1"/>
      <w:numFmt w:val="bullet"/>
      <w:lvlText w:val=""/>
      <w:lvlJc w:val="left"/>
      <w:pPr>
        <w:ind w:left="6534" w:hanging="360"/>
      </w:pPr>
      <w:rPr>
        <w:rFonts w:ascii="Symbol" w:hAnsi="Symbol" w:hint="default"/>
      </w:rPr>
    </w:lvl>
    <w:lvl w:ilvl="7" w:tplc="0C0A0003">
      <w:start w:val="1"/>
      <w:numFmt w:val="bullet"/>
      <w:lvlText w:val="o"/>
      <w:lvlJc w:val="left"/>
      <w:pPr>
        <w:ind w:left="7254" w:hanging="360"/>
      </w:pPr>
      <w:rPr>
        <w:rFonts w:ascii="Courier New" w:hAnsi="Courier New" w:cs="Courier New" w:hint="default"/>
      </w:rPr>
    </w:lvl>
    <w:lvl w:ilvl="8" w:tplc="0C0A0005">
      <w:start w:val="1"/>
      <w:numFmt w:val="bullet"/>
      <w:lvlText w:val=""/>
      <w:lvlJc w:val="left"/>
      <w:pPr>
        <w:ind w:left="7974" w:hanging="360"/>
      </w:pPr>
      <w:rPr>
        <w:rFonts w:ascii="Wingdings" w:hAnsi="Wingdings" w:hint="default"/>
      </w:r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940940"/>
    <w:multiLevelType w:val="hybridMultilevel"/>
    <w:tmpl w:val="A2AE92AE"/>
    <w:lvl w:ilvl="0" w:tplc="0DA4A1EE">
      <w:start w:val="1"/>
      <w:numFmt w:val="bullet"/>
      <w:lvlText w:val="-"/>
      <w:lvlJc w:val="left"/>
      <w:pPr>
        <w:ind w:left="1854" w:hanging="360"/>
      </w:pPr>
      <w:rPr>
        <w:rFonts w:ascii="Times New Roman" w:eastAsia="Malgun Gothic" w:hAnsi="Times New Roman" w:cs="Times New Roman" w:hint="default"/>
      </w:rPr>
    </w:lvl>
    <w:lvl w:ilvl="1" w:tplc="04090003" w:tentative="1">
      <w:start w:val="1"/>
      <w:numFmt w:val="bullet"/>
      <w:lvlText w:val=""/>
      <w:lvlJc w:val="left"/>
      <w:pPr>
        <w:ind w:left="2294" w:hanging="400"/>
      </w:pPr>
      <w:rPr>
        <w:rFonts w:ascii="Wingdings" w:hAnsi="Wingdings" w:hint="default"/>
      </w:rPr>
    </w:lvl>
    <w:lvl w:ilvl="2" w:tplc="04090005" w:tentative="1">
      <w:start w:val="1"/>
      <w:numFmt w:val="bullet"/>
      <w:lvlText w:val=""/>
      <w:lvlJc w:val="left"/>
      <w:pPr>
        <w:ind w:left="2694" w:hanging="400"/>
      </w:pPr>
      <w:rPr>
        <w:rFonts w:ascii="Wingdings" w:hAnsi="Wingdings" w:hint="default"/>
      </w:rPr>
    </w:lvl>
    <w:lvl w:ilvl="3" w:tplc="04090001" w:tentative="1">
      <w:start w:val="1"/>
      <w:numFmt w:val="bullet"/>
      <w:lvlText w:val=""/>
      <w:lvlJc w:val="left"/>
      <w:pPr>
        <w:ind w:left="3094" w:hanging="400"/>
      </w:pPr>
      <w:rPr>
        <w:rFonts w:ascii="Wingdings" w:hAnsi="Wingdings" w:hint="default"/>
      </w:rPr>
    </w:lvl>
    <w:lvl w:ilvl="4" w:tplc="04090003" w:tentative="1">
      <w:start w:val="1"/>
      <w:numFmt w:val="bullet"/>
      <w:lvlText w:val=""/>
      <w:lvlJc w:val="left"/>
      <w:pPr>
        <w:ind w:left="3494" w:hanging="400"/>
      </w:pPr>
      <w:rPr>
        <w:rFonts w:ascii="Wingdings" w:hAnsi="Wingdings" w:hint="default"/>
      </w:rPr>
    </w:lvl>
    <w:lvl w:ilvl="5" w:tplc="04090005" w:tentative="1">
      <w:start w:val="1"/>
      <w:numFmt w:val="bullet"/>
      <w:lvlText w:val=""/>
      <w:lvlJc w:val="left"/>
      <w:pPr>
        <w:ind w:left="3894" w:hanging="400"/>
      </w:pPr>
      <w:rPr>
        <w:rFonts w:ascii="Wingdings" w:hAnsi="Wingdings" w:hint="default"/>
      </w:rPr>
    </w:lvl>
    <w:lvl w:ilvl="6" w:tplc="04090001" w:tentative="1">
      <w:start w:val="1"/>
      <w:numFmt w:val="bullet"/>
      <w:lvlText w:val=""/>
      <w:lvlJc w:val="left"/>
      <w:pPr>
        <w:ind w:left="4294" w:hanging="400"/>
      </w:pPr>
      <w:rPr>
        <w:rFonts w:ascii="Wingdings" w:hAnsi="Wingdings" w:hint="default"/>
      </w:rPr>
    </w:lvl>
    <w:lvl w:ilvl="7" w:tplc="04090003" w:tentative="1">
      <w:start w:val="1"/>
      <w:numFmt w:val="bullet"/>
      <w:lvlText w:val=""/>
      <w:lvlJc w:val="left"/>
      <w:pPr>
        <w:ind w:left="4694" w:hanging="400"/>
      </w:pPr>
      <w:rPr>
        <w:rFonts w:ascii="Wingdings" w:hAnsi="Wingdings" w:hint="default"/>
      </w:rPr>
    </w:lvl>
    <w:lvl w:ilvl="8" w:tplc="04090005" w:tentative="1">
      <w:start w:val="1"/>
      <w:numFmt w:val="bullet"/>
      <w:lvlText w:val=""/>
      <w:lvlJc w:val="left"/>
      <w:pPr>
        <w:ind w:left="5094" w:hanging="400"/>
      </w:pPr>
      <w:rPr>
        <w:rFonts w:ascii="Wingdings" w:hAnsi="Wingdings" w:hint="default"/>
      </w:rPr>
    </w:lvl>
  </w:abstractNum>
  <w:abstractNum w:abstractNumId="8" w15:restartNumberingAfterBreak="0">
    <w:nsid w:val="31024F4A"/>
    <w:multiLevelType w:val="hybridMultilevel"/>
    <w:tmpl w:val="1BDAD78C"/>
    <w:lvl w:ilvl="0" w:tplc="158C23E2">
      <w:start w:val="1"/>
      <w:numFmt w:val="bullet"/>
      <w:lvlText w:val=""/>
      <w:lvlJc w:val="left"/>
      <w:pPr>
        <w:ind w:left="1689" w:hanging="360"/>
      </w:pPr>
      <w:rPr>
        <w:rFonts w:ascii="Wingdings" w:eastAsia="Malgun Gothic" w:hAnsi="Wingdings" w:cs="Times New Roman" w:hint="default"/>
      </w:rPr>
    </w:lvl>
    <w:lvl w:ilvl="1" w:tplc="04090003" w:tentative="1">
      <w:start w:val="1"/>
      <w:numFmt w:val="bullet"/>
      <w:lvlText w:val=""/>
      <w:lvlJc w:val="left"/>
      <w:pPr>
        <w:ind w:left="2129" w:hanging="400"/>
      </w:pPr>
      <w:rPr>
        <w:rFonts w:ascii="Wingdings" w:hAnsi="Wingdings" w:hint="default"/>
      </w:rPr>
    </w:lvl>
    <w:lvl w:ilvl="2" w:tplc="04090005" w:tentative="1">
      <w:start w:val="1"/>
      <w:numFmt w:val="bullet"/>
      <w:lvlText w:val=""/>
      <w:lvlJc w:val="left"/>
      <w:pPr>
        <w:ind w:left="2529" w:hanging="400"/>
      </w:pPr>
      <w:rPr>
        <w:rFonts w:ascii="Wingdings" w:hAnsi="Wingdings" w:hint="default"/>
      </w:rPr>
    </w:lvl>
    <w:lvl w:ilvl="3" w:tplc="04090001" w:tentative="1">
      <w:start w:val="1"/>
      <w:numFmt w:val="bullet"/>
      <w:lvlText w:val=""/>
      <w:lvlJc w:val="left"/>
      <w:pPr>
        <w:ind w:left="2929" w:hanging="400"/>
      </w:pPr>
      <w:rPr>
        <w:rFonts w:ascii="Wingdings" w:hAnsi="Wingdings" w:hint="default"/>
      </w:rPr>
    </w:lvl>
    <w:lvl w:ilvl="4" w:tplc="04090003" w:tentative="1">
      <w:start w:val="1"/>
      <w:numFmt w:val="bullet"/>
      <w:lvlText w:val=""/>
      <w:lvlJc w:val="left"/>
      <w:pPr>
        <w:ind w:left="3329" w:hanging="400"/>
      </w:pPr>
      <w:rPr>
        <w:rFonts w:ascii="Wingdings" w:hAnsi="Wingdings" w:hint="default"/>
      </w:rPr>
    </w:lvl>
    <w:lvl w:ilvl="5" w:tplc="04090005" w:tentative="1">
      <w:start w:val="1"/>
      <w:numFmt w:val="bullet"/>
      <w:lvlText w:val=""/>
      <w:lvlJc w:val="left"/>
      <w:pPr>
        <w:ind w:left="3729" w:hanging="400"/>
      </w:pPr>
      <w:rPr>
        <w:rFonts w:ascii="Wingdings" w:hAnsi="Wingdings" w:hint="default"/>
      </w:rPr>
    </w:lvl>
    <w:lvl w:ilvl="6" w:tplc="04090001" w:tentative="1">
      <w:start w:val="1"/>
      <w:numFmt w:val="bullet"/>
      <w:lvlText w:val=""/>
      <w:lvlJc w:val="left"/>
      <w:pPr>
        <w:ind w:left="4129" w:hanging="400"/>
      </w:pPr>
      <w:rPr>
        <w:rFonts w:ascii="Wingdings" w:hAnsi="Wingdings" w:hint="default"/>
      </w:rPr>
    </w:lvl>
    <w:lvl w:ilvl="7" w:tplc="04090003" w:tentative="1">
      <w:start w:val="1"/>
      <w:numFmt w:val="bullet"/>
      <w:lvlText w:val=""/>
      <w:lvlJc w:val="left"/>
      <w:pPr>
        <w:ind w:left="4529" w:hanging="400"/>
      </w:pPr>
      <w:rPr>
        <w:rFonts w:ascii="Wingdings" w:hAnsi="Wingdings" w:hint="default"/>
      </w:rPr>
    </w:lvl>
    <w:lvl w:ilvl="8" w:tplc="04090005" w:tentative="1">
      <w:start w:val="1"/>
      <w:numFmt w:val="bullet"/>
      <w:lvlText w:val=""/>
      <w:lvlJc w:val="left"/>
      <w:pPr>
        <w:ind w:left="4929" w:hanging="400"/>
      </w:pPr>
      <w:rPr>
        <w:rFonts w:ascii="Wingdings" w:hAnsi="Wingdings" w:hint="default"/>
      </w:r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6"/>
  </w:num>
  <w:num w:numId="3">
    <w:abstractNumId w:val="0"/>
  </w:num>
  <w:num w:numId="4">
    <w:abstractNumId w:val="10"/>
  </w:num>
  <w:num w:numId="5">
    <w:abstractNumId w:val="11"/>
  </w:num>
  <w:num w:numId="6">
    <w:abstractNumId w:val="13"/>
  </w:num>
  <w:num w:numId="7">
    <w:abstractNumId w:val="5"/>
  </w:num>
  <w:num w:numId="8">
    <w:abstractNumId w:val="1"/>
  </w:num>
  <w:num w:numId="9">
    <w:abstractNumId w:val="12"/>
  </w:num>
  <w:num w:numId="10">
    <w:abstractNumId w:val="1"/>
  </w:num>
  <w:num w:numId="11">
    <w:abstractNumId w:val="12"/>
  </w:num>
  <w:num w:numId="12">
    <w:abstractNumId w:val="2"/>
  </w:num>
  <w:num w:numId="13">
    <w:abstractNumId w:val="2"/>
  </w:num>
  <w:num w:numId="14">
    <w:abstractNumId w:val="3"/>
  </w:num>
  <w:num w:numId="15">
    <w:abstractNumId w:val="7"/>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567"/>
  <w:hyphenationZone w:val="425"/>
  <w:evenAndOddHeaders/>
  <w:characterSpacingControl w:val="doNotCompress"/>
  <w:hdrShapeDefaults>
    <o:shapedefaults v:ext="edit" spidmax="1843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7B"/>
    <w:rsid w:val="00046E92"/>
    <w:rsid w:val="000619C1"/>
    <w:rsid w:val="00063C90"/>
    <w:rsid w:val="00101B98"/>
    <w:rsid w:val="00112674"/>
    <w:rsid w:val="001514D1"/>
    <w:rsid w:val="001A16BC"/>
    <w:rsid w:val="00211C62"/>
    <w:rsid w:val="00247E2C"/>
    <w:rsid w:val="002814CA"/>
    <w:rsid w:val="002A32CB"/>
    <w:rsid w:val="002D5B2C"/>
    <w:rsid w:val="002D6C53"/>
    <w:rsid w:val="002F5595"/>
    <w:rsid w:val="00334F6A"/>
    <w:rsid w:val="00342AC8"/>
    <w:rsid w:val="00343302"/>
    <w:rsid w:val="003979DE"/>
    <w:rsid w:val="003B4550"/>
    <w:rsid w:val="003D2A18"/>
    <w:rsid w:val="00413386"/>
    <w:rsid w:val="00427E1C"/>
    <w:rsid w:val="004351E9"/>
    <w:rsid w:val="00461253"/>
    <w:rsid w:val="00461FEE"/>
    <w:rsid w:val="004858F5"/>
    <w:rsid w:val="004A2814"/>
    <w:rsid w:val="004C0622"/>
    <w:rsid w:val="004D276F"/>
    <w:rsid w:val="005042C2"/>
    <w:rsid w:val="00533F96"/>
    <w:rsid w:val="005E716E"/>
    <w:rsid w:val="00641705"/>
    <w:rsid w:val="006476E1"/>
    <w:rsid w:val="006604DF"/>
    <w:rsid w:val="006702C9"/>
    <w:rsid w:val="00671529"/>
    <w:rsid w:val="006F0E7B"/>
    <w:rsid w:val="0070489D"/>
    <w:rsid w:val="007268F9"/>
    <w:rsid w:val="00750282"/>
    <w:rsid w:val="00764440"/>
    <w:rsid w:val="0077101B"/>
    <w:rsid w:val="00784B45"/>
    <w:rsid w:val="007C52B0"/>
    <w:rsid w:val="007C6033"/>
    <w:rsid w:val="008147C8"/>
    <w:rsid w:val="008147F6"/>
    <w:rsid w:val="0081753A"/>
    <w:rsid w:val="00833388"/>
    <w:rsid w:val="00857D23"/>
    <w:rsid w:val="008A74FC"/>
    <w:rsid w:val="008B2216"/>
    <w:rsid w:val="008C0FB4"/>
    <w:rsid w:val="008E23AD"/>
    <w:rsid w:val="009264BD"/>
    <w:rsid w:val="009411B4"/>
    <w:rsid w:val="00946F1D"/>
    <w:rsid w:val="0099075F"/>
    <w:rsid w:val="009B34F6"/>
    <w:rsid w:val="009C3BCD"/>
    <w:rsid w:val="009D0139"/>
    <w:rsid w:val="009D717D"/>
    <w:rsid w:val="009F5CDC"/>
    <w:rsid w:val="009F6A0A"/>
    <w:rsid w:val="00A072D7"/>
    <w:rsid w:val="00A1759E"/>
    <w:rsid w:val="00A422AE"/>
    <w:rsid w:val="00A775CF"/>
    <w:rsid w:val="00AA5C0D"/>
    <w:rsid w:val="00AD1A9C"/>
    <w:rsid w:val="00AF5DE1"/>
    <w:rsid w:val="00B031CA"/>
    <w:rsid w:val="00B06045"/>
    <w:rsid w:val="00B206DD"/>
    <w:rsid w:val="00B52EF4"/>
    <w:rsid w:val="00B777AD"/>
    <w:rsid w:val="00B80649"/>
    <w:rsid w:val="00BB3381"/>
    <w:rsid w:val="00C03015"/>
    <w:rsid w:val="00C0358D"/>
    <w:rsid w:val="00C35A27"/>
    <w:rsid w:val="00C47B2E"/>
    <w:rsid w:val="00C93529"/>
    <w:rsid w:val="00D63CD2"/>
    <w:rsid w:val="00D74BA4"/>
    <w:rsid w:val="00D87DC2"/>
    <w:rsid w:val="00D94B05"/>
    <w:rsid w:val="00DA3D0F"/>
    <w:rsid w:val="00DD57DA"/>
    <w:rsid w:val="00E02C2B"/>
    <w:rsid w:val="00E21C27"/>
    <w:rsid w:val="00E26BCF"/>
    <w:rsid w:val="00E52109"/>
    <w:rsid w:val="00E75317"/>
    <w:rsid w:val="00EB2D1A"/>
    <w:rsid w:val="00EC0CE6"/>
    <w:rsid w:val="00EC7C1D"/>
    <w:rsid w:val="00ED6C48"/>
    <w:rsid w:val="00EE3045"/>
    <w:rsid w:val="00F13571"/>
    <w:rsid w:val="00F34702"/>
    <w:rsid w:val="00F65F5D"/>
    <w:rsid w:val="00F86A3A"/>
    <w:rsid w:val="00FB4A72"/>
    <w:rsid w:val="00FD2F9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8CB234"/>
  <w15:docId w15:val="{A59BDC0C-DAF0-4D7D-A498-8FB8B6E8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DD57DA"/>
    <w:rPr>
      <w:b/>
      <w:sz w:val="24"/>
    </w:rPr>
  </w:style>
  <w:style w:type="paragraph" w:styleId="Caption">
    <w:name w:val="caption"/>
    <w:basedOn w:val="Normal"/>
    <w:next w:val="Normal"/>
    <w:uiPriority w:val="35"/>
    <w:unhideWhenUsed/>
    <w:qFormat/>
    <w:rsid w:val="00DD57DA"/>
    <w:rPr>
      <w:b/>
      <w:bCs/>
    </w:rPr>
  </w:style>
  <w:style w:type="paragraph" w:customStyle="1" w:styleId="Default">
    <w:name w:val="Default"/>
    <w:rsid w:val="00DD57DA"/>
    <w:pPr>
      <w:widowControl w:val="0"/>
      <w:autoSpaceDE w:val="0"/>
      <w:autoSpaceDN w:val="0"/>
      <w:adjustRightInd w:val="0"/>
      <w:spacing w:after="0" w:line="240" w:lineRule="auto"/>
    </w:pPr>
    <w:rPr>
      <w:rFonts w:ascii="Arial" w:eastAsia="Malgun Gothic" w:hAnsi="Arial" w:cs="Arial"/>
      <w:color w:val="000000"/>
      <w:sz w:val="24"/>
      <w:szCs w:val="24"/>
      <w:lang w:val="en-US" w:eastAsia="ko-KR"/>
    </w:rPr>
  </w:style>
  <w:style w:type="character" w:customStyle="1" w:styleId="HChGChar">
    <w:name w:val="_ H _Ch_G Char"/>
    <w:link w:val="HChG"/>
    <w:rsid w:val="00DD57DA"/>
    <w:rPr>
      <w:b/>
      <w:sz w:val="28"/>
    </w:rPr>
  </w:style>
  <w:style w:type="character" w:styleId="UnresolvedMention">
    <w:name w:val="Unresolved Mention"/>
    <w:basedOn w:val="DefaultParagraphFont"/>
    <w:uiPriority w:val="99"/>
    <w:semiHidden/>
    <w:unhideWhenUsed/>
    <w:rsid w:val="00DD57DA"/>
    <w:rPr>
      <w:color w:val="605E5C"/>
      <w:shd w:val="clear" w:color="auto" w:fill="E1DFDD"/>
    </w:rPr>
  </w:style>
  <w:style w:type="paragraph" w:styleId="ListParagraph">
    <w:name w:val="List Paragraph"/>
    <w:basedOn w:val="Normal"/>
    <w:uiPriority w:val="34"/>
    <w:qFormat/>
    <w:rsid w:val="008C0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90965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20CC3-B7C9-45A8-A983-BBA7E5EB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81</TotalTime>
  <Pages>4</Pages>
  <Words>1577</Words>
  <Characters>8587</Characters>
  <Application>Microsoft Office Word</Application>
  <DocSecurity>0</DocSecurity>
  <Lines>163</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ST/SG/AC.10/C.3/2020/7</vt: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ST/SG/AC.10/C.3/2020/7</dc:title>
  <dc:subject/>
  <dc:creator>Rosa</dc:creator>
  <cp:lastModifiedBy>Laurence Berthet</cp:lastModifiedBy>
  <cp:revision>8</cp:revision>
  <cp:lastPrinted>2020-04-06T13:58:00Z</cp:lastPrinted>
  <dcterms:created xsi:type="dcterms:W3CDTF">2020-04-02T07:29:00Z</dcterms:created>
  <dcterms:modified xsi:type="dcterms:W3CDTF">2020-04-06T13:59:00Z</dcterms:modified>
</cp:coreProperties>
</file>