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3943BC2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7F95FA" w14:textId="77777777" w:rsidR="00132EA9" w:rsidRPr="00DB58B5" w:rsidRDefault="00132EA9" w:rsidP="000A182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A979C0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B0A419" w14:textId="77777777" w:rsidR="00132EA9" w:rsidRPr="00DB58B5" w:rsidRDefault="000A1826" w:rsidP="000A1826">
            <w:pPr>
              <w:jc w:val="right"/>
            </w:pPr>
            <w:r w:rsidRPr="000A1826">
              <w:rPr>
                <w:sz w:val="40"/>
              </w:rPr>
              <w:t>ST</w:t>
            </w:r>
            <w:r>
              <w:t>/SG/AC.10/C.3/2020/14</w:t>
            </w:r>
          </w:p>
        </w:tc>
      </w:tr>
      <w:tr w:rsidR="00132EA9" w:rsidRPr="00DB58B5" w14:paraId="45B546E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C551C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8829D0" wp14:editId="71B8E84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DFF48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EB4846E" w14:textId="77777777" w:rsidR="00132EA9" w:rsidRDefault="000A1826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E49624D" w14:textId="77777777" w:rsidR="000A1826" w:rsidRDefault="000A1826" w:rsidP="000A1826">
            <w:pPr>
              <w:spacing w:line="240" w:lineRule="exact"/>
            </w:pPr>
            <w:r>
              <w:t>6 avril 2020</w:t>
            </w:r>
          </w:p>
          <w:p w14:paraId="704D04DA" w14:textId="77777777" w:rsidR="000A1826" w:rsidRDefault="000A1826" w:rsidP="000A1826">
            <w:pPr>
              <w:spacing w:line="240" w:lineRule="exact"/>
            </w:pPr>
            <w:r>
              <w:t>Français</w:t>
            </w:r>
          </w:p>
          <w:p w14:paraId="55C01A14" w14:textId="77777777" w:rsidR="000A1826" w:rsidRPr="00DB58B5" w:rsidRDefault="000A1826" w:rsidP="000A1826">
            <w:pPr>
              <w:spacing w:line="240" w:lineRule="exact"/>
            </w:pPr>
            <w:r>
              <w:t>Original : anglais</w:t>
            </w:r>
          </w:p>
        </w:tc>
      </w:tr>
    </w:tbl>
    <w:p w14:paraId="566E23B9" w14:textId="77777777" w:rsidR="000A1826" w:rsidRPr="00CA0680" w:rsidRDefault="000A182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557A44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557A44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A5D4A32" w14:textId="77777777" w:rsidR="000A1826" w:rsidRPr="00CA0680" w:rsidRDefault="000A182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557A44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47F43FC6" w14:textId="77777777" w:rsidR="000A1826" w:rsidRDefault="000A1826" w:rsidP="000305D3">
      <w:pPr>
        <w:spacing w:before="120"/>
        <w:rPr>
          <w:b/>
        </w:rPr>
      </w:pPr>
      <w:r w:rsidRPr="000A1826">
        <w:rPr>
          <w:b/>
          <w:bCs/>
          <w:lang w:val="fr-FR"/>
        </w:rPr>
        <w:t>Cinquante-septième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003F6015" w14:textId="77777777" w:rsidR="000A1826" w:rsidRDefault="000A1826" w:rsidP="000305D3">
      <w:r>
        <w:t xml:space="preserve">Genève, </w:t>
      </w:r>
      <w:r>
        <w:rPr>
          <w:lang w:val="fr-FR"/>
        </w:rPr>
        <w:t>29 juin-8 juillet 2020</w:t>
      </w:r>
    </w:p>
    <w:p w14:paraId="1A55AE3E" w14:textId="77777777" w:rsidR="000A1826" w:rsidRDefault="000A1826" w:rsidP="000305D3">
      <w:r>
        <w:t>Point 3 de l</w:t>
      </w:r>
      <w:r w:rsidR="00557A44">
        <w:t>’</w:t>
      </w:r>
      <w:r>
        <w:t>ordre du jour provisoire</w:t>
      </w:r>
    </w:p>
    <w:p w14:paraId="640A453B" w14:textId="77777777" w:rsidR="000A1826" w:rsidRDefault="000A1826" w:rsidP="00AC3823">
      <w:r>
        <w:rPr>
          <w:b/>
          <w:bCs/>
          <w:lang w:val="fr-FR"/>
        </w:rPr>
        <w:t>Inscription, classement et emballages</w:t>
      </w:r>
    </w:p>
    <w:p w14:paraId="790EE64B" w14:textId="77777777" w:rsidR="007344F7" w:rsidRPr="00885584" w:rsidRDefault="007344F7" w:rsidP="007344F7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Peroxydes organiques : nouvelles préparations devant figurer </w:t>
      </w: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> paragraphe 2.5.3.2.4</w:t>
      </w:r>
    </w:p>
    <w:p w14:paraId="4BA5B2F2" w14:textId="77777777" w:rsidR="007344F7" w:rsidRPr="00885584" w:rsidRDefault="007344F7" w:rsidP="007344F7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de l</w:t>
      </w:r>
      <w:r w:rsidR="00557A44">
        <w:rPr>
          <w:bCs/>
          <w:lang w:val="fr-FR"/>
        </w:rPr>
        <w:t>’</w:t>
      </w:r>
      <w:r>
        <w:rPr>
          <w:bCs/>
          <w:lang w:val="fr-FR"/>
        </w:rPr>
        <w:t>expert du Japon</w:t>
      </w:r>
      <w:r w:rsidR="00163D5F" w:rsidRPr="00163D5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2ECED6BD" w14:textId="77777777" w:rsidR="007344F7" w:rsidRPr="00F62A47" w:rsidRDefault="007344F7" w:rsidP="007344F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F62A47">
        <w:rPr>
          <w:bCs/>
        </w:rPr>
        <w:t>Introduction</w:t>
      </w:r>
      <w:r w:rsidRPr="00F62A47">
        <w:t xml:space="preserve"> </w:t>
      </w:r>
    </w:p>
    <w:p w14:paraId="5010EEEB" w14:textId="77777777" w:rsidR="007344F7" w:rsidRPr="00F62A47" w:rsidRDefault="00F62A47" w:rsidP="00F62A47">
      <w:pPr>
        <w:pStyle w:val="SingleTxtG"/>
      </w:pPr>
      <w:r>
        <w:t>1.</w:t>
      </w:r>
      <w:r>
        <w:tab/>
      </w:r>
      <w:r w:rsidR="007344F7" w:rsidRPr="00F62A47">
        <w:t>Plusieurs nouvelles préparations de peroxydes étant désormais commercialisées, la nécessité se fait sentir de mettre à jour la liste du paragraphe</w:t>
      </w:r>
      <w:r>
        <w:t> </w:t>
      </w:r>
      <w:r w:rsidR="007344F7" w:rsidRPr="00F62A47">
        <w:t>2.5.3.2.4. L</w:t>
      </w:r>
      <w:r w:rsidR="00557A44">
        <w:t>’</w:t>
      </w:r>
      <w:r w:rsidR="007344F7" w:rsidRPr="00F62A47">
        <w:t>agrément pour le transport maritime des produits a déjà été accordé par le Ministère japonais de l</w:t>
      </w:r>
      <w:r w:rsidR="00557A44">
        <w:t>’</w:t>
      </w:r>
      <w:r w:rsidR="007344F7" w:rsidRPr="00F62A47">
        <w:t>aménagement du territoire, du transport et du tourisme. Les produits sont transportés du Japon vers les pays asiatiques depuis plus de 15</w:t>
      </w:r>
      <w:r>
        <w:t> </w:t>
      </w:r>
      <w:r w:rsidR="007344F7" w:rsidRPr="00F62A47">
        <w:t>ans sans aucun incident ni accident.</w:t>
      </w:r>
    </w:p>
    <w:p w14:paraId="34AA9A8B" w14:textId="77777777" w:rsidR="007344F7" w:rsidRPr="00F62A47" w:rsidRDefault="00F62A47" w:rsidP="00F62A47">
      <w:pPr>
        <w:pStyle w:val="SingleTxtG"/>
      </w:pPr>
      <w:r>
        <w:t>2.</w:t>
      </w:r>
      <w:r>
        <w:tab/>
      </w:r>
      <w:r w:rsidR="007344F7" w:rsidRPr="00F62A47">
        <w:t>Les informations relatives aux nouveaux produits, y compris la classification et un résumé des données d</w:t>
      </w:r>
      <w:r w:rsidR="00557A44">
        <w:t>’</w:t>
      </w:r>
      <w:r w:rsidR="007344F7" w:rsidRPr="00F62A47">
        <w:t>essai, figurent dans l</w:t>
      </w:r>
      <w:r w:rsidR="00557A44">
        <w:t>’</w:t>
      </w:r>
      <w:r w:rsidR="007344F7" w:rsidRPr="00F62A47">
        <w:t>annexe du présent document.</w:t>
      </w:r>
    </w:p>
    <w:p w14:paraId="0FF792ED" w14:textId="77777777" w:rsidR="007344F7" w:rsidRPr="00F62A47" w:rsidRDefault="007344F7" w:rsidP="007344F7">
      <w:pPr>
        <w:pStyle w:val="HChG"/>
      </w:pPr>
      <w:r w:rsidRPr="00F62A47">
        <w:tab/>
      </w:r>
      <w:r w:rsidRPr="00F62A47">
        <w:tab/>
      </w:r>
      <w:r w:rsidRPr="00F62A47">
        <w:rPr>
          <w:bCs/>
        </w:rPr>
        <w:t>Propositions</w:t>
      </w:r>
    </w:p>
    <w:p w14:paraId="27CC4C11" w14:textId="77777777" w:rsidR="007344F7" w:rsidRPr="00885584" w:rsidRDefault="00F62A47" w:rsidP="00F62A47">
      <w:pPr>
        <w:pStyle w:val="SingleTxtG"/>
      </w:pPr>
      <w:r>
        <w:t>3.</w:t>
      </w:r>
      <w:r>
        <w:tab/>
      </w:r>
      <w:r w:rsidR="007344F7" w:rsidRPr="00F62A47">
        <w:t>L</w:t>
      </w:r>
      <w:r w:rsidR="00557A44">
        <w:t>’</w:t>
      </w:r>
      <w:r w:rsidR="007344F7" w:rsidRPr="00F62A47">
        <w:t>expert du Japon propose d</w:t>
      </w:r>
      <w:r w:rsidR="00557A44">
        <w:t>’</w:t>
      </w:r>
      <w:r w:rsidR="007344F7" w:rsidRPr="00F62A47">
        <w:t>ajouter deux nouvelles rubriques à la liste des peroxydes organiques actuellement assignés au paragraphe</w:t>
      </w:r>
      <w:r>
        <w:t> </w:t>
      </w:r>
      <w:r w:rsidR="007344F7" w:rsidRPr="00F62A47">
        <w:t>2.5.3.2.4, comme indiqué ci</w:t>
      </w:r>
      <w:r>
        <w:noBreakHyphen/>
      </w:r>
      <w:r w:rsidR="007344F7" w:rsidRPr="00F62A47">
        <w:t>dessous</w:t>
      </w:r>
      <w:r w:rsidR="007344F7">
        <w:rPr>
          <w:lang w:val="fr-FR"/>
        </w:rPr>
        <w:t>.</w:t>
      </w:r>
    </w:p>
    <w:p w14:paraId="638EE3F7" w14:textId="77777777" w:rsidR="00446FE5" w:rsidRDefault="00446FE5" w:rsidP="00AC3823"/>
    <w:p w14:paraId="7BCC78FB" w14:textId="77777777" w:rsidR="00557A44" w:rsidRDefault="00557A44" w:rsidP="00AC3823">
      <w:pPr>
        <w:sectPr w:rsidR="00557A44" w:rsidSect="000A182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E4A37DB" w14:textId="77777777" w:rsidR="00557A44" w:rsidRPr="00885584" w:rsidRDefault="00557A44" w:rsidP="00557A44">
      <w:pPr>
        <w:pStyle w:val="SingleTxtG"/>
        <w:rPr>
          <w:bCs/>
        </w:rPr>
      </w:pPr>
      <w:r>
        <w:rPr>
          <w:lang w:val="fr-FR"/>
        </w:rPr>
        <w:lastRenderedPageBreak/>
        <w:t>Proposition d’ajout au 2.5.3.2.4 (</w:t>
      </w:r>
      <w:r w:rsidRPr="00EC3AD4">
        <w:rPr>
          <w:i/>
          <w:iCs/>
          <w:lang w:val="fr-FR"/>
        </w:rPr>
        <w:t>Liste des peroxydes organiques en emballage déjà classés</w:t>
      </w:r>
      <w:r>
        <w:rPr>
          <w:lang w:val="fr-FR"/>
        </w:rPr>
        <w:t>) :</w:t>
      </w:r>
    </w:p>
    <w:tbl>
      <w:tblPr>
        <w:tblW w:w="13935" w:type="dxa"/>
        <w:tblInd w:w="-304" w:type="dxa"/>
        <w:tblLayout w:type="fixed"/>
        <w:tblLook w:val="0000" w:firstRow="0" w:lastRow="0" w:firstColumn="0" w:lastColumn="0" w:noHBand="0" w:noVBand="0"/>
      </w:tblPr>
      <w:tblGrid>
        <w:gridCol w:w="2596"/>
        <w:gridCol w:w="1417"/>
        <w:gridCol w:w="956"/>
        <w:gridCol w:w="957"/>
        <w:gridCol w:w="1191"/>
        <w:gridCol w:w="588"/>
        <w:gridCol w:w="1162"/>
        <w:gridCol w:w="1266"/>
        <w:gridCol w:w="1268"/>
        <w:gridCol w:w="1273"/>
        <w:gridCol w:w="1261"/>
      </w:tblGrid>
      <w:tr w:rsidR="00557A44" w:rsidRPr="00885584" w14:paraId="7BF97A01" w14:textId="77777777" w:rsidTr="00557A44">
        <w:trPr>
          <w:trHeight w:val="61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DC45F" w14:textId="77777777" w:rsidR="00557A44" w:rsidRPr="001B2B0E" w:rsidRDefault="00557A44" w:rsidP="00247D16">
            <w:pPr>
              <w:jc w:val="center"/>
              <w:rPr>
                <w:b/>
                <w:bCs/>
              </w:rPr>
            </w:pPr>
            <w:r w:rsidRPr="001B2B0E">
              <w:rPr>
                <w:b/>
                <w:bCs/>
                <w:lang w:val="fr-FR"/>
              </w:rPr>
              <w:t>PEROXYDE ORGANIQUE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33512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Concentration (%)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7D519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Diluant type A (%)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E696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Diluant type B (%)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05C6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Matières solides inertes (%)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4B61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Eau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A8E5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Méthode d</w:t>
            </w:r>
            <w:r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1B2B0E">
              <w:rPr>
                <w:b/>
                <w:bCs/>
                <w:sz w:val="18"/>
                <w:szCs w:val="18"/>
                <w:lang w:val="fr-FR"/>
              </w:rPr>
              <w:t>emballage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B3F2C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Température de régulation (°C)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36A0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Température critique (°C)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8872" w14:textId="77777777" w:rsidR="00557A44" w:rsidRPr="001B2B0E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Numéro ONU (Rubrique générique)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3B9A" w14:textId="77777777" w:rsidR="00557A44" w:rsidRPr="00885584" w:rsidRDefault="00557A44" w:rsidP="0024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B0E">
              <w:rPr>
                <w:b/>
                <w:bCs/>
                <w:sz w:val="18"/>
                <w:szCs w:val="18"/>
                <w:lang w:val="fr-FR"/>
              </w:rPr>
              <w:t>Observations (voir fin du tableau)</w:t>
            </w:r>
          </w:p>
        </w:tc>
      </w:tr>
      <w:tr w:rsidR="00557A44" w:rsidRPr="0025260A" w14:paraId="78CB1F07" w14:textId="77777777" w:rsidTr="00557A44">
        <w:trPr>
          <w:trHeight w:val="96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A55" w14:textId="77777777" w:rsidR="00557A44" w:rsidRPr="00885584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CARBONATE D’ISOPROPYLE ET DE PEROXY </w:t>
            </w:r>
            <w:proofErr w:type="spellStart"/>
            <w:r>
              <w:rPr>
                <w:lang w:val="fr-FR"/>
              </w:rPr>
              <w:t>tert</w:t>
            </w:r>
            <w:proofErr w:type="spellEnd"/>
            <w:r>
              <w:rPr>
                <w:lang w:val="fr-FR"/>
              </w:rPr>
              <w:t>-BUTYLE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FCFE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≤ 62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8C5D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C1CD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≥ 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8C3F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E43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ADDC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OP7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8944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E653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B1DA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3105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DEC6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</w:tr>
      <w:tr w:rsidR="00557A44" w:rsidRPr="0025260A" w14:paraId="26C9B4A5" w14:textId="77777777" w:rsidTr="00557A44">
        <w:trPr>
          <w:trHeight w:val="96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C3A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PEROXYPIVALATE DE </w:t>
            </w:r>
            <w:proofErr w:type="spellStart"/>
            <w:r>
              <w:rPr>
                <w:lang w:val="fr-FR"/>
              </w:rPr>
              <w:t>tert</w:t>
            </w:r>
            <w:proofErr w:type="spellEnd"/>
            <w:r>
              <w:rPr>
                <w:lang w:val="fr-FR"/>
              </w:rPr>
              <w:t>-HEXYLE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0A22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≤ 52 (dispersion stable dans l’eau)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BBFB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48F3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7808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9801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5B0C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OP8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986D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+ 15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68DD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+ 20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A2E8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  <w:r>
              <w:rPr>
                <w:lang w:val="fr-FR"/>
              </w:rPr>
              <w:t>3117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4FBC" w14:textId="77777777" w:rsidR="00557A44" w:rsidRPr="005972D5" w:rsidRDefault="00557A44" w:rsidP="00247D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23D8A6" w14:textId="77777777" w:rsidR="00557A44" w:rsidRDefault="00557A44" w:rsidP="00557A44">
      <w:pPr>
        <w:suppressAutoHyphens w:val="0"/>
        <w:spacing w:line="240" w:lineRule="auto"/>
        <w:rPr>
          <w:lang w:eastAsia="ja-JP"/>
        </w:rPr>
      </w:pPr>
    </w:p>
    <w:p w14:paraId="313B2B10" w14:textId="77777777" w:rsidR="00EB551F" w:rsidRDefault="00620364" w:rsidP="00620364">
      <w:pPr>
        <w:pStyle w:val="HChG"/>
      </w:pPr>
      <w:r>
        <w:br w:type="page"/>
      </w:r>
      <w:r>
        <w:lastRenderedPageBreak/>
        <w:t>Annexe</w:t>
      </w:r>
    </w:p>
    <w:p w14:paraId="45EFE356" w14:textId="77777777" w:rsidR="00620364" w:rsidRDefault="00620364" w:rsidP="00620364">
      <w:pPr>
        <w:pStyle w:val="SingleTxtG"/>
        <w:jc w:val="right"/>
      </w:pPr>
      <w:r>
        <w:t>[</w:t>
      </w:r>
      <w:r w:rsidRPr="00620364">
        <w:rPr>
          <w:i/>
        </w:rPr>
        <w:t>Anglais seulement</w:t>
      </w:r>
      <w:r>
        <w:t>]</w:t>
      </w:r>
    </w:p>
    <w:p w14:paraId="1EF12642" w14:textId="77777777" w:rsidR="004761CD" w:rsidRPr="004761CD" w:rsidRDefault="004761CD" w:rsidP="004761C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761CD">
        <w:rPr>
          <w:lang w:val="en-US"/>
        </w:rPr>
        <w:t>Test results of new organic peroxide formulations to be added</w:t>
      </w:r>
    </w:p>
    <w:tbl>
      <w:tblPr>
        <w:tblW w:w="1383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134"/>
        <w:gridCol w:w="1418"/>
        <w:gridCol w:w="1134"/>
        <w:gridCol w:w="1762"/>
        <w:gridCol w:w="1276"/>
        <w:gridCol w:w="851"/>
        <w:gridCol w:w="850"/>
        <w:gridCol w:w="851"/>
        <w:gridCol w:w="850"/>
        <w:gridCol w:w="1701"/>
      </w:tblGrid>
      <w:tr w:rsidR="004761CD" w:rsidRPr="00423C50" w14:paraId="4208AF89" w14:textId="77777777" w:rsidTr="00247D16">
        <w:trPr>
          <w:cantSplit/>
          <w:trHeight w:val="846"/>
          <w:tblHeader/>
        </w:trPr>
        <w:tc>
          <w:tcPr>
            <w:tcW w:w="2008" w:type="dxa"/>
          </w:tcPr>
          <w:p w14:paraId="24558333" w14:textId="77777777" w:rsidR="004761CD" w:rsidRDefault="004761CD" w:rsidP="00247D16">
            <w:pPr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Product</w:t>
            </w:r>
          </w:p>
          <w:p w14:paraId="7F971177" w14:textId="77777777" w:rsidR="004761CD" w:rsidRPr="007A0C33" w:rsidRDefault="004761CD" w:rsidP="00247D16">
            <w:pPr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61860F8B" w14:textId="77777777" w:rsidR="004761CD" w:rsidRPr="007A0C33" w:rsidRDefault="004761CD" w:rsidP="00247D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packaging</w:t>
            </w:r>
          </w:p>
        </w:tc>
        <w:tc>
          <w:tcPr>
            <w:tcW w:w="1418" w:type="dxa"/>
            <w:noWrap/>
          </w:tcPr>
          <w:p w14:paraId="6F0F3783" w14:textId="77777777" w:rsidR="004761CD" w:rsidRDefault="004761CD" w:rsidP="00247D16">
            <w:pPr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UN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 xml:space="preserve"> No.</w:t>
            </w:r>
          </w:p>
          <w:p w14:paraId="35D18BA2" w14:textId="77777777" w:rsidR="004761CD" w:rsidRPr="007A0C33" w:rsidRDefault="004761CD" w:rsidP="00247D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(PSN)</w:t>
            </w:r>
          </w:p>
        </w:tc>
        <w:tc>
          <w:tcPr>
            <w:tcW w:w="1134" w:type="dxa"/>
          </w:tcPr>
          <w:p w14:paraId="42E6A72F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 w:eastAsia="ja-JP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Detonation</w:t>
            </w:r>
            <w:r>
              <w:rPr>
                <w:rFonts w:hint="eastAsia"/>
                <w:b/>
                <w:i/>
                <w:iCs/>
                <w:sz w:val="18"/>
                <w:szCs w:val="18"/>
                <w:lang w:val="en-US" w:eastAsia="ja-JP"/>
              </w:rPr>
              <w:t>/A.1</w:t>
            </w:r>
          </w:p>
        </w:tc>
        <w:tc>
          <w:tcPr>
            <w:tcW w:w="1762" w:type="dxa"/>
          </w:tcPr>
          <w:p w14:paraId="25A88E0B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P/T / C.1</w:t>
            </w:r>
          </w:p>
        </w:tc>
        <w:tc>
          <w:tcPr>
            <w:tcW w:w="1276" w:type="dxa"/>
          </w:tcPr>
          <w:p w14:paraId="4E5DF8EA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 xml:space="preserve">Deflagration </w:t>
            </w:r>
            <w:proofErr w:type="gramStart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/  C.</w:t>
            </w:r>
            <w:proofErr w:type="gramEnd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noWrap/>
          </w:tcPr>
          <w:p w14:paraId="0622F656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Koenen</w:t>
            </w:r>
            <w:proofErr w:type="spellEnd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/ E.1</w:t>
            </w:r>
          </w:p>
        </w:tc>
        <w:tc>
          <w:tcPr>
            <w:tcW w:w="850" w:type="dxa"/>
            <w:noWrap/>
          </w:tcPr>
          <w:p w14:paraId="0651061B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DPVT/ E.2</w:t>
            </w:r>
          </w:p>
        </w:tc>
        <w:tc>
          <w:tcPr>
            <w:tcW w:w="851" w:type="dxa"/>
            <w:noWrap/>
          </w:tcPr>
          <w:p w14:paraId="6D63EA82" w14:textId="77777777" w:rsidR="004761CD" w:rsidRPr="00CF6FE0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6FE0">
              <w:rPr>
                <w:b/>
                <w:i/>
                <w:iCs/>
                <w:sz w:val="18"/>
                <w:szCs w:val="18"/>
                <w:lang w:val="en-US"/>
              </w:rPr>
              <w:t>Ballistic mortar/</w:t>
            </w:r>
          </w:p>
          <w:p w14:paraId="2D287FFA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6FE0">
              <w:rPr>
                <w:b/>
                <w:i/>
                <w:iCs/>
                <w:sz w:val="18"/>
                <w:szCs w:val="18"/>
                <w:lang w:val="en-US"/>
              </w:rPr>
              <w:t>F.1</w:t>
            </w:r>
          </w:p>
        </w:tc>
        <w:tc>
          <w:tcPr>
            <w:tcW w:w="850" w:type="dxa"/>
          </w:tcPr>
          <w:p w14:paraId="05C27251" w14:textId="77777777" w:rsidR="004761CD" w:rsidRPr="007A0C33" w:rsidRDefault="004761CD" w:rsidP="00247D16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 xml:space="preserve">SADT </w:t>
            </w:r>
            <w:r w:rsidRPr="00B551C6">
              <w:rPr>
                <w:b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H.4</w:t>
            </w:r>
          </w:p>
        </w:tc>
        <w:tc>
          <w:tcPr>
            <w:tcW w:w="1701" w:type="dxa"/>
          </w:tcPr>
          <w:p w14:paraId="0FA82E66" w14:textId="77777777" w:rsidR="004761CD" w:rsidRPr="007A0C33" w:rsidRDefault="004761CD" w:rsidP="00247D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Competent Authority approval number</w:t>
            </w:r>
          </w:p>
        </w:tc>
      </w:tr>
      <w:tr w:rsidR="004761CD" w:rsidRPr="00423C50" w14:paraId="0D0D48F9" w14:textId="77777777" w:rsidTr="00247D16">
        <w:trPr>
          <w:trHeight w:val="1701"/>
          <w:tblHeader/>
        </w:trPr>
        <w:tc>
          <w:tcPr>
            <w:tcW w:w="2008" w:type="dxa"/>
            <w:vAlign w:val="center"/>
          </w:tcPr>
          <w:p w14:paraId="6242E240" w14:textId="77777777" w:rsidR="004761CD" w:rsidRPr="004761CD" w:rsidRDefault="004761CD" w:rsidP="00247D16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4761CD">
              <w:rPr>
                <w:sz w:val="18"/>
                <w:szCs w:val="18"/>
                <w:lang w:val="en-US"/>
              </w:rPr>
              <w:t xml:space="preserve">tert-Butyl </w:t>
            </w:r>
            <w:proofErr w:type="spellStart"/>
            <w:r w:rsidRPr="004761CD">
              <w:rPr>
                <w:sz w:val="18"/>
                <w:szCs w:val="18"/>
                <w:lang w:val="en-US"/>
              </w:rPr>
              <w:t>peroxy</w:t>
            </w:r>
            <w:proofErr w:type="spellEnd"/>
            <w:r w:rsidRPr="004761C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61CD">
              <w:rPr>
                <w:sz w:val="18"/>
                <w:szCs w:val="18"/>
                <w:lang w:val="en-US"/>
              </w:rPr>
              <w:t>isopropylcarbonate</w:t>
            </w:r>
            <w:proofErr w:type="spellEnd"/>
            <w:r w:rsidRPr="004761CD">
              <w:rPr>
                <w:sz w:val="18"/>
                <w:szCs w:val="18"/>
                <w:lang w:val="en-US"/>
              </w:rPr>
              <w:t xml:space="preserve">, </w:t>
            </w:r>
          </w:p>
          <w:p w14:paraId="3AEE9607" w14:textId="77777777" w:rsidR="004761CD" w:rsidRPr="004761CD" w:rsidRDefault="004761CD" w:rsidP="00247D16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4761CD">
              <w:rPr>
                <w:sz w:val="18"/>
                <w:szCs w:val="18"/>
                <w:lang w:val="en-US"/>
              </w:rPr>
              <w:t>≤ 62% in diluent type B</w:t>
            </w:r>
          </w:p>
          <w:p w14:paraId="6DFE7025" w14:textId="77777777" w:rsidR="004761CD" w:rsidRPr="00780756" w:rsidRDefault="004761CD" w:rsidP="00247D16">
            <w:pPr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Align w:val="center"/>
          </w:tcPr>
          <w:p w14:paraId="552120F8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0756">
              <w:rPr>
                <w:rFonts w:hint="eastAsia"/>
                <w:sz w:val="18"/>
                <w:szCs w:val="18"/>
              </w:rPr>
              <w:t>O</w:t>
            </w:r>
            <w:r w:rsidRPr="00780756">
              <w:rPr>
                <w:sz w:val="18"/>
                <w:szCs w:val="18"/>
              </w:rPr>
              <w:t>P7</w:t>
            </w:r>
          </w:p>
        </w:tc>
        <w:tc>
          <w:tcPr>
            <w:tcW w:w="1418" w:type="dxa"/>
            <w:noWrap/>
            <w:vAlign w:val="center"/>
          </w:tcPr>
          <w:p w14:paraId="72FAA8BA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 w:rsidRPr="00780756">
              <w:rPr>
                <w:rFonts w:hint="eastAsia"/>
                <w:sz w:val="18"/>
                <w:szCs w:val="18"/>
              </w:rPr>
              <w:t>3</w:t>
            </w:r>
            <w:r w:rsidRPr="00780756">
              <w:rPr>
                <w:sz w:val="18"/>
                <w:szCs w:val="18"/>
              </w:rPr>
              <w:t>105</w:t>
            </w:r>
          </w:p>
          <w:p w14:paraId="1527D139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</w:p>
          <w:p w14:paraId="33922FAE" w14:textId="77777777" w:rsidR="004761CD" w:rsidRPr="008F2426" w:rsidRDefault="004761CD" w:rsidP="00247D1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F2426">
              <w:rPr>
                <w:rFonts w:hint="eastAsia"/>
                <w:sz w:val="16"/>
                <w:szCs w:val="16"/>
                <w:lang w:eastAsia="ja-JP"/>
              </w:rPr>
              <w:t>(ORGANIC PEROXIDE TYPE D, LIQUID)</w:t>
            </w:r>
          </w:p>
        </w:tc>
        <w:tc>
          <w:tcPr>
            <w:tcW w:w="1134" w:type="dxa"/>
            <w:vAlign w:val="center"/>
          </w:tcPr>
          <w:p w14:paraId="0A3BF3FD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&lt; 1.5 times</w:t>
            </w:r>
          </w:p>
          <w:p w14:paraId="390BF937" w14:textId="77777777" w:rsidR="004761CD" w:rsidRPr="009177DE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(101 %),</w:t>
            </w:r>
          </w:p>
          <w:p w14:paraId="1B6497B0" w14:textId="77777777" w:rsidR="004761CD" w:rsidRPr="009177DE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77DE">
              <w:rPr>
                <w:sz w:val="18"/>
                <w:szCs w:val="18"/>
              </w:rPr>
              <w:t>No</w:t>
            </w:r>
          </w:p>
        </w:tc>
        <w:tc>
          <w:tcPr>
            <w:tcW w:w="1762" w:type="dxa"/>
            <w:vAlign w:val="center"/>
          </w:tcPr>
          <w:p w14:paraId="7D1BF335" w14:textId="77777777" w:rsidR="004761CD" w:rsidRP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4761CD">
              <w:rPr>
                <w:sz w:val="18"/>
                <w:szCs w:val="18"/>
                <w:lang w:val="en-US"/>
              </w:rPr>
              <w:t>Max pressure of not more than 690 kPa,</w:t>
            </w:r>
          </w:p>
          <w:p w14:paraId="344E21E7" w14:textId="77777777" w:rsidR="004761CD" w:rsidRP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4761CD">
              <w:rPr>
                <w:sz w:val="18"/>
                <w:szCs w:val="18"/>
                <w:lang w:val="en-US"/>
              </w:rPr>
              <w:t>At</w:t>
            </w:r>
            <w:r w:rsidRPr="004761CD">
              <w:rPr>
                <w:rFonts w:hint="eastAsia"/>
                <w:sz w:val="18"/>
                <w:szCs w:val="18"/>
                <w:lang w:val="en-US" w:eastAsia="ja-JP"/>
              </w:rPr>
              <w:t xml:space="preserve"> </w:t>
            </w:r>
            <w:r w:rsidRPr="004761CD">
              <w:rPr>
                <w:sz w:val="18"/>
                <w:szCs w:val="18"/>
                <w:lang w:val="en-US"/>
              </w:rPr>
              <w:t>the</w:t>
            </w:r>
            <w:r w:rsidRPr="004761CD">
              <w:rPr>
                <w:rFonts w:hint="eastAsia"/>
                <w:sz w:val="18"/>
                <w:szCs w:val="18"/>
                <w:lang w:val="en-US" w:eastAsia="ja-JP"/>
              </w:rPr>
              <w:t xml:space="preserve"> </w:t>
            </w:r>
            <w:r w:rsidRPr="004761CD">
              <w:rPr>
                <w:sz w:val="18"/>
                <w:szCs w:val="18"/>
                <w:lang w:val="en-US"/>
              </w:rPr>
              <w:t>End</w:t>
            </w:r>
            <w:r w:rsidRPr="004761CD">
              <w:rPr>
                <w:rFonts w:hint="eastAsia"/>
                <w:sz w:val="18"/>
                <w:szCs w:val="18"/>
                <w:lang w:val="en-US" w:eastAsia="ja-JP"/>
              </w:rPr>
              <w:t xml:space="preserve"> </w:t>
            </w:r>
            <w:r w:rsidRPr="004761CD">
              <w:rPr>
                <w:sz w:val="18"/>
                <w:szCs w:val="18"/>
                <w:lang w:val="en-US"/>
              </w:rPr>
              <w:t>of</w:t>
            </w:r>
            <w:r w:rsidRPr="004761CD">
              <w:rPr>
                <w:rFonts w:hint="eastAsia"/>
                <w:sz w:val="18"/>
                <w:szCs w:val="18"/>
                <w:lang w:val="en-US" w:eastAsia="ja-JP"/>
              </w:rPr>
              <w:t xml:space="preserve"> </w:t>
            </w:r>
            <w:r w:rsidRPr="004761CD">
              <w:rPr>
                <w:sz w:val="18"/>
                <w:szCs w:val="18"/>
                <w:lang w:val="en-US"/>
              </w:rPr>
              <w:t>the</w:t>
            </w:r>
            <w:r w:rsidRPr="004761CD">
              <w:rPr>
                <w:rFonts w:hint="eastAsia"/>
                <w:sz w:val="18"/>
                <w:szCs w:val="18"/>
                <w:lang w:val="en-US" w:eastAsia="ja-JP"/>
              </w:rPr>
              <w:t xml:space="preserve"> </w:t>
            </w:r>
            <w:r w:rsidRPr="004761CD">
              <w:rPr>
                <w:sz w:val="18"/>
                <w:szCs w:val="18"/>
                <w:lang w:val="en-US"/>
              </w:rPr>
              <w:t>test</w:t>
            </w:r>
            <w:r w:rsidRPr="004761CD">
              <w:rPr>
                <w:rFonts w:hint="eastAsia"/>
                <w:sz w:val="18"/>
                <w:szCs w:val="18"/>
                <w:lang w:val="en-US"/>
              </w:rPr>
              <w:t>：</w:t>
            </w:r>
          </w:p>
          <w:p w14:paraId="34777941" w14:textId="77777777" w:rsidR="004761CD" w:rsidRPr="00BC7E9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7E96">
              <w:rPr>
                <w:sz w:val="18"/>
                <w:szCs w:val="18"/>
              </w:rPr>
              <w:t>Not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Ignition</w:t>
            </w:r>
          </w:p>
          <w:p w14:paraId="66738063" w14:textId="77777777" w:rsidR="004761CD" w:rsidRPr="00763847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3847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14:paraId="781144A1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  <w:r w:rsidRPr="00D35D18">
              <w:rPr>
                <w:sz w:val="18"/>
                <w:szCs w:val="18"/>
              </w:rPr>
              <w:t>mm/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</w:p>
          <w:p w14:paraId="4982DF8E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noWrap/>
            <w:vAlign w:val="center"/>
          </w:tcPr>
          <w:p w14:paraId="3CC72939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1.5mm</w:t>
            </w:r>
          </w:p>
          <w:p w14:paraId="3F8532FE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ja-JP"/>
              </w:rPr>
              <w:t>“</w:t>
            </w:r>
            <w:r>
              <w:rPr>
                <w:rFonts w:hint="eastAsia"/>
                <w:sz w:val="18"/>
                <w:szCs w:val="18"/>
                <w:lang w:eastAsia="ja-JP"/>
              </w:rPr>
              <w:t>F</w:t>
            </w:r>
            <w:r>
              <w:rPr>
                <w:sz w:val="18"/>
                <w:szCs w:val="18"/>
                <w:lang w:eastAsia="ja-JP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  <w:p w14:paraId="74021875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850" w:type="dxa"/>
            <w:vAlign w:val="center"/>
          </w:tcPr>
          <w:p w14:paraId="0F7126B6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1.0mm</w:t>
            </w:r>
          </w:p>
          <w:p w14:paraId="02E6BE4E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(10g)</w:t>
            </w:r>
          </w:p>
          <w:p w14:paraId="691F73ED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851" w:type="dxa"/>
            <w:noWrap/>
            <w:vAlign w:val="center"/>
          </w:tcPr>
          <w:p w14:paraId="76AF30C6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9EF1F6E" w14:textId="77777777" w:rsidR="004761CD" w:rsidRPr="00F351A4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°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C</w:t>
            </w:r>
          </w:p>
          <w:p w14:paraId="25959069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51A4">
              <w:rPr>
                <w:sz w:val="18"/>
                <w:szCs w:val="18"/>
              </w:rPr>
              <w:t>(400ml)</w:t>
            </w:r>
          </w:p>
        </w:tc>
        <w:tc>
          <w:tcPr>
            <w:tcW w:w="1701" w:type="dxa"/>
            <w:vAlign w:val="center"/>
          </w:tcPr>
          <w:p w14:paraId="75D1D0A0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80756">
              <w:rPr>
                <w:rFonts w:hint="eastAsia"/>
                <w:sz w:val="18"/>
                <w:szCs w:val="18"/>
              </w:rPr>
              <w:t>中運安舶第</w:t>
            </w:r>
            <w:proofErr w:type="spellEnd"/>
            <w:r w:rsidRPr="00780756">
              <w:rPr>
                <w:sz w:val="18"/>
                <w:szCs w:val="18"/>
              </w:rPr>
              <w:t>308</w:t>
            </w:r>
            <w:r w:rsidRPr="00780756">
              <w:rPr>
                <w:rFonts w:hint="eastAsia"/>
                <w:sz w:val="18"/>
                <w:szCs w:val="18"/>
              </w:rPr>
              <w:t>号</w:t>
            </w:r>
          </w:p>
          <w:p w14:paraId="0D3D8B14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 w:rsidRPr="00780756">
              <w:rPr>
                <w:sz w:val="18"/>
                <w:szCs w:val="18"/>
                <w:lang w:eastAsia="ja-JP"/>
              </w:rPr>
              <w:t>16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  <w:lang w:eastAsia="ja-JP"/>
              </w:rPr>
              <w:t>November</w:t>
            </w:r>
            <w:proofErr w:type="spellEnd"/>
            <w:r w:rsidRPr="00780756">
              <w:rPr>
                <w:sz w:val="18"/>
                <w:szCs w:val="18"/>
                <w:lang w:eastAsia="ja-JP"/>
              </w:rPr>
              <w:t xml:space="preserve"> 2004</w:t>
            </w:r>
          </w:p>
        </w:tc>
      </w:tr>
      <w:tr w:rsidR="004761CD" w:rsidRPr="00F81DE9" w14:paraId="60BCA6BD" w14:textId="77777777" w:rsidTr="00247D16">
        <w:trPr>
          <w:trHeight w:val="1701"/>
          <w:tblHeader/>
        </w:trPr>
        <w:tc>
          <w:tcPr>
            <w:tcW w:w="2008" w:type="dxa"/>
            <w:vAlign w:val="center"/>
          </w:tcPr>
          <w:p w14:paraId="51B52F9A" w14:textId="77777777" w:rsidR="004761CD" w:rsidRPr="004761CD" w:rsidRDefault="004761CD" w:rsidP="00247D16">
            <w:pPr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tert-Hexyl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per</w:t>
            </w:r>
            <w:r w:rsidRPr="00CF6FE0">
              <w:rPr>
                <w:bCs/>
                <w:sz w:val="18"/>
                <w:szCs w:val="18"/>
                <w:lang w:val="en-US"/>
              </w:rPr>
              <w:t>oxypivalate</w:t>
            </w:r>
            <w:proofErr w:type="spellEnd"/>
            <w:r w:rsidRPr="007A0C33">
              <w:rPr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≤ 5</w:t>
            </w:r>
            <w:r w:rsidRPr="007A0C33">
              <w:rPr>
                <w:sz w:val="18"/>
                <w:szCs w:val="18"/>
                <w:lang w:val="en-US"/>
              </w:rPr>
              <w:t>2%</w:t>
            </w:r>
            <w:r w:rsidRPr="004761CD">
              <w:rPr>
                <w:sz w:val="18"/>
                <w:szCs w:val="18"/>
                <w:lang w:val="en-US"/>
              </w:rPr>
              <w:t xml:space="preserve"> as a stable dispersion in water</w:t>
            </w:r>
          </w:p>
          <w:p w14:paraId="2EF01B29" w14:textId="77777777" w:rsidR="004761CD" w:rsidRPr="004761CD" w:rsidRDefault="004761CD" w:rsidP="00247D16">
            <w:pPr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Align w:val="center"/>
          </w:tcPr>
          <w:p w14:paraId="4C4EC32B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OP8</w:t>
            </w:r>
          </w:p>
        </w:tc>
        <w:tc>
          <w:tcPr>
            <w:tcW w:w="1418" w:type="dxa"/>
            <w:noWrap/>
            <w:vAlign w:val="center"/>
          </w:tcPr>
          <w:p w14:paraId="04A22935" w14:textId="77777777" w:rsidR="004761CD" w:rsidRP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val="en-US" w:eastAsia="ja-JP"/>
              </w:rPr>
            </w:pPr>
            <w:r w:rsidRPr="004761CD">
              <w:rPr>
                <w:rFonts w:hint="eastAsia"/>
                <w:sz w:val="18"/>
                <w:szCs w:val="18"/>
                <w:lang w:val="en-US"/>
              </w:rPr>
              <w:t>3</w:t>
            </w:r>
            <w:r w:rsidRPr="004761CD">
              <w:rPr>
                <w:sz w:val="18"/>
                <w:szCs w:val="18"/>
                <w:lang w:val="en-US"/>
              </w:rPr>
              <w:t>117</w:t>
            </w:r>
          </w:p>
          <w:p w14:paraId="5C138EE6" w14:textId="77777777" w:rsidR="004761CD" w:rsidRP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val="en-US" w:eastAsia="ja-JP"/>
              </w:rPr>
            </w:pPr>
          </w:p>
          <w:p w14:paraId="755DF3AE" w14:textId="77777777" w:rsidR="004761CD" w:rsidRPr="004761CD" w:rsidRDefault="004761CD" w:rsidP="00247D16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4761CD">
              <w:rPr>
                <w:rFonts w:hint="eastAsia"/>
                <w:sz w:val="16"/>
                <w:szCs w:val="16"/>
                <w:lang w:val="en-US" w:eastAsia="ja-JP"/>
              </w:rPr>
              <w:t>(ORGANIC PEROXIDE TYPE E, LIQUID TEMPERATURE CONTROLLED)</w:t>
            </w:r>
          </w:p>
        </w:tc>
        <w:tc>
          <w:tcPr>
            <w:tcW w:w="1134" w:type="dxa"/>
            <w:vAlign w:val="center"/>
          </w:tcPr>
          <w:p w14:paraId="305A4A28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&lt; 1.5 times</w:t>
            </w:r>
          </w:p>
          <w:p w14:paraId="12DBA265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(87 %),</w:t>
            </w:r>
          </w:p>
          <w:p w14:paraId="0EF1C992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No</w:t>
            </w:r>
          </w:p>
        </w:tc>
        <w:tc>
          <w:tcPr>
            <w:tcW w:w="1762" w:type="dxa"/>
            <w:vAlign w:val="center"/>
          </w:tcPr>
          <w:p w14:paraId="6CCEA773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rFonts w:hint="eastAsia"/>
                <w:sz w:val="18"/>
                <w:szCs w:val="18"/>
              </w:rPr>
              <w:t>&lt;</w:t>
            </w:r>
            <w:r w:rsidRPr="00D35D18">
              <w:rPr>
                <w:sz w:val="18"/>
                <w:szCs w:val="18"/>
              </w:rPr>
              <w:t>2070kPa,</w:t>
            </w:r>
          </w:p>
          <w:p w14:paraId="4EFAD692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14:paraId="0806792E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0.015 mm/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</w:p>
          <w:p w14:paraId="7B63A0E4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noWrap/>
            <w:vAlign w:val="center"/>
          </w:tcPr>
          <w:p w14:paraId="38203A19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1.0mm</w:t>
            </w:r>
          </w:p>
          <w:p w14:paraId="4761A0E1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ja-JP"/>
              </w:rPr>
              <w:t>“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lang w:eastAsia="ja-JP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  <w:p w14:paraId="0765C2BD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50" w:type="dxa"/>
            <w:noWrap/>
            <w:vAlign w:val="center"/>
          </w:tcPr>
          <w:p w14:paraId="65EC8ED2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&lt;1.0mm</w:t>
            </w:r>
          </w:p>
          <w:p w14:paraId="3F2FF70A" w14:textId="77777777" w:rsidR="004761CD" w:rsidRPr="00D35D18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(50g</w:t>
            </w:r>
            <w:r w:rsidRPr="00D35D18">
              <w:rPr>
                <w:sz w:val="18"/>
                <w:szCs w:val="18"/>
              </w:rPr>
              <w:t>)</w:t>
            </w:r>
          </w:p>
          <w:p w14:paraId="2E2511ED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noWrap/>
            <w:vAlign w:val="center"/>
          </w:tcPr>
          <w:p w14:paraId="5F2D7C06" w14:textId="77777777" w:rsidR="004761CD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EFBE498" w14:textId="77777777" w:rsidR="004761CD" w:rsidRPr="009177DE" w:rsidRDefault="004761CD" w:rsidP="00247D16">
            <w:pPr>
              <w:spacing w:line="0" w:lineRule="atLeast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°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C</w:t>
            </w:r>
          </w:p>
          <w:p w14:paraId="507D8312" w14:textId="77777777" w:rsidR="004761CD" w:rsidRPr="00F351A4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(400ml)</w:t>
            </w:r>
          </w:p>
        </w:tc>
        <w:tc>
          <w:tcPr>
            <w:tcW w:w="1701" w:type="dxa"/>
            <w:vAlign w:val="center"/>
          </w:tcPr>
          <w:p w14:paraId="7A1A1A15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80756">
              <w:rPr>
                <w:rFonts w:hint="eastAsia"/>
                <w:sz w:val="18"/>
                <w:szCs w:val="18"/>
              </w:rPr>
              <w:t>中運安舶第</w:t>
            </w:r>
            <w:proofErr w:type="spellEnd"/>
            <w:r w:rsidRPr="00780756">
              <w:rPr>
                <w:rFonts w:hint="eastAsia"/>
                <w:sz w:val="18"/>
                <w:szCs w:val="18"/>
              </w:rPr>
              <w:t>268</w:t>
            </w:r>
            <w:r w:rsidRPr="00780756">
              <w:rPr>
                <w:rFonts w:hint="eastAsia"/>
                <w:sz w:val="18"/>
                <w:szCs w:val="18"/>
              </w:rPr>
              <w:t>号</w:t>
            </w:r>
          </w:p>
          <w:p w14:paraId="5667A1F2" w14:textId="77777777" w:rsidR="004761CD" w:rsidRPr="00780756" w:rsidRDefault="004761CD" w:rsidP="00247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17 </w:t>
            </w:r>
            <w:proofErr w:type="spellStart"/>
            <w:r w:rsidRPr="00780756">
              <w:rPr>
                <w:sz w:val="18"/>
                <w:szCs w:val="18"/>
                <w:lang w:eastAsia="ja-JP"/>
              </w:rPr>
              <w:t>September</w:t>
            </w:r>
            <w:proofErr w:type="spellEnd"/>
            <w:r>
              <w:rPr>
                <w:sz w:val="18"/>
                <w:szCs w:val="18"/>
                <w:lang w:eastAsia="ja-JP"/>
              </w:rPr>
              <w:t xml:space="preserve"> 2003</w:t>
            </w:r>
          </w:p>
        </w:tc>
      </w:tr>
    </w:tbl>
    <w:p w14:paraId="40559B18" w14:textId="77777777" w:rsidR="004761CD" w:rsidRPr="00F905A8" w:rsidRDefault="004761CD" w:rsidP="004761CD">
      <w:pPr>
        <w:spacing w:before="240"/>
        <w:ind w:left="1134" w:right="1134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14:paraId="2F2BB9EB" w14:textId="77777777" w:rsidR="004761CD" w:rsidRPr="00620364" w:rsidRDefault="004761CD" w:rsidP="004761CD">
      <w:pPr>
        <w:pStyle w:val="SingleTxtG"/>
      </w:pPr>
    </w:p>
    <w:sectPr w:rsidR="004761CD" w:rsidRPr="00620364" w:rsidSect="00557A44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23E9" w14:textId="77777777" w:rsidR="00275296" w:rsidRDefault="00275296" w:rsidP="00F95C08">
      <w:pPr>
        <w:spacing w:line="240" w:lineRule="auto"/>
      </w:pPr>
    </w:p>
  </w:endnote>
  <w:endnote w:type="continuationSeparator" w:id="0">
    <w:p w14:paraId="3368C3D1" w14:textId="77777777" w:rsidR="00275296" w:rsidRPr="00AC3823" w:rsidRDefault="00275296" w:rsidP="00AC3823">
      <w:pPr>
        <w:pStyle w:val="Footer"/>
      </w:pPr>
    </w:p>
  </w:endnote>
  <w:endnote w:type="continuationNotice" w:id="1">
    <w:p w14:paraId="39125EEC" w14:textId="77777777" w:rsidR="00275296" w:rsidRDefault="002752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3068" w14:textId="77777777" w:rsidR="000A1826" w:rsidRPr="000A1826" w:rsidRDefault="000A1826" w:rsidP="000A1826">
    <w:pPr>
      <w:pStyle w:val="Footer"/>
      <w:tabs>
        <w:tab w:val="right" w:pos="9638"/>
      </w:tabs>
    </w:pPr>
    <w:r w:rsidRPr="000A1826">
      <w:rPr>
        <w:b/>
        <w:sz w:val="18"/>
      </w:rPr>
      <w:fldChar w:fldCharType="begin"/>
    </w:r>
    <w:r w:rsidRPr="000A1826">
      <w:rPr>
        <w:b/>
        <w:sz w:val="18"/>
      </w:rPr>
      <w:instrText xml:space="preserve"> PAGE  \* MERGEFORMAT </w:instrText>
    </w:r>
    <w:r w:rsidRPr="000A1826">
      <w:rPr>
        <w:b/>
        <w:sz w:val="18"/>
      </w:rPr>
      <w:fldChar w:fldCharType="separate"/>
    </w:r>
    <w:r w:rsidRPr="000A1826">
      <w:rPr>
        <w:b/>
        <w:noProof/>
        <w:sz w:val="18"/>
      </w:rPr>
      <w:t>2</w:t>
    </w:r>
    <w:r w:rsidRPr="000A1826">
      <w:rPr>
        <w:b/>
        <w:sz w:val="18"/>
      </w:rPr>
      <w:fldChar w:fldCharType="end"/>
    </w:r>
    <w:r>
      <w:rPr>
        <w:b/>
        <w:sz w:val="18"/>
      </w:rPr>
      <w:tab/>
    </w:r>
    <w:r>
      <w:t>GE.20-05223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40B1" w14:textId="77777777" w:rsidR="000A1826" w:rsidRPr="000A1826" w:rsidRDefault="000A1826" w:rsidP="000A1826">
    <w:pPr>
      <w:pStyle w:val="Footer"/>
      <w:tabs>
        <w:tab w:val="right" w:pos="9638"/>
      </w:tabs>
      <w:rPr>
        <w:b/>
        <w:sz w:val="18"/>
      </w:rPr>
    </w:pPr>
    <w:r>
      <w:t>GE.20-05223</w:t>
    </w:r>
    <w:r>
      <w:tab/>
    </w:r>
    <w:r w:rsidRPr="000A1826">
      <w:rPr>
        <w:b/>
        <w:sz w:val="18"/>
      </w:rPr>
      <w:fldChar w:fldCharType="begin"/>
    </w:r>
    <w:r w:rsidRPr="000A1826">
      <w:rPr>
        <w:b/>
        <w:sz w:val="18"/>
      </w:rPr>
      <w:instrText xml:space="preserve"> PAGE  \* MERGEFORMAT </w:instrText>
    </w:r>
    <w:r w:rsidRPr="000A1826">
      <w:rPr>
        <w:b/>
        <w:sz w:val="18"/>
      </w:rPr>
      <w:fldChar w:fldCharType="separate"/>
    </w:r>
    <w:r w:rsidRPr="000A1826">
      <w:rPr>
        <w:b/>
        <w:noProof/>
        <w:sz w:val="18"/>
      </w:rPr>
      <w:t>3</w:t>
    </w:r>
    <w:r w:rsidRPr="000A18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6960" w14:textId="77777777" w:rsidR="0068456F" w:rsidRPr="000A1826" w:rsidRDefault="000A1826" w:rsidP="000A182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74624" behindDoc="0" locked="0" layoutInCell="1" allowOverlap="0" wp14:anchorId="426B4C0F" wp14:editId="2951B3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05223  (</w:t>
    </w:r>
    <w:proofErr w:type="gramEnd"/>
    <w:r>
      <w:rPr>
        <w:sz w:val="20"/>
      </w:rPr>
      <w:t>F)    280420    280420</w:t>
    </w:r>
    <w:r>
      <w:rPr>
        <w:sz w:val="20"/>
      </w:rPr>
      <w:br/>
    </w:r>
    <w:r w:rsidRPr="000A1826">
      <w:rPr>
        <w:rFonts w:ascii="C39T30Lfz" w:hAnsi="C39T30Lfz"/>
        <w:sz w:val="56"/>
      </w:rPr>
      <w:t></w:t>
    </w:r>
    <w:r w:rsidRPr="000A1826">
      <w:rPr>
        <w:rFonts w:ascii="C39T30Lfz" w:hAnsi="C39T30Lfz"/>
        <w:sz w:val="56"/>
      </w:rPr>
      <w:t></w:t>
    </w:r>
    <w:r w:rsidRPr="000A1826">
      <w:rPr>
        <w:rFonts w:ascii="C39T30Lfz" w:hAnsi="C39T30Lfz"/>
        <w:sz w:val="56"/>
      </w:rPr>
      <w:t></w:t>
    </w:r>
    <w:r w:rsidRPr="000A1826">
      <w:rPr>
        <w:rFonts w:ascii="C39T30Lfz" w:hAnsi="C39T30Lfz"/>
        <w:sz w:val="56"/>
      </w:rPr>
      <w:t></w:t>
    </w:r>
    <w:r w:rsidRPr="000A1826">
      <w:rPr>
        <w:rFonts w:ascii="C39T30Lfz" w:hAnsi="C39T30Lfz"/>
        <w:sz w:val="56"/>
      </w:rPr>
      <w:t></w:t>
    </w:r>
    <w:r w:rsidRPr="000A1826">
      <w:rPr>
        <w:rFonts w:ascii="C39T30Lfz" w:hAnsi="C39T30Lfz"/>
        <w:sz w:val="56"/>
      </w:rPr>
      <w:t></w:t>
    </w:r>
    <w:r w:rsidRPr="000A1826">
      <w:rPr>
        <w:rFonts w:ascii="C39T30Lfz" w:hAnsi="C39T30Lfz"/>
        <w:sz w:val="56"/>
      </w:rPr>
      <w:t></w:t>
    </w:r>
    <w:r w:rsidRPr="000A1826">
      <w:rPr>
        <w:rFonts w:ascii="C39T30Lfz" w:hAnsi="C39T30Lfz"/>
        <w:sz w:val="56"/>
      </w:rPr>
      <w:t></w:t>
    </w:r>
    <w:r w:rsidRPr="000A182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45952" behindDoc="0" locked="0" layoutInCell="1" allowOverlap="1" wp14:anchorId="3E5FACA9" wp14:editId="776F989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276F" w14:textId="77777777" w:rsidR="00557A44" w:rsidRPr="00557A44" w:rsidRDefault="00557A44" w:rsidP="00557A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1DAC52" wp14:editId="0F68ACD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FBEB075" w14:textId="77777777" w:rsidR="00557A44" w:rsidRPr="000A1826" w:rsidRDefault="00557A44" w:rsidP="00557A44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0A182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A182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A182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0A182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GE.20-05223</w:t>
                          </w:r>
                        </w:p>
                        <w:p w14:paraId="01846A06" w14:textId="77777777" w:rsidR="00557A44" w:rsidRDefault="00557A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DAC52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GtbbHb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FBEB075" w14:textId="77777777" w:rsidR="00557A44" w:rsidRPr="000A1826" w:rsidRDefault="00557A44" w:rsidP="00557A44">
                    <w:pPr>
                      <w:pStyle w:val="Footer"/>
                      <w:tabs>
                        <w:tab w:val="right" w:pos="9638"/>
                      </w:tabs>
                    </w:pPr>
                    <w:r w:rsidRPr="000A1826">
                      <w:rPr>
                        <w:b/>
                        <w:sz w:val="18"/>
                      </w:rPr>
                      <w:fldChar w:fldCharType="begin"/>
                    </w:r>
                    <w:r w:rsidRPr="000A182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A182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0A182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GE.20-05223</w:t>
                    </w:r>
                  </w:p>
                  <w:p w14:paraId="01846A06" w14:textId="77777777" w:rsidR="00557A44" w:rsidRDefault="00557A4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E1CB" w14:textId="77777777" w:rsidR="00557A44" w:rsidRPr="00557A44" w:rsidRDefault="00557A44" w:rsidP="00557A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DBA9E66" wp14:editId="3B5B8C0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E19C149" w14:textId="77777777" w:rsidR="00557A44" w:rsidRPr="000A1826" w:rsidRDefault="00557A44" w:rsidP="00557A4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GE.20-05223</w:t>
                          </w:r>
                          <w:r>
                            <w:tab/>
                          </w:r>
                          <w:r w:rsidRPr="000A182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A182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A182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0A182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D190CC0" w14:textId="77777777" w:rsidR="00557A44" w:rsidRDefault="00557A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A9E6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Ng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Dj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Aij02D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E19C149" w14:textId="77777777" w:rsidR="00557A44" w:rsidRPr="000A1826" w:rsidRDefault="00557A44" w:rsidP="00557A44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GE.20-05223</w:t>
                    </w:r>
                    <w:r>
                      <w:tab/>
                    </w:r>
                    <w:r w:rsidRPr="000A1826">
                      <w:rPr>
                        <w:b/>
                        <w:sz w:val="18"/>
                      </w:rPr>
                      <w:fldChar w:fldCharType="begin"/>
                    </w:r>
                    <w:r w:rsidRPr="000A182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A182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0A182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D190CC0" w14:textId="77777777" w:rsidR="00557A44" w:rsidRDefault="00557A4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0DF4" w14:textId="77777777" w:rsidR="00275296" w:rsidRPr="00AC3823" w:rsidRDefault="002752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F06363" w14:textId="77777777" w:rsidR="00275296" w:rsidRPr="00AC3823" w:rsidRDefault="002752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621A7F" w14:textId="77777777" w:rsidR="00275296" w:rsidRPr="00AC3823" w:rsidRDefault="00275296">
      <w:pPr>
        <w:spacing w:line="240" w:lineRule="auto"/>
        <w:rPr>
          <w:sz w:val="2"/>
          <w:szCs w:val="2"/>
        </w:rPr>
      </w:pPr>
    </w:p>
  </w:footnote>
  <w:footnote w:id="2">
    <w:p w14:paraId="4218456F" w14:textId="77777777" w:rsidR="00163D5F" w:rsidRPr="00163D5F" w:rsidRDefault="00163D5F">
      <w:pPr>
        <w:pStyle w:val="FootnoteText"/>
      </w:pPr>
      <w:r>
        <w:rPr>
          <w:rStyle w:val="FootnoteReference"/>
        </w:rPr>
        <w:tab/>
      </w:r>
      <w:r w:rsidRPr="00163D5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2020 (A/74/6 (sect.</w:t>
      </w:r>
      <w:r w:rsidR="002F5293">
        <w:rPr>
          <w:lang w:val="fr-FR"/>
        </w:rPr>
        <w:t> </w:t>
      </w:r>
      <w:r>
        <w:rPr>
          <w:lang w:val="fr-FR"/>
        </w:rPr>
        <w:t>20) et supplément, sous-programme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DA00" w14:textId="041937B7" w:rsidR="000A1826" w:rsidRPr="000A1826" w:rsidRDefault="006F5C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F1F6" w14:textId="4AF9E3DC" w:rsidR="000A1826" w:rsidRPr="000A1826" w:rsidRDefault="006F5C46" w:rsidP="000A182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5F1A" w14:textId="77777777" w:rsidR="00557A44" w:rsidRPr="00557A44" w:rsidRDefault="00557A44" w:rsidP="00557A4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E112F" wp14:editId="5B25E54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DF897" w14:textId="7D68EBFC" w:rsidR="00557A44" w:rsidRPr="000A1826" w:rsidRDefault="00557A44" w:rsidP="00557A44">
                          <w:pPr>
                            <w:pStyle w:val="Header"/>
                          </w:pPr>
                          <w:fldSimple w:instr=" TITLE  \* MERGEFORMAT ">
                            <w:r w:rsidR="006F5C46">
                              <w:t>ST/SG/AC.10/C.3/2020/14</w:t>
                            </w:r>
                          </w:fldSimple>
                        </w:p>
                        <w:p w14:paraId="07A68A28" w14:textId="77777777" w:rsidR="00557A44" w:rsidRDefault="00557A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E112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D2DF897" w14:textId="7D68EBFC" w:rsidR="00557A44" w:rsidRPr="000A1826" w:rsidRDefault="00557A44" w:rsidP="00557A44">
                    <w:pPr>
                      <w:pStyle w:val="Header"/>
                    </w:pPr>
                    <w:fldSimple w:instr=" TITLE  \* MERGEFORMAT ">
                      <w:r w:rsidR="006F5C46">
                        <w:t>ST/SG/AC.10/C.3/2020/14</w:t>
                      </w:r>
                    </w:fldSimple>
                  </w:p>
                  <w:p w14:paraId="07A68A28" w14:textId="77777777" w:rsidR="00557A44" w:rsidRDefault="00557A4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03CE" w14:textId="77777777" w:rsidR="00557A44" w:rsidRPr="00557A44" w:rsidRDefault="00557A44" w:rsidP="00557A44"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7D8DCC2" wp14:editId="3599D8C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35DFD19" w14:textId="484C2769" w:rsidR="00557A44" w:rsidRPr="000A1826" w:rsidRDefault="00557A44" w:rsidP="00557A44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6F5C46">
                              <w:t>ST/SG/AC.10/C.3/2020/14</w:t>
                            </w:r>
                          </w:fldSimple>
                        </w:p>
                        <w:p w14:paraId="67C371F6" w14:textId="77777777" w:rsidR="00557A44" w:rsidRDefault="00557A4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8DCC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cz/gIAALg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GNHXZomYUudugkq8FwUMwZPq+R&#10;8hVz/pZZzB8oMVP9DZZSapBD7yVKKm2//U4f7HMaVrAJ8wxE/bpiFtySHxUGBlz6TrCdsOgEtWou&#10;NXomi9FEEResl51YWt08YNROwys4YoojkpzitVa89O1UxajmYjqNRhhxhvkrdWd4cB14GUp7v31g&#10;1uw7PEyZa91NOjZ+1uitbbip9HTldVnHKRBwbVEE8mGD8RhrsB/lYf7+uo9Wjz+cyU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PtDVzP+AgAAuAYAAA4AAAAAAAAAAAAAAAAALgIAAGRycy9lMm9Eb2MueG1sUEsBAi0AFAAG&#10;AAgAAAAhAGFZMmLcAAAACgEAAA8AAAAAAAAAAAAAAAAAWA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35DFD19" w14:textId="484C2769" w:rsidR="00557A44" w:rsidRPr="000A1826" w:rsidRDefault="00557A44" w:rsidP="00557A44">
                    <w:pPr>
                      <w:pStyle w:val="Header"/>
                      <w:jc w:val="right"/>
                    </w:pPr>
                    <w:fldSimple w:instr=" TITLE  \* MERGEFORMAT ">
                      <w:r w:rsidR="006F5C46">
                        <w:t>ST/SG/AC.10/C.3/2020/14</w:t>
                      </w:r>
                    </w:fldSimple>
                  </w:p>
                  <w:p w14:paraId="67C371F6" w14:textId="77777777" w:rsidR="00557A44" w:rsidRDefault="00557A44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7F044F24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96"/>
    <w:rsid w:val="00017F94"/>
    <w:rsid w:val="00023842"/>
    <w:rsid w:val="000305D3"/>
    <w:rsid w:val="000334F9"/>
    <w:rsid w:val="00073A0F"/>
    <w:rsid w:val="0007796D"/>
    <w:rsid w:val="000A1826"/>
    <w:rsid w:val="000B7790"/>
    <w:rsid w:val="00111F2F"/>
    <w:rsid w:val="00132EA9"/>
    <w:rsid w:val="0014365E"/>
    <w:rsid w:val="00163D5F"/>
    <w:rsid w:val="00176178"/>
    <w:rsid w:val="001F525A"/>
    <w:rsid w:val="00223272"/>
    <w:rsid w:val="0024779E"/>
    <w:rsid w:val="00275296"/>
    <w:rsid w:val="00283190"/>
    <w:rsid w:val="002832AC"/>
    <w:rsid w:val="002D7C93"/>
    <w:rsid w:val="002F5293"/>
    <w:rsid w:val="00441C3B"/>
    <w:rsid w:val="00446FE5"/>
    <w:rsid w:val="00452396"/>
    <w:rsid w:val="004761CD"/>
    <w:rsid w:val="004E468C"/>
    <w:rsid w:val="005505B7"/>
    <w:rsid w:val="00557A44"/>
    <w:rsid w:val="00573BE5"/>
    <w:rsid w:val="00584DC4"/>
    <w:rsid w:val="00586ED3"/>
    <w:rsid w:val="00596AA9"/>
    <w:rsid w:val="00620364"/>
    <w:rsid w:val="0068456F"/>
    <w:rsid w:val="006F5C46"/>
    <w:rsid w:val="0071601D"/>
    <w:rsid w:val="007344F7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B551F"/>
    <w:rsid w:val="00EF2E22"/>
    <w:rsid w:val="00F01738"/>
    <w:rsid w:val="00F62A47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BA258"/>
  <w15:docId w15:val="{C68109EB-29B1-4110-A9AC-873750F7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344F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rsid w:val="007344F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7344F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B83D-A8CC-46C1-BED3-CBD1171A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ST/SG/AC.10/C.3/2020/14</vt:lpstr>
      <vt:lpstr>ST/SG/AC.10/C.3/2020/14</vt:lpstr>
    </vt:vector>
  </TitlesOfParts>
  <Company>DCM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ST/SG/AC.10/C.3/2020/14</dc:title>
  <dc:subject/>
  <dc:creator>Brianne MAGNAT</dc:creator>
  <cp:keywords/>
  <cp:lastModifiedBy>Laurence Berthet</cp:lastModifiedBy>
  <cp:revision>3</cp:revision>
  <cp:lastPrinted>2020-04-28T08:26:00Z</cp:lastPrinted>
  <dcterms:created xsi:type="dcterms:W3CDTF">2020-04-28T08:26:00Z</dcterms:created>
  <dcterms:modified xsi:type="dcterms:W3CDTF">2020-04-28T08:26:00Z</dcterms:modified>
</cp:coreProperties>
</file>