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011D0" w14:paraId="00E2C4DD" w14:textId="77777777" w:rsidTr="00F01738">
        <w:trPr>
          <w:trHeight w:hRule="exact" w:val="851"/>
        </w:trPr>
        <w:tc>
          <w:tcPr>
            <w:tcW w:w="1276" w:type="dxa"/>
            <w:tcBorders>
              <w:bottom w:val="single" w:sz="4" w:space="0" w:color="auto"/>
            </w:tcBorders>
          </w:tcPr>
          <w:p w14:paraId="698B010C" w14:textId="77777777" w:rsidR="00132EA9" w:rsidRPr="00DB58B5" w:rsidRDefault="00132EA9" w:rsidP="003011D0">
            <w:bookmarkStart w:id="0" w:name="_GoBack"/>
            <w:bookmarkEnd w:id="0"/>
          </w:p>
        </w:tc>
        <w:tc>
          <w:tcPr>
            <w:tcW w:w="2268" w:type="dxa"/>
            <w:tcBorders>
              <w:bottom w:val="single" w:sz="4" w:space="0" w:color="auto"/>
            </w:tcBorders>
            <w:vAlign w:val="bottom"/>
          </w:tcPr>
          <w:p w14:paraId="14B40A1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F4014D" w14:textId="77777777" w:rsidR="00132EA9" w:rsidRPr="003011D0" w:rsidRDefault="003011D0" w:rsidP="003011D0">
            <w:pPr>
              <w:jc w:val="right"/>
              <w:rPr>
                <w:lang w:val="en-US"/>
              </w:rPr>
            </w:pPr>
            <w:r w:rsidRPr="003011D0">
              <w:rPr>
                <w:sz w:val="40"/>
                <w:lang w:val="en-US"/>
              </w:rPr>
              <w:t>ST</w:t>
            </w:r>
            <w:r w:rsidRPr="003011D0">
              <w:rPr>
                <w:lang w:val="en-US"/>
              </w:rPr>
              <w:t>/SG/AC.10/C.3/2020/10/Rev.1</w:t>
            </w:r>
          </w:p>
        </w:tc>
      </w:tr>
      <w:tr w:rsidR="00132EA9" w:rsidRPr="00DB58B5" w14:paraId="23F2C038" w14:textId="77777777" w:rsidTr="00F01738">
        <w:trPr>
          <w:trHeight w:hRule="exact" w:val="2835"/>
        </w:trPr>
        <w:tc>
          <w:tcPr>
            <w:tcW w:w="1276" w:type="dxa"/>
            <w:tcBorders>
              <w:top w:val="single" w:sz="4" w:space="0" w:color="auto"/>
              <w:bottom w:val="single" w:sz="12" w:space="0" w:color="auto"/>
            </w:tcBorders>
          </w:tcPr>
          <w:p w14:paraId="16A6F641" w14:textId="77777777" w:rsidR="00132EA9" w:rsidRPr="00DB58B5" w:rsidRDefault="00132EA9" w:rsidP="00F01738">
            <w:pPr>
              <w:spacing w:before="120"/>
              <w:jc w:val="center"/>
            </w:pPr>
            <w:r>
              <w:rPr>
                <w:noProof/>
                <w:lang w:eastAsia="fr-CH"/>
              </w:rPr>
              <w:drawing>
                <wp:inline distT="0" distB="0" distL="0" distR="0" wp14:anchorId="015F38E0" wp14:editId="3D15A2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41D64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EC6761D" w14:textId="77777777" w:rsidR="00132EA9" w:rsidRDefault="003011D0" w:rsidP="00F01738">
            <w:pPr>
              <w:spacing w:before="240"/>
            </w:pPr>
            <w:r>
              <w:t>Distr. générale</w:t>
            </w:r>
          </w:p>
          <w:p w14:paraId="7EAE1295" w14:textId="77777777" w:rsidR="003011D0" w:rsidRDefault="003011D0" w:rsidP="003011D0">
            <w:pPr>
              <w:spacing w:line="240" w:lineRule="exact"/>
            </w:pPr>
            <w:r>
              <w:t>4 septembre 2020</w:t>
            </w:r>
          </w:p>
          <w:p w14:paraId="770BD0C4" w14:textId="77777777" w:rsidR="003011D0" w:rsidRDefault="003011D0" w:rsidP="003011D0">
            <w:pPr>
              <w:spacing w:line="240" w:lineRule="exact"/>
            </w:pPr>
            <w:r>
              <w:t>Français</w:t>
            </w:r>
          </w:p>
          <w:p w14:paraId="1B54EC1C" w14:textId="77777777" w:rsidR="003011D0" w:rsidRPr="00DB58B5" w:rsidRDefault="003011D0" w:rsidP="003011D0">
            <w:pPr>
              <w:spacing w:line="240" w:lineRule="exact"/>
            </w:pPr>
            <w:r>
              <w:t>Original : anglais</w:t>
            </w:r>
          </w:p>
        </w:tc>
      </w:tr>
    </w:tbl>
    <w:p w14:paraId="32C4FA36" w14:textId="77777777" w:rsidR="003011D0" w:rsidRPr="00CA0680" w:rsidRDefault="003011D0"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9BFC99A" w14:textId="77777777" w:rsidR="003011D0" w:rsidRPr="00CA0680" w:rsidRDefault="003011D0"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5DA5E692" w14:textId="77777777" w:rsidR="003011D0" w:rsidRPr="006B7953" w:rsidRDefault="003011D0" w:rsidP="003011D0">
      <w:pPr>
        <w:spacing w:before="120"/>
        <w:rPr>
          <w:b/>
          <w:lang w:val="fr-FR"/>
        </w:rPr>
      </w:pPr>
      <w:r>
        <w:rPr>
          <w:b/>
          <w:bCs/>
          <w:lang w:val="fr-FR"/>
        </w:rPr>
        <w:t>Cinquante-septième session</w:t>
      </w:r>
    </w:p>
    <w:p w14:paraId="408B4FC6" w14:textId="77777777" w:rsidR="003011D0" w:rsidRDefault="003011D0" w:rsidP="003011D0">
      <w:pPr>
        <w:rPr>
          <w:lang w:val="fr-FR"/>
        </w:rPr>
      </w:pPr>
      <w:r>
        <w:rPr>
          <w:lang w:val="fr-FR"/>
        </w:rPr>
        <w:t>Genève, 30 novembre-8 décembre 2020</w:t>
      </w:r>
    </w:p>
    <w:p w14:paraId="3B802583" w14:textId="77777777" w:rsidR="003011D0" w:rsidRPr="006B7953" w:rsidRDefault="003011D0" w:rsidP="003011D0">
      <w:pPr>
        <w:rPr>
          <w:lang w:val="fr-FR"/>
        </w:rPr>
      </w:pPr>
      <w:r>
        <w:rPr>
          <w:lang w:val="fr-FR"/>
        </w:rPr>
        <w:t>Point 3 de l’ordre du jour provisoire</w:t>
      </w:r>
    </w:p>
    <w:p w14:paraId="3E2BF07A" w14:textId="77777777" w:rsidR="00446FE5" w:rsidRDefault="003011D0" w:rsidP="003011D0">
      <w:pPr>
        <w:rPr>
          <w:b/>
          <w:bCs/>
          <w:lang w:val="fr-FR"/>
        </w:rPr>
      </w:pPr>
      <w:r>
        <w:rPr>
          <w:b/>
          <w:bCs/>
          <w:lang w:val="fr-FR"/>
        </w:rPr>
        <w:t>Inscription, classement et emballage</w:t>
      </w:r>
    </w:p>
    <w:p w14:paraId="36B542A6" w14:textId="77777777" w:rsidR="003011D0" w:rsidRPr="006B7953" w:rsidRDefault="003011D0" w:rsidP="003011D0">
      <w:pPr>
        <w:pStyle w:val="HChG"/>
        <w:rPr>
          <w:lang w:val="fr-FR"/>
        </w:rPr>
      </w:pPr>
      <w:r>
        <w:rPr>
          <w:lang w:val="fr-FR"/>
        </w:rPr>
        <w:tab/>
      </w:r>
      <w:r>
        <w:rPr>
          <w:lang w:val="fr-FR"/>
        </w:rPr>
        <w:tab/>
        <w:t xml:space="preserve">Transport d’extincteurs portatifs conformément </w:t>
      </w:r>
      <w:r>
        <w:rPr>
          <w:lang w:val="fr-FR"/>
        </w:rPr>
        <w:br/>
        <w:t xml:space="preserve">à la disposition spéciale 225 </w:t>
      </w:r>
    </w:p>
    <w:p w14:paraId="62CABB56" w14:textId="77777777" w:rsidR="003011D0" w:rsidRPr="006B7953" w:rsidRDefault="003011D0" w:rsidP="003011D0">
      <w:pPr>
        <w:pStyle w:val="H1G"/>
        <w:rPr>
          <w:lang w:val="fr-FR"/>
        </w:rPr>
      </w:pPr>
      <w:r>
        <w:rPr>
          <w:lang w:val="fr-FR"/>
        </w:rPr>
        <w:tab/>
      </w:r>
      <w:r>
        <w:rPr>
          <w:lang w:val="fr-FR"/>
        </w:rPr>
        <w:tab/>
        <w:t>Communication de l’expert de l’Allemagne</w:t>
      </w:r>
      <w:r w:rsidRPr="003011D0">
        <w:rPr>
          <w:rStyle w:val="FootnoteReference"/>
          <w:b w:val="0"/>
          <w:bCs/>
          <w:sz w:val="20"/>
          <w:vertAlign w:val="baseline"/>
          <w:lang w:val="fr-FR"/>
        </w:rPr>
        <w:footnoteReference w:customMarkFollows="1" w:id="2"/>
        <w:t>*</w:t>
      </w:r>
    </w:p>
    <w:p w14:paraId="1681B4B3" w14:textId="77777777" w:rsidR="003011D0" w:rsidRPr="006B7953" w:rsidRDefault="003011D0" w:rsidP="003011D0">
      <w:pPr>
        <w:pStyle w:val="H1G"/>
        <w:rPr>
          <w:lang w:val="fr-FR"/>
        </w:rPr>
      </w:pPr>
      <w:r>
        <w:rPr>
          <w:lang w:val="fr-FR"/>
        </w:rPr>
        <w:tab/>
      </w:r>
      <w:r>
        <w:rPr>
          <w:lang w:val="fr-FR"/>
        </w:rPr>
        <w:tab/>
        <w:t>Révision</w:t>
      </w:r>
    </w:p>
    <w:p w14:paraId="08FE046F" w14:textId="77777777" w:rsidR="003011D0" w:rsidRPr="006B7953" w:rsidRDefault="003011D0" w:rsidP="003011D0">
      <w:pPr>
        <w:pStyle w:val="HChG"/>
        <w:rPr>
          <w:lang w:val="fr-FR"/>
        </w:rPr>
      </w:pPr>
      <w:r>
        <w:rPr>
          <w:lang w:val="fr-FR"/>
        </w:rPr>
        <w:tab/>
      </w:r>
      <w:r>
        <w:rPr>
          <w:lang w:val="fr-FR"/>
        </w:rPr>
        <w:tab/>
        <w:t>Introduction</w:t>
      </w:r>
    </w:p>
    <w:p w14:paraId="13FCBBCB" w14:textId="77777777" w:rsidR="003011D0" w:rsidRPr="006B7953" w:rsidRDefault="003011D0" w:rsidP="003011D0">
      <w:pPr>
        <w:pStyle w:val="SingleTxtG"/>
        <w:rPr>
          <w:lang w:val="fr-FR"/>
        </w:rPr>
      </w:pPr>
      <w:r>
        <w:rPr>
          <w:lang w:val="fr-FR"/>
        </w:rPr>
        <w:t>1.</w:t>
      </w:r>
      <w:r>
        <w:rPr>
          <w:lang w:val="fr-FR"/>
        </w:rPr>
        <w:tab/>
        <w:t>Lors des discussions informelles tenues en ligne par le Sous-Comité en juin et juillet 2020, la proposition énoncée dans le document ST/SG/AC.10/C.3/2020/10 a fait l’objet d’observations de la part de plusieurs experts. L’expert de l’Allemagne a accepté de soumettre une proposition révisée tenant compte des observations formulées. La proposition a donc été complétée en ce qui concerne l’identification des conteneurs, ainsi que leur sécurité.</w:t>
      </w:r>
      <w:bookmarkStart w:id="1" w:name="_Hlk49983128"/>
      <w:bookmarkEnd w:id="1"/>
    </w:p>
    <w:p w14:paraId="61BD0754" w14:textId="77777777" w:rsidR="003011D0" w:rsidRPr="006B7953" w:rsidRDefault="003011D0" w:rsidP="003011D0">
      <w:pPr>
        <w:pStyle w:val="SingleTxtG"/>
        <w:rPr>
          <w:lang w:val="fr-FR"/>
        </w:rPr>
      </w:pPr>
      <w:r>
        <w:rPr>
          <w:lang w:val="fr-FR"/>
        </w:rPr>
        <w:t>2.</w:t>
      </w:r>
      <w:r>
        <w:rPr>
          <w:lang w:val="fr-FR"/>
        </w:rPr>
        <w:tab/>
        <w:t>Conformément à la disposition spéciale 225 a), la rubrique des extincteurs (No ONU 1044) comprend également les extincteurs portatifs. Bien qu’il n’existe pas de définition de ce type d’extincteurs, on suppose qu’il s’agit d’extincteurs portatifs remplis et en bon état de fonctionnement.</w:t>
      </w:r>
    </w:p>
    <w:p w14:paraId="2BCEFE47" w14:textId="77777777" w:rsidR="003011D0" w:rsidRPr="006B7953" w:rsidRDefault="003011D0" w:rsidP="003011D0">
      <w:pPr>
        <w:pStyle w:val="SingleTxtG"/>
        <w:rPr>
          <w:lang w:val="fr-FR"/>
        </w:rPr>
      </w:pPr>
      <w:r>
        <w:rPr>
          <w:lang w:val="fr-FR"/>
        </w:rPr>
        <w:t>3.</w:t>
      </w:r>
      <w:r>
        <w:rPr>
          <w:lang w:val="fr-FR"/>
        </w:rPr>
        <w:tab/>
        <w:t>Dans la pratique, il n’y a pas d’obligation de transporter des extincteurs portatifs remplis et en bon état de fonctionnement, en particulier pour les entreprises de services qui effectuent régulièrement l’entretien et l’inspection des extincteurs et les transportent vers des ateliers et/ou des installations de remplissage. Les composants nécessaires au bon fonctionnement du matériel, par exemple les tuyaux et robinets, sont pour la plupart examinés et laissés sur le lieu d’utilisation, puis remis en place après le retour du conteneur d’agent d’extinction. Pour le transport d’extincteurs portatifs neufs, afin de réduire la taille de l’emballage, les fabricants ne fixent généralement pas ces composants et se contentent de les joindre.</w:t>
      </w:r>
    </w:p>
    <w:p w14:paraId="3EFDBEB0" w14:textId="77777777" w:rsidR="003011D0" w:rsidRPr="006B7953" w:rsidRDefault="003011D0" w:rsidP="003011D0">
      <w:pPr>
        <w:pStyle w:val="SingleTxtG"/>
        <w:rPr>
          <w:lang w:val="fr-FR"/>
        </w:rPr>
      </w:pPr>
      <w:r>
        <w:rPr>
          <w:lang w:val="fr-FR"/>
        </w:rPr>
        <w:lastRenderedPageBreak/>
        <w:t>4.</w:t>
      </w:r>
      <w:r>
        <w:rPr>
          <w:lang w:val="fr-FR"/>
        </w:rPr>
        <w:tab/>
        <w:t>Du point de vue de la sécurité, le transport d’extincteurs portatifs sans ces composants nécessaires à leur bon fonctionnement est comparable au transport d’extincteurs portatifs complets et en bon état de fonctionnement, car ces composants montés en aval de la vanne d’arrêt ne sont pas sous pression. Il est supposé que le transport de ces conteneurs individuels d’agent d’extinction sous pression en tant qu’extincteurs portatifs du No ONU 1044 n’est pas autorisé conformément à la disposition spéciale 225 telle qu’elle est actuellement formulée. Cela est vrai en particulier dans le cadre de l’application du deuxième nota de ladite disposition spéciale 225, également pour le conteneur d’agent d’extinction d’un extincteur portatif, même si ce nota ne devrait s’appliquer qu’aux bouteilles de gaz propulseur pour extincteurs et aux bouteilles pour installations fixes de lutte contre l’incendie.</w:t>
      </w:r>
    </w:p>
    <w:p w14:paraId="27893810" w14:textId="77777777" w:rsidR="003011D0" w:rsidRPr="006B7953" w:rsidRDefault="003011D0" w:rsidP="003011D0">
      <w:pPr>
        <w:pStyle w:val="SingleTxtG"/>
        <w:rPr>
          <w:lang w:val="fr-FR"/>
        </w:rPr>
      </w:pPr>
      <w:r>
        <w:rPr>
          <w:lang w:val="fr-FR"/>
        </w:rPr>
        <w:t>5.</w:t>
      </w:r>
      <w:r>
        <w:rPr>
          <w:lang w:val="fr-FR"/>
        </w:rPr>
        <w:tab/>
        <w:t>Si les conteneurs d’agent d’extinction sous pression des extincteurs portatifs ne sont pas classés comme des extincteurs portatifs complets et en bon état de fonctionnement, ils doivent être classés soit comme des bouteilles à gaz et recevoir un numéro ONU en fonction du gaz qu’ils contiennent (par exemple No ONU 1013 dioxyde de carbone), soit sous le No ONU 3500 produit chimique sous pression, n.s.a., et doivent donc se conformer pleinement aux dispositions du chapitre 6.2. Toutefois, sur la base de la disposition spéciale 225, ils sont fabriqués, examinés, homologués et étiquetés en tant que composant d’un extincteur portatif conformément aux dispositions appliquées dans le pays de fabrication.</w:t>
      </w:r>
    </w:p>
    <w:p w14:paraId="56387449" w14:textId="77777777" w:rsidR="003011D0" w:rsidRPr="006B7953" w:rsidRDefault="003011D0" w:rsidP="003011D0">
      <w:pPr>
        <w:pStyle w:val="HChG"/>
        <w:rPr>
          <w:lang w:val="fr-FR"/>
        </w:rPr>
      </w:pPr>
      <w:r>
        <w:rPr>
          <w:lang w:val="fr-FR"/>
        </w:rPr>
        <w:tab/>
      </w:r>
      <w:r>
        <w:rPr>
          <w:lang w:val="fr-FR"/>
        </w:rPr>
        <w:tab/>
      </w:r>
      <w:r>
        <w:rPr>
          <w:bCs/>
          <w:lang w:val="fr-FR"/>
        </w:rPr>
        <w:t>Proposition</w:t>
      </w:r>
    </w:p>
    <w:p w14:paraId="4ED1F062" w14:textId="77777777" w:rsidR="003011D0" w:rsidRPr="006B7953" w:rsidRDefault="003011D0" w:rsidP="003011D0">
      <w:pPr>
        <w:pStyle w:val="SingleTxtG"/>
        <w:ind w:left="1689" w:hanging="555"/>
        <w:rPr>
          <w:lang w:val="fr-FR"/>
        </w:rPr>
      </w:pPr>
      <w:r>
        <w:rPr>
          <w:lang w:val="fr-FR"/>
        </w:rPr>
        <w:t>6.</w:t>
      </w:r>
      <w:r>
        <w:rPr>
          <w:lang w:val="fr-FR"/>
        </w:rPr>
        <w:tab/>
        <w:t xml:space="preserve">Insérer un nota supplémentaire entre les points a) et b) de la disposition spéciale 225 comme suit (le texte qu’il est proposé d’ajouter est </w:t>
      </w:r>
      <w:r w:rsidRPr="00921D37">
        <w:rPr>
          <w:u w:val="single"/>
          <w:lang w:val="fr-FR"/>
        </w:rPr>
        <w:t>souligné</w:t>
      </w:r>
      <w:r>
        <w:rPr>
          <w:lang w:val="fr-FR"/>
        </w:rPr>
        <w:t>) :</w:t>
      </w:r>
    </w:p>
    <w:p w14:paraId="66FFAD9A" w14:textId="77777777" w:rsidR="003011D0" w:rsidRPr="006B7953" w:rsidRDefault="003011D0" w:rsidP="003011D0">
      <w:pPr>
        <w:pStyle w:val="SingleTxtG"/>
        <w:tabs>
          <w:tab w:val="left" w:pos="2552"/>
        </w:tabs>
        <w:ind w:left="1701"/>
        <w:rPr>
          <w:lang w:val="fr-FR"/>
        </w:rPr>
      </w:pPr>
      <w:r>
        <w:rPr>
          <w:lang w:val="fr-FR"/>
        </w:rPr>
        <w:t>« </w:t>
      </w:r>
      <w:r w:rsidRPr="00921D37">
        <w:rPr>
          <w:u w:val="single"/>
          <w:lang w:val="fr-FR"/>
        </w:rPr>
        <w:t>NOTA :</w:t>
      </w:r>
      <w:r w:rsidRPr="00921D37">
        <w:rPr>
          <w:u w:val="single"/>
          <w:lang w:val="fr-FR"/>
        </w:rPr>
        <w:tab/>
      </w:r>
      <w:r w:rsidRPr="00921D37">
        <w:rPr>
          <w:i/>
          <w:iCs/>
          <w:u w:val="single"/>
          <w:lang w:val="fr-FR"/>
        </w:rPr>
        <w:t>Cette rubrique s</w:t>
      </w:r>
      <w:r>
        <w:rPr>
          <w:i/>
          <w:iCs/>
          <w:u w:val="single"/>
          <w:lang w:val="fr-FR"/>
        </w:rPr>
        <w:t>’</w:t>
      </w:r>
      <w:r w:rsidRPr="00921D37">
        <w:rPr>
          <w:i/>
          <w:iCs/>
          <w:u w:val="single"/>
          <w:lang w:val="fr-FR"/>
        </w:rPr>
        <w:t>applique aux extincteurs portables, même si certains éléments nécessaires à leur bon fonctionnement (par exemple, les tuyaux et les buses) sont temporairement détachés, tant que la sécurité des conteneurs d</w:t>
      </w:r>
      <w:r>
        <w:rPr>
          <w:i/>
          <w:iCs/>
          <w:u w:val="single"/>
          <w:lang w:val="fr-FR"/>
        </w:rPr>
        <w:t>’</w:t>
      </w:r>
      <w:r w:rsidRPr="00921D37">
        <w:rPr>
          <w:i/>
          <w:iCs/>
          <w:u w:val="single"/>
          <w:lang w:val="fr-FR"/>
        </w:rPr>
        <w:t>agent d</w:t>
      </w:r>
      <w:r>
        <w:rPr>
          <w:i/>
          <w:iCs/>
          <w:u w:val="single"/>
          <w:lang w:val="fr-FR"/>
        </w:rPr>
        <w:t>’</w:t>
      </w:r>
      <w:r w:rsidRPr="00921D37">
        <w:rPr>
          <w:i/>
          <w:iCs/>
          <w:u w:val="single"/>
          <w:lang w:val="fr-FR"/>
        </w:rPr>
        <w:t>extinction sous pression n</w:t>
      </w:r>
      <w:r>
        <w:rPr>
          <w:i/>
          <w:iCs/>
          <w:u w:val="single"/>
          <w:lang w:val="fr-FR"/>
        </w:rPr>
        <w:t>’</w:t>
      </w:r>
      <w:r w:rsidRPr="00921D37">
        <w:rPr>
          <w:i/>
          <w:iCs/>
          <w:u w:val="single"/>
          <w:lang w:val="fr-FR"/>
        </w:rPr>
        <w:t>est pas compromise et que les extincteurs continuent d</w:t>
      </w:r>
      <w:r>
        <w:rPr>
          <w:i/>
          <w:iCs/>
          <w:u w:val="single"/>
          <w:lang w:val="fr-FR"/>
        </w:rPr>
        <w:t>’</w:t>
      </w:r>
      <w:r w:rsidRPr="00921D37">
        <w:rPr>
          <w:i/>
          <w:iCs/>
          <w:u w:val="single"/>
          <w:lang w:val="fr-FR"/>
        </w:rPr>
        <w:t>être [marqués] [identifiés] en tant qu</w:t>
      </w:r>
      <w:r>
        <w:rPr>
          <w:i/>
          <w:iCs/>
          <w:u w:val="single"/>
          <w:lang w:val="fr-FR"/>
        </w:rPr>
        <w:t>’</w:t>
      </w:r>
      <w:r w:rsidRPr="00921D37">
        <w:rPr>
          <w:i/>
          <w:iCs/>
          <w:u w:val="single"/>
          <w:lang w:val="fr-FR"/>
        </w:rPr>
        <w:t>extincteurs portables.</w:t>
      </w:r>
      <w:r>
        <w:rPr>
          <w:i/>
          <w:iCs/>
          <w:lang w:val="fr-FR"/>
        </w:rPr>
        <w:t> </w:t>
      </w:r>
      <w:r w:rsidRPr="00921D37">
        <w:rPr>
          <w:lang w:val="fr-FR"/>
        </w:rPr>
        <w:t>»</w:t>
      </w:r>
      <w:r>
        <w:rPr>
          <w:i/>
          <w:iCs/>
          <w:lang w:val="fr-FR"/>
        </w:rPr>
        <w:t>.</w:t>
      </w:r>
    </w:p>
    <w:p w14:paraId="79B3CA27" w14:textId="77777777" w:rsidR="003011D0" w:rsidRPr="003011D0" w:rsidRDefault="003011D0" w:rsidP="003011D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011D0" w:rsidRPr="003011D0" w:rsidSect="003011D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CD040" w14:textId="77777777" w:rsidR="00066D63" w:rsidRDefault="00066D63" w:rsidP="00F95C08">
      <w:pPr>
        <w:spacing w:line="240" w:lineRule="auto"/>
      </w:pPr>
    </w:p>
  </w:endnote>
  <w:endnote w:type="continuationSeparator" w:id="0">
    <w:p w14:paraId="2F0BC961" w14:textId="77777777" w:rsidR="00066D63" w:rsidRPr="00AC3823" w:rsidRDefault="00066D63" w:rsidP="00AC3823">
      <w:pPr>
        <w:pStyle w:val="Footer"/>
      </w:pPr>
    </w:p>
  </w:endnote>
  <w:endnote w:type="continuationNotice" w:id="1">
    <w:p w14:paraId="1C8079CA" w14:textId="77777777" w:rsidR="00066D63" w:rsidRDefault="00066D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5094" w14:textId="77777777" w:rsidR="003011D0" w:rsidRPr="003011D0" w:rsidRDefault="003011D0" w:rsidP="003011D0">
    <w:pPr>
      <w:pStyle w:val="Footer"/>
      <w:tabs>
        <w:tab w:val="right" w:pos="9638"/>
      </w:tabs>
    </w:pPr>
    <w:r w:rsidRPr="003011D0">
      <w:rPr>
        <w:b/>
        <w:sz w:val="18"/>
      </w:rPr>
      <w:fldChar w:fldCharType="begin"/>
    </w:r>
    <w:r w:rsidRPr="003011D0">
      <w:rPr>
        <w:b/>
        <w:sz w:val="18"/>
      </w:rPr>
      <w:instrText xml:space="preserve"> PAGE  \* MERGEFORMAT </w:instrText>
    </w:r>
    <w:r w:rsidRPr="003011D0">
      <w:rPr>
        <w:b/>
        <w:sz w:val="18"/>
      </w:rPr>
      <w:fldChar w:fldCharType="separate"/>
    </w:r>
    <w:r w:rsidRPr="003011D0">
      <w:rPr>
        <w:b/>
        <w:noProof/>
        <w:sz w:val="18"/>
      </w:rPr>
      <w:t>2</w:t>
    </w:r>
    <w:r w:rsidRPr="003011D0">
      <w:rPr>
        <w:b/>
        <w:sz w:val="18"/>
      </w:rPr>
      <w:fldChar w:fldCharType="end"/>
    </w:r>
    <w:r>
      <w:rPr>
        <w:b/>
        <w:sz w:val="18"/>
      </w:rPr>
      <w:tab/>
    </w:r>
    <w:r>
      <w:t>GE.20-11477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25AF" w14:textId="77777777" w:rsidR="003011D0" w:rsidRPr="003011D0" w:rsidRDefault="003011D0" w:rsidP="003011D0">
    <w:pPr>
      <w:pStyle w:val="Footer"/>
      <w:tabs>
        <w:tab w:val="right" w:pos="9638"/>
      </w:tabs>
      <w:rPr>
        <w:b/>
        <w:sz w:val="18"/>
      </w:rPr>
    </w:pPr>
    <w:r>
      <w:t>GE.20-11477</w:t>
    </w:r>
    <w:r>
      <w:tab/>
    </w:r>
    <w:r w:rsidRPr="003011D0">
      <w:rPr>
        <w:b/>
        <w:sz w:val="18"/>
      </w:rPr>
      <w:fldChar w:fldCharType="begin"/>
    </w:r>
    <w:r w:rsidRPr="003011D0">
      <w:rPr>
        <w:b/>
        <w:sz w:val="18"/>
      </w:rPr>
      <w:instrText xml:space="preserve"> PAGE  \* MERGEFORMAT </w:instrText>
    </w:r>
    <w:r w:rsidRPr="003011D0">
      <w:rPr>
        <w:b/>
        <w:sz w:val="18"/>
      </w:rPr>
      <w:fldChar w:fldCharType="separate"/>
    </w:r>
    <w:r w:rsidRPr="003011D0">
      <w:rPr>
        <w:b/>
        <w:noProof/>
        <w:sz w:val="18"/>
      </w:rPr>
      <w:t>3</w:t>
    </w:r>
    <w:r w:rsidRPr="003011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EBBA" w14:textId="77777777" w:rsidR="0068456F" w:rsidRPr="003011D0" w:rsidRDefault="003011D0" w:rsidP="003011D0">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1A2E401" wp14:editId="3B0FF0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20-11477  (F)    121120    121120</w:t>
    </w:r>
    <w:r>
      <w:rPr>
        <w:sz w:val="20"/>
      </w:rPr>
      <w:br/>
    </w:r>
    <w:r w:rsidRPr="003011D0">
      <w:rPr>
        <w:rFonts w:ascii="C39T30Lfz" w:hAnsi="C39T30Lfz"/>
        <w:sz w:val="56"/>
      </w:rPr>
      <w:t>*2011477*</w:t>
    </w:r>
    <w:r>
      <w:rPr>
        <w:noProof/>
        <w:sz w:val="20"/>
      </w:rPr>
      <w:drawing>
        <wp:anchor distT="0" distB="0" distL="114300" distR="114300" simplePos="0" relativeHeight="251658240" behindDoc="0" locked="0" layoutInCell="1" allowOverlap="1" wp14:anchorId="616CA1CA" wp14:editId="6D9AE62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C030" w14:textId="77777777" w:rsidR="00066D63" w:rsidRPr="00AC3823" w:rsidRDefault="00066D63" w:rsidP="00AC3823">
      <w:pPr>
        <w:pStyle w:val="Footer"/>
        <w:tabs>
          <w:tab w:val="right" w:pos="2155"/>
        </w:tabs>
        <w:spacing w:after="80" w:line="240" w:lineRule="atLeast"/>
        <w:ind w:left="680"/>
        <w:rPr>
          <w:u w:val="single"/>
        </w:rPr>
      </w:pPr>
      <w:r>
        <w:rPr>
          <w:u w:val="single"/>
        </w:rPr>
        <w:tab/>
      </w:r>
    </w:p>
  </w:footnote>
  <w:footnote w:type="continuationSeparator" w:id="0">
    <w:p w14:paraId="4AA51659" w14:textId="77777777" w:rsidR="00066D63" w:rsidRPr="00AC3823" w:rsidRDefault="00066D63" w:rsidP="00AC3823">
      <w:pPr>
        <w:pStyle w:val="Footer"/>
        <w:tabs>
          <w:tab w:val="right" w:pos="2155"/>
        </w:tabs>
        <w:spacing w:after="80" w:line="240" w:lineRule="atLeast"/>
        <w:ind w:left="680"/>
        <w:rPr>
          <w:u w:val="single"/>
        </w:rPr>
      </w:pPr>
      <w:r>
        <w:rPr>
          <w:u w:val="single"/>
        </w:rPr>
        <w:tab/>
      </w:r>
    </w:p>
  </w:footnote>
  <w:footnote w:type="continuationNotice" w:id="1">
    <w:p w14:paraId="3E5696DD" w14:textId="77777777" w:rsidR="00066D63" w:rsidRPr="00AC3823" w:rsidRDefault="00066D63">
      <w:pPr>
        <w:spacing w:line="240" w:lineRule="auto"/>
        <w:rPr>
          <w:sz w:val="2"/>
          <w:szCs w:val="2"/>
        </w:rPr>
      </w:pPr>
    </w:p>
  </w:footnote>
  <w:footnote w:id="2">
    <w:p w14:paraId="31220123" w14:textId="77777777" w:rsidR="003011D0" w:rsidRPr="006B7953" w:rsidRDefault="003011D0" w:rsidP="003011D0">
      <w:pPr>
        <w:pStyle w:val="FootnoteText"/>
        <w:rPr>
          <w:lang w:val="fr-FR"/>
        </w:rPr>
      </w:pPr>
      <w:r>
        <w:rPr>
          <w:lang w:val="fr-FR"/>
        </w:rPr>
        <w:tab/>
      </w:r>
      <w:r w:rsidRPr="003011D0">
        <w:rPr>
          <w:lang w:val="fr-FR"/>
        </w:rPr>
        <w:t>*</w:t>
      </w:r>
      <w:r>
        <w:rPr>
          <w:lang w:val="fr-FR"/>
        </w:rPr>
        <w:tab/>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507D" w14:textId="37DE2780" w:rsidR="003011D0" w:rsidRPr="003011D0" w:rsidRDefault="002363F7">
    <w:pPr>
      <w:pStyle w:val="Header"/>
    </w:pPr>
    <w:r>
      <w:fldChar w:fldCharType="begin"/>
    </w:r>
    <w:r>
      <w:instrText xml:space="preserve"> TITL</w:instrText>
    </w:r>
    <w:r>
      <w:instrText xml:space="preserve">E  \* MERGEFORMAT </w:instrText>
    </w:r>
    <w:r>
      <w:fldChar w:fldCharType="separate"/>
    </w:r>
    <w:r w:rsidR="00451C9B">
      <w:t>ST/SG/AC.10/C.3/2020/10/Rev.1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9D49" w14:textId="312716A4" w:rsidR="003011D0" w:rsidRPr="003011D0" w:rsidRDefault="002363F7" w:rsidP="003011D0">
    <w:pPr>
      <w:pStyle w:val="Header"/>
      <w:jc w:val="right"/>
    </w:pPr>
    <w:r>
      <w:fldChar w:fldCharType="begin"/>
    </w:r>
    <w:r>
      <w:instrText xml:space="preserve"> TITLE  \* MERGEFORMAT </w:instrText>
    </w:r>
    <w:r>
      <w:fldChar w:fldCharType="separate"/>
    </w:r>
    <w:r w:rsidR="00451C9B">
      <w:t>ST/SG/AC.10/C.3/2020/10/Rev.1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63"/>
    <w:rsid w:val="00017F94"/>
    <w:rsid w:val="00023842"/>
    <w:rsid w:val="000305D3"/>
    <w:rsid w:val="000334F9"/>
    <w:rsid w:val="00066D63"/>
    <w:rsid w:val="0007796D"/>
    <w:rsid w:val="000B7790"/>
    <w:rsid w:val="00111F2F"/>
    <w:rsid w:val="00132EA9"/>
    <w:rsid w:val="0014365E"/>
    <w:rsid w:val="00176178"/>
    <w:rsid w:val="001F525A"/>
    <w:rsid w:val="00223272"/>
    <w:rsid w:val="002363F7"/>
    <w:rsid w:val="0024779E"/>
    <w:rsid w:val="00283190"/>
    <w:rsid w:val="002832AC"/>
    <w:rsid w:val="002D7C93"/>
    <w:rsid w:val="003011D0"/>
    <w:rsid w:val="00441C3B"/>
    <w:rsid w:val="00446FE5"/>
    <w:rsid w:val="00451C9B"/>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 w:val="00FD23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DA45A"/>
  <w15:docId w15:val="{9F6D9379-D218-4693-B1FD-B0D2E907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3011D0"/>
    <w:rPr>
      <w:rFonts w:ascii="Times New Roman" w:eastAsiaTheme="minorHAnsi" w:hAnsi="Times New Roman" w:cs="Times New Roman"/>
      <w:b/>
      <w:sz w:val="28"/>
      <w:szCs w:val="20"/>
      <w:lang w:eastAsia="en-US"/>
    </w:rPr>
  </w:style>
  <w:style w:type="character" w:customStyle="1" w:styleId="H1GChar">
    <w:name w:val="_ H_1_G Char"/>
    <w:link w:val="H1G"/>
    <w:locked/>
    <w:rsid w:val="003011D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529DE-C715-4DC4-AF2B-541C2E27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A8A33-E593-498C-AE60-D3094FEC56C9}">
  <ds:schemaRefs>
    <ds:schemaRef ds:uri="http://schemas.microsoft.com/sharepoint/v3/contenttype/forms"/>
  </ds:schemaRefs>
</ds:datastoreItem>
</file>

<file path=customXml/itemProps3.xml><?xml version="1.0" encoding="utf-8"?>
<ds:datastoreItem xmlns:ds="http://schemas.openxmlformats.org/officeDocument/2006/customXml" ds:itemID="{B3921C72-53A6-4FB7-9FC2-B78736475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ST/SG/AC.10/C.3/2020/10/Rev.1</vt:lpstr>
    </vt:vector>
  </TitlesOfParts>
  <Company>DCM</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ST/SG/AC.10/C.3/2020/10/Rev.1</dc:title>
  <dc:subject/>
  <dc:creator>Sandrine CLERE</dc:creator>
  <cp:keywords/>
  <cp:lastModifiedBy>Laurence Berthet</cp:lastModifiedBy>
  <cp:revision>2</cp:revision>
  <cp:lastPrinted>2020-11-12T13:07:00Z</cp:lastPrinted>
  <dcterms:created xsi:type="dcterms:W3CDTF">2020-11-12T15:44:00Z</dcterms:created>
  <dcterms:modified xsi:type="dcterms:W3CDTF">2020-11-12T15:44:00Z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