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672E1C6" w14:textId="77777777" w:rsidTr="00F01738">
        <w:trPr>
          <w:trHeight w:hRule="exact" w:val="851"/>
        </w:trPr>
        <w:tc>
          <w:tcPr>
            <w:tcW w:w="1276" w:type="dxa"/>
            <w:tcBorders>
              <w:bottom w:val="single" w:sz="4" w:space="0" w:color="auto"/>
            </w:tcBorders>
          </w:tcPr>
          <w:p w14:paraId="3FA6DE70" w14:textId="77777777" w:rsidR="00132EA9" w:rsidRPr="00DB58B5" w:rsidRDefault="00132EA9" w:rsidP="00805B65">
            <w:bookmarkStart w:id="0" w:name="_GoBack"/>
            <w:bookmarkEnd w:id="0"/>
          </w:p>
        </w:tc>
        <w:tc>
          <w:tcPr>
            <w:tcW w:w="2268" w:type="dxa"/>
            <w:tcBorders>
              <w:bottom w:val="single" w:sz="4" w:space="0" w:color="auto"/>
            </w:tcBorders>
            <w:vAlign w:val="bottom"/>
          </w:tcPr>
          <w:p w14:paraId="7FB03AE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D00C41" w14:textId="77777777" w:rsidR="00132EA9" w:rsidRPr="00DB58B5" w:rsidRDefault="00805B65" w:rsidP="00805B65">
            <w:pPr>
              <w:jc w:val="right"/>
            </w:pPr>
            <w:r w:rsidRPr="00805B65">
              <w:rPr>
                <w:sz w:val="40"/>
              </w:rPr>
              <w:t>ST</w:t>
            </w:r>
            <w:r>
              <w:t>/SG/AC.10/C.3/2020/8</w:t>
            </w:r>
          </w:p>
        </w:tc>
      </w:tr>
      <w:tr w:rsidR="00132EA9" w:rsidRPr="00DB58B5" w14:paraId="460B8812" w14:textId="77777777" w:rsidTr="00F01738">
        <w:trPr>
          <w:trHeight w:hRule="exact" w:val="2835"/>
        </w:trPr>
        <w:tc>
          <w:tcPr>
            <w:tcW w:w="1276" w:type="dxa"/>
            <w:tcBorders>
              <w:top w:val="single" w:sz="4" w:space="0" w:color="auto"/>
              <w:bottom w:val="single" w:sz="12" w:space="0" w:color="auto"/>
            </w:tcBorders>
          </w:tcPr>
          <w:p w14:paraId="504C1955" w14:textId="77777777" w:rsidR="00132EA9" w:rsidRPr="00DB58B5" w:rsidRDefault="00132EA9" w:rsidP="00F01738">
            <w:pPr>
              <w:spacing w:before="120"/>
              <w:jc w:val="center"/>
            </w:pPr>
            <w:r>
              <w:rPr>
                <w:noProof/>
                <w:lang w:eastAsia="fr-CH"/>
              </w:rPr>
              <w:drawing>
                <wp:inline distT="0" distB="0" distL="0" distR="0" wp14:anchorId="09DE6EFE" wp14:editId="3554C85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74B8C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2E0AD04" w14:textId="77777777" w:rsidR="00132EA9" w:rsidRDefault="00805B65" w:rsidP="00F01738">
            <w:pPr>
              <w:spacing w:before="240"/>
            </w:pPr>
            <w:r>
              <w:t>Distr. générale</w:t>
            </w:r>
          </w:p>
          <w:p w14:paraId="205A3152" w14:textId="77777777" w:rsidR="00805B65" w:rsidRDefault="00805B65" w:rsidP="00805B65">
            <w:pPr>
              <w:spacing w:line="240" w:lineRule="exact"/>
            </w:pPr>
            <w:r>
              <w:t>2 avril 2020</w:t>
            </w:r>
          </w:p>
          <w:p w14:paraId="3F22D97A" w14:textId="77777777" w:rsidR="00805B65" w:rsidRDefault="00805B65" w:rsidP="00805B65">
            <w:pPr>
              <w:spacing w:line="240" w:lineRule="exact"/>
            </w:pPr>
            <w:r>
              <w:t>Français</w:t>
            </w:r>
          </w:p>
          <w:p w14:paraId="36FDEA1F" w14:textId="77777777" w:rsidR="00805B65" w:rsidRPr="00DB58B5" w:rsidRDefault="00805B65" w:rsidP="00805B65">
            <w:pPr>
              <w:spacing w:line="240" w:lineRule="exact"/>
            </w:pPr>
            <w:r>
              <w:t>Original</w:t>
            </w:r>
            <w:r w:rsidR="007B1542">
              <w:t> :</w:t>
            </w:r>
            <w:r>
              <w:t xml:space="preserve"> anglais</w:t>
            </w:r>
          </w:p>
        </w:tc>
      </w:tr>
    </w:tbl>
    <w:p w14:paraId="436FE817" w14:textId="77777777" w:rsidR="00B937B1" w:rsidRPr="00CA0680" w:rsidRDefault="00B937B1"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3727941F" w14:textId="77777777" w:rsidR="00B937B1" w:rsidRPr="00CA0680" w:rsidRDefault="00B937B1" w:rsidP="000305D3">
      <w:pPr>
        <w:spacing w:before="120"/>
        <w:rPr>
          <w:b/>
        </w:rPr>
      </w:pPr>
      <w:r w:rsidRPr="00CA0680">
        <w:rPr>
          <w:b/>
        </w:rPr>
        <w:t>Sous</w:t>
      </w:r>
      <w:r>
        <w:rPr>
          <w:b/>
        </w:rPr>
        <w:t>-</w:t>
      </w:r>
      <w:r w:rsidRPr="00CA0680">
        <w:rPr>
          <w:b/>
        </w:rPr>
        <w:t>Comité d’experts du transport des marchandises dangereuses</w:t>
      </w:r>
    </w:p>
    <w:p w14:paraId="046A33F8" w14:textId="77777777" w:rsidR="00B937B1" w:rsidRDefault="003810BF" w:rsidP="000305D3">
      <w:pPr>
        <w:spacing w:before="120"/>
        <w:rPr>
          <w:b/>
        </w:rPr>
      </w:pPr>
      <w:r>
        <w:rPr>
          <w:b/>
        </w:rPr>
        <w:t>Cinquante-septième</w:t>
      </w:r>
      <w:r w:rsidR="00B937B1">
        <w:rPr>
          <w:b/>
        </w:rPr>
        <w:t xml:space="preserve"> </w:t>
      </w:r>
      <w:r w:rsidR="00B937B1" w:rsidRPr="00CA0680">
        <w:rPr>
          <w:b/>
        </w:rPr>
        <w:t>session</w:t>
      </w:r>
    </w:p>
    <w:p w14:paraId="7958683D" w14:textId="77777777" w:rsidR="00B937B1" w:rsidRDefault="00B937B1" w:rsidP="000305D3">
      <w:r>
        <w:t xml:space="preserve">Genève, </w:t>
      </w:r>
      <w:r w:rsidR="003810BF">
        <w:t>29 juin-8 juillet 2020</w:t>
      </w:r>
    </w:p>
    <w:p w14:paraId="4FA3E060" w14:textId="77777777" w:rsidR="00B937B1" w:rsidRDefault="00B937B1" w:rsidP="000305D3">
      <w:r>
        <w:t xml:space="preserve">Point </w:t>
      </w:r>
      <w:r w:rsidR="003810BF">
        <w:t>5 b)</w:t>
      </w:r>
      <w:r>
        <w:t xml:space="preserve"> de l’ordre du jour provisoire</w:t>
      </w:r>
    </w:p>
    <w:p w14:paraId="5CE39239" w14:textId="77777777" w:rsidR="00805B65" w:rsidRPr="00DD784D" w:rsidRDefault="003810BF" w:rsidP="00AC3823">
      <w:pPr>
        <w:rPr>
          <w:b/>
        </w:rPr>
      </w:pPr>
      <w:r w:rsidRPr="00DD784D">
        <w:rPr>
          <w:b/>
        </w:rPr>
        <w:t>Transport de gaz</w:t>
      </w:r>
      <w:r w:rsidR="007B1542">
        <w:rPr>
          <w:b/>
        </w:rPr>
        <w:t> :</w:t>
      </w:r>
      <w:r w:rsidRPr="00DD784D">
        <w:rPr>
          <w:b/>
        </w:rPr>
        <w:t xml:space="preserve"> </w:t>
      </w:r>
      <w:r w:rsidR="00DD784D" w:rsidRPr="00DD784D">
        <w:rPr>
          <w:b/>
        </w:rPr>
        <w:t xml:space="preserve">questions </w:t>
      </w:r>
      <w:r w:rsidRPr="00DD784D">
        <w:rPr>
          <w:b/>
        </w:rPr>
        <w:t>divers</w:t>
      </w:r>
      <w:r w:rsidR="00DD784D" w:rsidRPr="00DD784D">
        <w:rPr>
          <w:b/>
        </w:rPr>
        <w:t>es</w:t>
      </w:r>
    </w:p>
    <w:p w14:paraId="216D7C43" w14:textId="77777777" w:rsidR="00DD784D" w:rsidRPr="00A12687" w:rsidRDefault="00DD784D" w:rsidP="00DD784D">
      <w:pPr>
        <w:pStyle w:val="HChG"/>
      </w:pPr>
      <w:r w:rsidRPr="00A12687">
        <w:tab/>
      </w:r>
      <w:r w:rsidRPr="00A12687">
        <w:tab/>
        <w:t>Mise à jour des valeurs de la CL</w:t>
      </w:r>
      <w:r w:rsidRPr="00A12687">
        <w:rPr>
          <w:vertAlign w:val="subscript"/>
        </w:rPr>
        <w:t>50</w:t>
      </w:r>
      <w:r w:rsidRPr="00A12687">
        <w:t xml:space="preserve"> dans l’instruction d’emballage P200</w:t>
      </w:r>
    </w:p>
    <w:p w14:paraId="0044CADE" w14:textId="77777777" w:rsidR="00DD784D" w:rsidRPr="00A12687" w:rsidRDefault="00DD784D" w:rsidP="00DD784D">
      <w:pPr>
        <w:pStyle w:val="H1G"/>
      </w:pPr>
      <w:r w:rsidRPr="00A12687">
        <w:tab/>
      </w:r>
      <w:r w:rsidRPr="00A12687">
        <w:tab/>
        <w:t>Communication de l’Association européenne des gaz industriels (EIGA)</w:t>
      </w:r>
      <w:r w:rsidR="00E67FDB" w:rsidRPr="00E67FDB">
        <w:rPr>
          <w:rStyle w:val="FootnoteReference"/>
          <w:b w:val="0"/>
          <w:sz w:val="20"/>
          <w:vertAlign w:val="baseline"/>
        </w:rPr>
        <w:footnoteReference w:customMarkFollows="1" w:id="2"/>
        <w:t>*</w:t>
      </w:r>
    </w:p>
    <w:p w14:paraId="6A2766C9" w14:textId="77777777" w:rsidR="00DD784D" w:rsidRPr="00A12687" w:rsidRDefault="00DD784D" w:rsidP="00DD784D">
      <w:pPr>
        <w:pStyle w:val="HChG"/>
      </w:pPr>
      <w:r w:rsidRPr="00A12687">
        <w:tab/>
      </w:r>
      <w:r w:rsidRPr="00A12687">
        <w:tab/>
        <w:t>Introduction</w:t>
      </w:r>
    </w:p>
    <w:p w14:paraId="049F1972" w14:textId="77777777" w:rsidR="00DD784D" w:rsidRPr="00A12687" w:rsidRDefault="00DD784D" w:rsidP="007B1542">
      <w:pPr>
        <w:pStyle w:val="SingleTxtG"/>
      </w:pPr>
      <w:r w:rsidRPr="00A12687">
        <w:t xml:space="preserve">1. </w:t>
      </w:r>
      <w:r w:rsidRPr="00A12687">
        <w:tab/>
        <w:t>Après sa dernière séance plénière tenue le 3</w:t>
      </w:r>
      <w:r w:rsidR="007B1542">
        <w:t> </w:t>
      </w:r>
      <w:r w:rsidRPr="00A12687">
        <w:t>octobre 2019, le Sous-Comité</w:t>
      </w:r>
      <w:r w:rsidR="007B1542">
        <w:t> </w:t>
      </w:r>
      <w:r w:rsidRPr="00A12687">
        <w:t>2 du Comité technique</w:t>
      </w:r>
      <w:r w:rsidR="007B1542">
        <w:t> </w:t>
      </w:r>
      <w:r w:rsidRPr="00A12687">
        <w:t xml:space="preserve">58 de l’ISO a demandé à son </w:t>
      </w:r>
      <w:r w:rsidR="002C6A58">
        <w:t>g</w:t>
      </w:r>
      <w:r w:rsidRPr="00A12687">
        <w:t>roupe de travail 7 d’établir, pour le 1</w:t>
      </w:r>
      <w:r w:rsidRPr="00A12687">
        <w:rPr>
          <w:vertAlign w:val="superscript"/>
        </w:rPr>
        <w:t>er</w:t>
      </w:r>
      <w:r w:rsidR="007B1542">
        <w:t> </w:t>
      </w:r>
      <w:r w:rsidRPr="00A12687">
        <w:t>février 2020 au plus tard, un document précisant la logique présidant à la détermination des valeurs correctes pour la CL</w:t>
      </w:r>
      <w:r w:rsidRPr="00A12687">
        <w:rPr>
          <w:vertAlign w:val="subscript"/>
        </w:rPr>
        <w:t>50</w:t>
      </w:r>
      <w:r w:rsidRPr="00A12687">
        <w:t>, en ce qui concerne certains gaz à proposer pour le Règlement type pour le transport des marchandises dangereuses.</w:t>
      </w:r>
    </w:p>
    <w:p w14:paraId="669FE5E8" w14:textId="77777777" w:rsidR="00DD784D" w:rsidRPr="00A12687" w:rsidRDefault="00DD784D" w:rsidP="007B1542">
      <w:pPr>
        <w:pStyle w:val="SingleTxtG"/>
        <w:keepNext/>
      </w:pPr>
      <w:r w:rsidRPr="00A12687">
        <w:t>2.</w:t>
      </w:r>
      <w:r w:rsidRPr="00A12687">
        <w:tab/>
        <w:t>En effet, les valeurs de CL</w:t>
      </w:r>
      <w:r w:rsidRPr="00A12687">
        <w:rPr>
          <w:vertAlign w:val="subscript"/>
        </w:rPr>
        <w:t>50</w:t>
      </w:r>
      <w:r w:rsidRPr="00A12687">
        <w:t xml:space="preserve"> figurant dans la vingt et unième révision du Règlement type pour le transport des marchandises dangereuses et dans la norme ISO</w:t>
      </w:r>
      <w:r w:rsidR="00A36E52">
        <w:t> </w:t>
      </w:r>
      <w:r w:rsidRPr="00A12687">
        <w:t>10298</w:t>
      </w:r>
      <w:r w:rsidR="007B1542">
        <w:t>:</w:t>
      </w:r>
      <w:r w:rsidRPr="00A12687">
        <w:t xml:space="preserve">2018 </w:t>
      </w:r>
      <w:r w:rsidRPr="00A12687">
        <w:rPr>
          <w:i/>
          <w:iCs/>
        </w:rPr>
        <w:t xml:space="preserve">Bouteilles à gaz − Gaz et mélange de gaz − Détermination de la toxicité pour le choix des raccords de sortie des robinets </w:t>
      </w:r>
      <w:r w:rsidRPr="00A12687">
        <w:t xml:space="preserve">(qui avait été élaborée par </w:t>
      </w:r>
      <w:r w:rsidR="00A36E52">
        <w:t xml:space="preserve">le </w:t>
      </w:r>
      <w:r w:rsidRPr="00A12687">
        <w:t>Groupe de travail</w:t>
      </w:r>
      <w:r w:rsidR="007B1542">
        <w:t> </w:t>
      </w:r>
      <w:r w:rsidRPr="00A12687">
        <w:t>7 du Sous</w:t>
      </w:r>
      <w:r w:rsidR="007B1542">
        <w:noBreakHyphen/>
      </w:r>
      <w:r w:rsidRPr="00A12687">
        <w:t>Comité</w:t>
      </w:r>
      <w:r w:rsidR="007B1542">
        <w:t> </w:t>
      </w:r>
      <w:r w:rsidRPr="00A12687">
        <w:t>2 du Comité technique</w:t>
      </w:r>
      <w:r w:rsidR="007B1542">
        <w:t> </w:t>
      </w:r>
      <w:r w:rsidRPr="00A12687">
        <w:t>58 de l’ISO) ne correspondent pas pour les gaz suivants</w:t>
      </w:r>
      <w:r w:rsidR="007B1542">
        <w:t> :</w:t>
      </w:r>
    </w:p>
    <w:p w14:paraId="1F43D7AA" w14:textId="77777777" w:rsidR="00DD784D" w:rsidRPr="00A12687" w:rsidRDefault="00DD784D" w:rsidP="00DD784D">
      <w:pPr>
        <w:pStyle w:val="Bullet1G"/>
        <w:numPr>
          <w:ilvl w:val="0"/>
          <w:numId w:val="0"/>
        </w:numPr>
        <w:tabs>
          <w:tab w:val="left" w:pos="1701"/>
        </w:tabs>
        <w:ind w:left="1701" w:hanging="170"/>
      </w:pPr>
      <w:r w:rsidRPr="00A12687">
        <w:t>•</w:t>
      </w:r>
      <w:r w:rsidRPr="00A12687">
        <w:tab/>
        <w:t>Ammoniac anhydre</w:t>
      </w:r>
      <w:r w:rsidR="007B1542">
        <w:t> ;</w:t>
      </w:r>
    </w:p>
    <w:p w14:paraId="08B55B32" w14:textId="77777777" w:rsidR="00DD784D" w:rsidRPr="00A12687" w:rsidRDefault="00DD784D" w:rsidP="00DD784D">
      <w:pPr>
        <w:pStyle w:val="Bullet1G"/>
        <w:numPr>
          <w:ilvl w:val="0"/>
          <w:numId w:val="0"/>
        </w:numPr>
        <w:tabs>
          <w:tab w:val="left" w:pos="1701"/>
        </w:tabs>
        <w:ind w:left="1701" w:hanging="170"/>
      </w:pPr>
      <w:r w:rsidRPr="00A12687">
        <w:t>•</w:t>
      </w:r>
      <w:r w:rsidRPr="00A12687">
        <w:tab/>
        <w:t>Trifluorure de bore</w:t>
      </w:r>
      <w:r w:rsidR="007B1542">
        <w:t> ;</w:t>
      </w:r>
    </w:p>
    <w:p w14:paraId="307836C0" w14:textId="77777777" w:rsidR="00DD784D" w:rsidRPr="00A12687" w:rsidRDefault="00DD784D" w:rsidP="00DD784D">
      <w:pPr>
        <w:pStyle w:val="Bullet1G"/>
        <w:numPr>
          <w:ilvl w:val="0"/>
          <w:numId w:val="0"/>
        </w:numPr>
        <w:tabs>
          <w:tab w:val="left" w:pos="1701"/>
        </w:tabs>
        <w:ind w:left="1701" w:hanging="170"/>
      </w:pPr>
      <w:r w:rsidRPr="00A12687">
        <w:t>•</w:t>
      </w:r>
      <w:r w:rsidRPr="00A12687">
        <w:tab/>
        <w:t>Hexafluorure de tungstène</w:t>
      </w:r>
      <w:r w:rsidR="007B1542">
        <w:t> ;</w:t>
      </w:r>
    </w:p>
    <w:p w14:paraId="0ED93653" w14:textId="77777777" w:rsidR="00DD784D" w:rsidRPr="00A12687" w:rsidRDefault="00DD784D" w:rsidP="00DD784D">
      <w:pPr>
        <w:pStyle w:val="Bullet1G"/>
        <w:numPr>
          <w:ilvl w:val="0"/>
          <w:numId w:val="0"/>
        </w:numPr>
        <w:tabs>
          <w:tab w:val="left" w:pos="1701"/>
        </w:tabs>
        <w:ind w:left="1701" w:hanging="170"/>
      </w:pPr>
      <w:r w:rsidRPr="00A12687">
        <w:t>•</w:t>
      </w:r>
      <w:r w:rsidRPr="00A12687">
        <w:tab/>
        <w:t>Pentafluorure de phosphore</w:t>
      </w:r>
      <w:r w:rsidR="007B1542">
        <w:t> ;</w:t>
      </w:r>
    </w:p>
    <w:p w14:paraId="3E05C813" w14:textId="77777777" w:rsidR="00DD784D" w:rsidRPr="00A12687" w:rsidRDefault="00DD784D" w:rsidP="00DD784D">
      <w:pPr>
        <w:pStyle w:val="Bullet1G"/>
        <w:numPr>
          <w:ilvl w:val="0"/>
          <w:numId w:val="0"/>
        </w:numPr>
        <w:tabs>
          <w:tab w:val="left" w:pos="1701"/>
        </w:tabs>
        <w:ind w:left="1701" w:hanging="170"/>
      </w:pPr>
      <w:r w:rsidRPr="00A12687">
        <w:t>•</w:t>
      </w:r>
      <w:r w:rsidRPr="00A12687">
        <w:tab/>
        <w:t>Fluorure d’hydrogène anhydre.</w:t>
      </w:r>
    </w:p>
    <w:p w14:paraId="7ED94409" w14:textId="77777777" w:rsidR="00DD784D" w:rsidRPr="00A12687" w:rsidRDefault="00DD784D" w:rsidP="00E67FDB">
      <w:pPr>
        <w:pStyle w:val="HChG"/>
      </w:pPr>
      <w:r w:rsidRPr="00A12687">
        <w:lastRenderedPageBreak/>
        <w:tab/>
      </w:r>
      <w:r w:rsidRPr="00A12687">
        <w:tab/>
        <w:t xml:space="preserve">Sources et explications </w:t>
      </w:r>
    </w:p>
    <w:p w14:paraId="701403E1" w14:textId="77777777" w:rsidR="00DD784D" w:rsidRPr="00A12687" w:rsidRDefault="00DD784D" w:rsidP="00DD784D">
      <w:pPr>
        <w:pStyle w:val="SingleTxtG"/>
      </w:pPr>
      <w:r w:rsidRPr="00A12687">
        <w:t>3.</w:t>
      </w:r>
      <w:r w:rsidRPr="00A12687">
        <w:tab/>
        <w:t>Les sources à partir desquelles les valeurs de la CL</w:t>
      </w:r>
      <w:r w:rsidRPr="00A12687">
        <w:rPr>
          <w:vertAlign w:val="subscript"/>
        </w:rPr>
        <w:t xml:space="preserve">50 </w:t>
      </w:r>
      <w:r w:rsidRPr="00A12687">
        <w:t>ont été déterminées sont indiquées dans la norme ISO</w:t>
      </w:r>
      <w:r w:rsidR="00225EF8">
        <w:t> </w:t>
      </w:r>
      <w:r w:rsidRPr="00A12687">
        <w:t>10298</w:t>
      </w:r>
      <w:r w:rsidR="007B1542">
        <w:t>:</w:t>
      </w:r>
      <w:r w:rsidRPr="00A12687">
        <w:t>2018. Le Groupe de travail</w:t>
      </w:r>
      <w:r w:rsidR="00225EF8">
        <w:t> </w:t>
      </w:r>
      <w:r w:rsidRPr="00A12687">
        <w:t>7 estime qu’il est important de comprendre l’origine des valeurs de la CL</w:t>
      </w:r>
      <w:r w:rsidRPr="00A12687">
        <w:rPr>
          <w:vertAlign w:val="subscript"/>
        </w:rPr>
        <w:t>50</w:t>
      </w:r>
      <w:r w:rsidRPr="00A12687">
        <w:t>. La source de chaque valeur correspondant aux gaz visés par la proposition de modifications à apporter au Règlement type est indiquée ci-après accompagnée d’une explication.</w:t>
      </w:r>
    </w:p>
    <w:tbl>
      <w:tblPr>
        <w:tblStyle w:val="TableGrid"/>
        <w:tblW w:w="8505" w:type="dxa"/>
        <w:tblInd w:w="1134" w:type="dxa"/>
        <w:tblLayout w:type="fixed"/>
        <w:tblLook w:val="04A0" w:firstRow="1" w:lastRow="0" w:firstColumn="1" w:lastColumn="0" w:noHBand="0" w:noVBand="1"/>
      </w:tblPr>
      <w:tblGrid>
        <w:gridCol w:w="637"/>
        <w:gridCol w:w="3211"/>
        <w:gridCol w:w="1308"/>
        <w:gridCol w:w="1583"/>
        <w:gridCol w:w="1766"/>
      </w:tblGrid>
      <w:tr w:rsidR="00DD784D" w:rsidRPr="00A12687" w14:paraId="193EAF92" w14:textId="77777777" w:rsidTr="00485B6A">
        <w:tc>
          <w:tcPr>
            <w:tcW w:w="637" w:type="dxa"/>
            <w:tcBorders>
              <w:top w:val="single" w:sz="4" w:space="0" w:color="auto"/>
              <w:left w:val="single" w:sz="4" w:space="0" w:color="auto"/>
              <w:bottom w:val="single" w:sz="4" w:space="0" w:color="auto"/>
              <w:right w:val="single" w:sz="4" w:space="0" w:color="auto"/>
            </w:tcBorders>
            <w:vAlign w:val="center"/>
            <w:hideMark/>
          </w:tcPr>
          <w:p w14:paraId="4AE5BD42" w14:textId="77777777" w:rsidR="00DD784D" w:rsidRPr="00A12687" w:rsidRDefault="00DD784D" w:rsidP="00485B6A">
            <w:pPr>
              <w:spacing w:before="60" w:after="60" w:line="240" w:lineRule="auto"/>
              <w:ind w:right="57"/>
              <w:jc w:val="center"/>
              <w:rPr>
                <w:b/>
              </w:rPr>
            </w:pPr>
            <w:r w:rsidRPr="00A12687">
              <w:rPr>
                <w:b/>
                <w:bCs/>
              </w:rPr>
              <w:t>No ONU</w:t>
            </w:r>
          </w:p>
        </w:tc>
        <w:tc>
          <w:tcPr>
            <w:tcW w:w="3211" w:type="dxa"/>
            <w:tcBorders>
              <w:top w:val="single" w:sz="4" w:space="0" w:color="auto"/>
              <w:left w:val="single" w:sz="4" w:space="0" w:color="auto"/>
              <w:bottom w:val="single" w:sz="4" w:space="0" w:color="auto"/>
              <w:right w:val="single" w:sz="4" w:space="0" w:color="auto"/>
            </w:tcBorders>
            <w:vAlign w:val="center"/>
            <w:hideMark/>
          </w:tcPr>
          <w:p w14:paraId="6A9A63D1" w14:textId="77777777" w:rsidR="00DD784D" w:rsidRPr="00A12687" w:rsidRDefault="00DD784D" w:rsidP="00485B6A">
            <w:pPr>
              <w:spacing w:before="60" w:after="60" w:line="240" w:lineRule="auto"/>
              <w:ind w:right="57"/>
              <w:jc w:val="center"/>
              <w:rPr>
                <w:b/>
              </w:rPr>
            </w:pPr>
            <w:r w:rsidRPr="00A12687">
              <w:rPr>
                <w:b/>
                <w:bCs/>
              </w:rPr>
              <w:t>Désignation officielle de transport</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FF436C5" w14:textId="77777777" w:rsidR="00DD784D" w:rsidRPr="00A12687" w:rsidRDefault="00DD784D" w:rsidP="00485B6A">
            <w:pPr>
              <w:spacing w:before="60" w:after="60" w:line="240" w:lineRule="auto"/>
              <w:ind w:right="57"/>
              <w:jc w:val="center"/>
              <w:rPr>
                <w:b/>
              </w:rPr>
            </w:pPr>
            <w:r w:rsidRPr="00A12687">
              <w:rPr>
                <w:b/>
                <w:bCs/>
              </w:rPr>
              <w:t>CL</w:t>
            </w:r>
            <w:r w:rsidRPr="00A12687">
              <w:rPr>
                <w:b/>
                <w:bCs/>
                <w:vertAlign w:val="subscript"/>
              </w:rPr>
              <w:t>50</w:t>
            </w:r>
            <w:r w:rsidRPr="00A12687">
              <w:rPr>
                <w:b/>
                <w:bCs/>
              </w:rPr>
              <w:t xml:space="preserve"> </w:t>
            </w:r>
            <w:r w:rsidR="00E2046F">
              <w:rPr>
                <w:b/>
                <w:bCs/>
              </w:rPr>
              <w:br/>
            </w:r>
            <w:r w:rsidRPr="00A12687">
              <w:rPr>
                <w:b/>
                <w:bCs/>
              </w:rPr>
              <w:t>en ml/m</w:t>
            </w:r>
            <w:r w:rsidRPr="00A12687">
              <w:rPr>
                <w:b/>
                <w:bCs/>
                <w:vertAlign w:val="superscript"/>
              </w:rPr>
              <w:t>3</w:t>
            </w:r>
            <w:r w:rsidRPr="00A12687">
              <w:rPr>
                <w:b/>
                <w:bCs/>
              </w:rPr>
              <w:t xml:space="preserve"> </w:t>
            </w:r>
            <w:r w:rsidR="00485B6A">
              <w:rPr>
                <w:b/>
                <w:bCs/>
              </w:rPr>
              <w:br/>
            </w:r>
            <w:r w:rsidRPr="00A12687">
              <w:rPr>
                <w:b/>
                <w:bCs/>
              </w:rPr>
              <w:t xml:space="preserve">dans </w:t>
            </w:r>
            <w:r w:rsidR="00E2046F">
              <w:rPr>
                <w:b/>
                <w:bCs/>
              </w:rPr>
              <w:br/>
            </w:r>
            <w:r w:rsidRPr="00A12687">
              <w:rPr>
                <w:b/>
                <w:bCs/>
              </w:rPr>
              <w:t>la P200 (21</w:t>
            </w:r>
            <w:r w:rsidRPr="00A12687">
              <w:rPr>
                <w:b/>
                <w:bCs/>
                <w:vertAlign w:val="superscript"/>
              </w:rPr>
              <w:t>e</w:t>
            </w:r>
            <w:r w:rsidR="00E2046F">
              <w:rPr>
                <w:b/>
                <w:bCs/>
              </w:rPr>
              <w:t> </w:t>
            </w:r>
            <w:r w:rsidRPr="00A12687">
              <w:rPr>
                <w:b/>
                <w:bCs/>
              </w:rPr>
              <w:t>éd. rév</w:t>
            </w:r>
            <w:r w:rsidR="00E2046F">
              <w:rPr>
                <w:b/>
                <w:bCs/>
              </w:rPr>
              <w:t>.</w:t>
            </w:r>
            <w:r w:rsidRPr="00A12687">
              <w:rPr>
                <w:b/>
                <w:bCs/>
              </w:rPr>
              <w:t>)</w:t>
            </w:r>
          </w:p>
        </w:tc>
        <w:tc>
          <w:tcPr>
            <w:tcW w:w="1583" w:type="dxa"/>
            <w:tcBorders>
              <w:top w:val="single" w:sz="4" w:space="0" w:color="auto"/>
              <w:left w:val="single" w:sz="4" w:space="0" w:color="auto"/>
              <w:bottom w:val="single" w:sz="4" w:space="0" w:color="auto"/>
              <w:right w:val="single" w:sz="4" w:space="0" w:color="auto"/>
            </w:tcBorders>
            <w:vAlign w:val="center"/>
            <w:hideMark/>
          </w:tcPr>
          <w:p w14:paraId="16E60859" w14:textId="77777777" w:rsidR="00DD784D" w:rsidRPr="00A12687" w:rsidRDefault="00DD784D" w:rsidP="00485B6A">
            <w:pPr>
              <w:spacing w:before="60" w:after="60" w:line="240" w:lineRule="auto"/>
              <w:ind w:right="57"/>
              <w:jc w:val="center"/>
              <w:rPr>
                <w:b/>
              </w:rPr>
            </w:pPr>
            <w:r w:rsidRPr="00A12687">
              <w:rPr>
                <w:b/>
                <w:bCs/>
              </w:rPr>
              <w:t>CL</w:t>
            </w:r>
            <w:r w:rsidRPr="00A12687">
              <w:rPr>
                <w:b/>
                <w:bCs/>
                <w:vertAlign w:val="subscript"/>
              </w:rPr>
              <w:t>50</w:t>
            </w:r>
            <w:r w:rsidRPr="00A12687">
              <w:rPr>
                <w:b/>
                <w:bCs/>
              </w:rPr>
              <w:t xml:space="preserve"> en ml/m</w:t>
            </w:r>
            <w:r w:rsidRPr="00A12687">
              <w:rPr>
                <w:b/>
                <w:bCs/>
                <w:vertAlign w:val="superscript"/>
              </w:rPr>
              <w:t>3</w:t>
            </w:r>
            <w:r w:rsidRPr="00A12687">
              <w:rPr>
                <w:b/>
                <w:bCs/>
              </w:rPr>
              <w:t xml:space="preserve"> </w:t>
            </w:r>
            <w:r w:rsidR="00485B6A">
              <w:rPr>
                <w:b/>
                <w:bCs/>
              </w:rPr>
              <w:br/>
            </w:r>
            <w:r w:rsidRPr="00A12687">
              <w:rPr>
                <w:b/>
                <w:bCs/>
              </w:rPr>
              <w:t>dans la norme ISO</w:t>
            </w:r>
            <w:r w:rsidR="00485B6A">
              <w:rPr>
                <w:b/>
                <w:bCs/>
              </w:rPr>
              <w:t> </w:t>
            </w:r>
            <w:r w:rsidRPr="00A12687">
              <w:rPr>
                <w:b/>
                <w:bCs/>
              </w:rPr>
              <w:t>10298</w:t>
            </w:r>
            <w:r w:rsidR="007B1542">
              <w:rPr>
                <w:b/>
                <w:bCs/>
              </w:rPr>
              <w:t>:</w:t>
            </w:r>
            <w:r w:rsidRPr="00A12687">
              <w:rPr>
                <w:b/>
                <w:bCs/>
              </w:rPr>
              <w:t>2018</w:t>
            </w:r>
          </w:p>
        </w:tc>
        <w:tc>
          <w:tcPr>
            <w:tcW w:w="1766" w:type="dxa"/>
            <w:tcBorders>
              <w:top w:val="single" w:sz="4" w:space="0" w:color="auto"/>
              <w:left w:val="single" w:sz="4" w:space="0" w:color="auto"/>
              <w:bottom w:val="single" w:sz="4" w:space="0" w:color="auto"/>
              <w:right w:val="single" w:sz="4" w:space="0" w:color="auto"/>
            </w:tcBorders>
            <w:vAlign w:val="center"/>
            <w:hideMark/>
          </w:tcPr>
          <w:p w14:paraId="11DAFD93" w14:textId="77777777" w:rsidR="00DD784D" w:rsidRPr="00A12687" w:rsidRDefault="00DD784D" w:rsidP="00485B6A">
            <w:pPr>
              <w:spacing w:before="60" w:after="60" w:line="240" w:lineRule="auto"/>
              <w:ind w:right="57"/>
              <w:jc w:val="center"/>
              <w:rPr>
                <w:b/>
              </w:rPr>
            </w:pPr>
            <w:r w:rsidRPr="00A12687">
              <w:rPr>
                <w:b/>
                <w:bCs/>
              </w:rPr>
              <w:t xml:space="preserve">Référence </w:t>
            </w:r>
            <w:r w:rsidR="00485B6A">
              <w:rPr>
                <w:b/>
                <w:bCs/>
              </w:rPr>
              <w:br/>
            </w:r>
            <w:r w:rsidRPr="00A12687">
              <w:rPr>
                <w:b/>
                <w:bCs/>
              </w:rPr>
              <w:t>de la source utilisée pour la norme ISO</w:t>
            </w:r>
            <w:r w:rsidR="00485B6A">
              <w:rPr>
                <w:b/>
                <w:bCs/>
              </w:rPr>
              <w:t> </w:t>
            </w:r>
            <w:r w:rsidRPr="00A12687">
              <w:rPr>
                <w:b/>
                <w:bCs/>
              </w:rPr>
              <w:t>10298</w:t>
            </w:r>
            <w:r w:rsidR="007B1542">
              <w:rPr>
                <w:b/>
                <w:bCs/>
              </w:rPr>
              <w:t>:</w:t>
            </w:r>
            <w:r w:rsidRPr="00A12687">
              <w:rPr>
                <w:b/>
                <w:bCs/>
              </w:rPr>
              <w:t xml:space="preserve">2018 </w:t>
            </w:r>
            <w:r w:rsidR="00485B6A">
              <w:rPr>
                <w:b/>
                <w:bCs/>
              </w:rPr>
              <w:br/>
            </w:r>
            <w:r w:rsidRPr="00A12687">
              <w:rPr>
                <w:b/>
                <w:bCs/>
              </w:rPr>
              <w:t>et explication</w:t>
            </w:r>
          </w:p>
        </w:tc>
      </w:tr>
      <w:tr w:rsidR="00DD784D" w:rsidRPr="00A12687" w14:paraId="78A1F176" w14:textId="77777777" w:rsidTr="00D4333F">
        <w:tc>
          <w:tcPr>
            <w:tcW w:w="637" w:type="dxa"/>
            <w:tcBorders>
              <w:top w:val="single" w:sz="4" w:space="0" w:color="auto"/>
              <w:left w:val="single" w:sz="4" w:space="0" w:color="auto"/>
              <w:bottom w:val="single" w:sz="4" w:space="0" w:color="auto"/>
              <w:right w:val="single" w:sz="4" w:space="0" w:color="auto"/>
            </w:tcBorders>
            <w:hideMark/>
          </w:tcPr>
          <w:p w14:paraId="14E22C3D" w14:textId="77777777" w:rsidR="00DD784D" w:rsidRPr="00A12687" w:rsidRDefault="00DD784D" w:rsidP="00E2046F">
            <w:pPr>
              <w:spacing w:before="60" w:after="60" w:line="240" w:lineRule="auto"/>
              <w:ind w:right="57"/>
              <w:jc w:val="center"/>
            </w:pPr>
            <w:r w:rsidRPr="00A12687">
              <w:t>1005</w:t>
            </w:r>
          </w:p>
        </w:tc>
        <w:tc>
          <w:tcPr>
            <w:tcW w:w="3211" w:type="dxa"/>
            <w:tcBorders>
              <w:top w:val="single" w:sz="4" w:space="0" w:color="auto"/>
              <w:left w:val="single" w:sz="4" w:space="0" w:color="auto"/>
              <w:bottom w:val="single" w:sz="4" w:space="0" w:color="auto"/>
              <w:right w:val="single" w:sz="4" w:space="0" w:color="auto"/>
            </w:tcBorders>
            <w:hideMark/>
          </w:tcPr>
          <w:p w14:paraId="43C7DC7A" w14:textId="77777777" w:rsidR="00DD784D" w:rsidRPr="00A12687" w:rsidRDefault="00DD784D" w:rsidP="00485B6A">
            <w:pPr>
              <w:spacing w:before="60" w:after="60" w:line="240" w:lineRule="auto"/>
              <w:ind w:left="58" w:right="57"/>
            </w:pPr>
            <w:r w:rsidRPr="00A12687">
              <w:t>AMMONIAC ANHYDRE</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56216A0" w14:textId="77777777" w:rsidR="00DD784D" w:rsidRPr="00A12687" w:rsidRDefault="00DD784D" w:rsidP="00D4333F">
            <w:pPr>
              <w:spacing w:before="60" w:after="60" w:line="240" w:lineRule="auto"/>
              <w:ind w:right="57"/>
              <w:jc w:val="center"/>
            </w:pPr>
            <w:r w:rsidRPr="00A12687">
              <w:t>4</w:t>
            </w:r>
            <w:r w:rsidR="00D4333F">
              <w:t xml:space="preserve"> </w:t>
            </w:r>
            <w:r w:rsidRPr="00A12687">
              <w:t>000</w:t>
            </w:r>
          </w:p>
        </w:tc>
        <w:tc>
          <w:tcPr>
            <w:tcW w:w="1583" w:type="dxa"/>
            <w:tcBorders>
              <w:top w:val="single" w:sz="4" w:space="0" w:color="auto"/>
              <w:left w:val="single" w:sz="4" w:space="0" w:color="auto"/>
              <w:bottom w:val="single" w:sz="4" w:space="0" w:color="auto"/>
              <w:right w:val="single" w:sz="4" w:space="0" w:color="auto"/>
            </w:tcBorders>
            <w:vAlign w:val="center"/>
            <w:hideMark/>
          </w:tcPr>
          <w:p w14:paraId="7F0ADDF3" w14:textId="77777777" w:rsidR="00DD784D" w:rsidRPr="00A12687" w:rsidRDefault="00DD784D" w:rsidP="00D4333F">
            <w:pPr>
              <w:spacing w:before="60" w:after="60" w:line="240" w:lineRule="auto"/>
              <w:ind w:right="57"/>
              <w:jc w:val="center"/>
            </w:pPr>
            <w:r w:rsidRPr="00A12687">
              <w:t>7</w:t>
            </w:r>
            <w:r w:rsidR="00D4333F">
              <w:t xml:space="preserve"> </w:t>
            </w:r>
            <w:r w:rsidRPr="00A12687">
              <w:t>338</w:t>
            </w:r>
          </w:p>
        </w:tc>
        <w:tc>
          <w:tcPr>
            <w:tcW w:w="1766" w:type="dxa"/>
            <w:tcBorders>
              <w:top w:val="single" w:sz="4" w:space="0" w:color="auto"/>
              <w:left w:val="single" w:sz="4" w:space="0" w:color="auto"/>
              <w:bottom w:val="single" w:sz="4" w:space="0" w:color="auto"/>
              <w:right w:val="single" w:sz="4" w:space="0" w:color="auto"/>
            </w:tcBorders>
            <w:vAlign w:val="center"/>
            <w:hideMark/>
          </w:tcPr>
          <w:p w14:paraId="5EF1ADB5" w14:textId="77777777" w:rsidR="00DD784D" w:rsidRPr="00A12687" w:rsidRDefault="00DD784D" w:rsidP="00D4333F">
            <w:pPr>
              <w:spacing w:before="60" w:after="60" w:line="240" w:lineRule="auto"/>
              <w:ind w:right="57"/>
              <w:jc w:val="center"/>
            </w:pPr>
            <w:r w:rsidRPr="00A12687">
              <w:t>a)</w:t>
            </w:r>
          </w:p>
        </w:tc>
      </w:tr>
      <w:tr w:rsidR="00DD784D" w:rsidRPr="00A12687" w14:paraId="1DA757AB" w14:textId="77777777" w:rsidTr="00D4333F">
        <w:tc>
          <w:tcPr>
            <w:tcW w:w="637" w:type="dxa"/>
            <w:tcBorders>
              <w:top w:val="single" w:sz="4" w:space="0" w:color="auto"/>
              <w:left w:val="single" w:sz="4" w:space="0" w:color="auto"/>
              <w:bottom w:val="single" w:sz="4" w:space="0" w:color="auto"/>
              <w:right w:val="single" w:sz="4" w:space="0" w:color="auto"/>
            </w:tcBorders>
            <w:hideMark/>
          </w:tcPr>
          <w:p w14:paraId="77B92D9B" w14:textId="77777777" w:rsidR="00DD784D" w:rsidRPr="00A12687" w:rsidRDefault="00DD784D" w:rsidP="00E2046F">
            <w:pPr>
              <w:spacing w:before="60" w:after="60" w:line="240" w:lineRule="auto"/>
              <w:ind w:right="57"/>
              <w:jc w:val="center"/>
            </w:pPr>
            <w:r w:rsidRPr="00A12687">
              <w:t>1008</w:t>
            </w:r>
          </w:p>
        </w:tc>
        <w:tc>
          <w:tcPr>
            <w:tcW w:w="3211" w:type="dxa"/>
            <w:tcBorders>
              <w:top w:val="single" w:sz="4" w:space="0" w:color="auto"/>
              <w:left w:val="single" w:sz="4" w:space="0" w:color="auto"/>
              <w:bottom w:val="single" w:sz="4" w:space="0" w:color="auto"/>
              <w:right w:val="single" w:sz="4" w:space="0" w:color="auto"/>
            </w:tcBorders>
            <w:hideMark/>
          </w:tcPr>
          <w:p w14:paraId="16178953" w14:textId="77777777" w:rsidR="00DD784D" w:rsidRPr="00A12687" w:rsidRDefault="00DD784D" w:rsidP="00485B6A">
            <w:pPr>
              <w:spacing w:before="60" w:after="60" w:line="240" w:lineRule="auto"/>
              <w:ind w:left="58" w:right="57"/>
            </w:pPr>
            <w:r w:rsidRPr="00A12687">
              <w:t>TRIFLUORURE DE BORE</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FFBEBED" w14:textId="77777777" w:rsidR="00DD784D" w:rsidRPr="00A12687" w:rsidRDefault="00DD784D" w:rsidP="00D4333F">
            <w:pPr>
              <w:spacing w:before="60" w:after="60" w:line="240" w:lineRule="auto"/>
              <w:ind w:right="57"/>
              <w:jc w:val="center"/>
            </w:pPr>
            <w:r w:rsidRPr="00A12687">
              <w:t>387</w:t>
            </w:r>
          </w:p>
        </w:tc>
        <w:tc>
          <w:tcPr>
            <w:tcW w:w="1583" w:type="dxa"/>
            <w:tcBorders>
              <w:top w:val="single" w:sz="4" w:space="0" w:color="auto"/>
              <w:left w:val="single" w:sz="4" w:space="0" w:color="auto"/>
              <w:bottom w:val="single" w:sz="4" w:space="0" w:color="auto"/>
              <w:right w:val="single" w:sz="4" w:space="0" w:color="auto"/>
            </w:tcBorders>
            <w:vAlign w:val="center"/>
            <w:hideMark/>
          </w:tcPr>
          <w:p w14:paraId="1E96B479" w14:textId="77777777" w:rsidR="00DD784D" w:rsidRPr="00A12687" w:rsidRDefault="00DD784D" w:rsidP="00D4333F">
            <w:pPr>
              <w:spacing w:before="60" w:after="60" w:line="240" w:lineRule="auto"/>
              <w:ind w:right="57"/>
              <w:jc w:val="center"/>
            </w:pPr>
            <w:r w:rsidRPr="00A12687">
              <w:t>864</w:t>
            </w:r>
          </w:p>
        </w:tc>
        <w:tc>
          <w:tcPr>
            <w:tcW w:w="1766" w:type="dxa"/>
            <w:tcBorders>
              <w:top w:val="single" w:sz="4" w:space="0" w:color="auto"/>
              <w:left w:val="single" w:sz="4" w:space="0" w:color="auto"/>
              <w:bottom w:val="single" w:sz="4" w:space="0" w:color="auto"/>
              <w:right w:val="single" w:sz="4" w:space="0" w:color="auto"/>
            </w:tcBorders>
            <w:vAlign w:val="center"/>
            <w:hideMark/>
          </w:tcPr>
          <w:p w14:paraId="1696437A" w14:textId="77777777" w:rsidR="00DD784D" w:rsidRPr="00A12687" w:rsidRDefault="00DD784D" w:rsidP="00D4333F">
            <w:pPr>
              <w:spacing w:before="60" w:after="60" w:line="240" w:lineRule="auto"/>
              <w:ind w:right="57"/>
              <w:jc w:val="center"/>
            </w:pPr>
            <w:r w:rsidRPr="00A12687">
              <w:t>b)</w:t>
            </w:r>
          </w:p>
        </w:tc>
      </w:tr>
      <w:tr w:rsidR="00DD784D" w:rsidRPr="00A12687" w14:paraId="58B0A835" w14:textId="77777777" w:rsidTr="00D4333F">
        <w:tc>
          <w:tcPr>
            <w:tcW w:w="637" w:type="dxa"/>
            <w:tcBorders>
              <w:top w:val="single" w:sz="4" w:space="0" w:color="auto"/>
              <w:left w:val="single" w:sz="4" w:space="0" w:color="auto"/>
              <w:bottom w:val="single" w:sz="4" w:space="0" w:color="auto"/>
              <w:right w:val="single" w:sz="4" w:space="0" w:color="auto"/>
            </w:tcBorders>
            <w:hideMark/>
          </w:tcPr>
          <w:p w14:paraId="37DB0560" w14:textId="77777777" w:rsidR="00DD784D" w:rsidRPr="00A12687" w:rsidRDefault="00DD784D" w:rsidP="00E2046F">
            <w:pPr>
              <w:spacing w:before="60" w:after="60" w:line="240" w:lineRule="auto"/>
              <w:ind w:right="57"/>
              <w:jc w:val="center"/>
            </w:pPr>
            <w:r w:rsidRPr="00A12687">
              <w:t>2196</w:t>
            </w:r>
          </w:p>
        </w:tc>
        <w:tc>
          <w:tcPr>
            <w:tcW w:w="3211" w:type="dxa"/>
            <w:tcBorders>
              <w:top w:val="single" w:sz="4" w:space="0" w:color="auto"/>
              <w:left w:val="single" w:sz="4" w:space="0" w:color="auto"/>
              <w:bottom w:val="single" w:sz="4" w:space="0" w:color="auto"/>
              <w:right w:val="single" w:sz="4" w:space="0" w:color="auto"/>
            </w:tcBorders>
            <w:hideMark/>
          </w:tcPr>
          <w:p w14:paraId="686A0DF0" w14:textId="77777777" w:rsidR="00DD784D" w:rsidRPr="00A12687" w:rsidRDefault="00DD784D" w:rsidP="00485B6A">
            <w:pPr>
              <w:spacing w:before="60" w:after="60" w:line="240" w:lineRule="auto"/>
              <w:ind w:left="58" w:right="57"/>
            </w:pPr>
            <w:r w:rsidRPr="00A12687">
              <w:t>HEXAFLUORURE DE TUNGSTÈNE</w:t>
            </w:r>
          </w:p>
        </w:tc>
        <w:tc>
          <w:tcPr>
            <w:tcW w:w="1308" w:type="dxa"/>
            <w:tcBorders>
              <w:top w:val="single" w:sz="4" w:space="0" w:color="auto"/>
              <w:left w:val="single" w:sz="4" w:space="0" w:color="auto"/>
              <w:bottom w:val="single" w:sz="4" w:space="0" w:color="auto"/>
              <w:right w:val="single" w:sz="4" w:space="0" w:color="auto"/>
            </w:tcBorders>
            <w:vAlign w:val="center"/>
            <w:hideMark/>
          </w:tcPr>
          <w:p w14:paraId="47A596C4" w14:textId="77777777" w:rsidR="00DD784D" w:rsidRPr="00A12687" w:rsidRDefault="00DD784D" w:rsidP="00D4333F">
            <w:pPr>
              <w:spacing w:before="60" w:after="60" w:line="240" w:lineRule="auto"/>
              <w:ind w:right="57"/>
              <w:jc w:val="center"/>
            </w:pPr>
            <w:r w:rsidRPr="00A12687">
              <w:t>160</w:t>
            </w:r>
          </w:p>
        </w:tc>
        <w:tc>
          <w:tcPr>
            <w:tcW w:w="1583" w:type="dxa"/>
            <w:tcBorders>
              <w:top w:val="single" w:sz="4" w:space="0" w:color="auto"/>
              <w:left w:val="single" w:sz="4" w:space="0" w:color="auto"/>
              <w:bottom w:val="single" w:sz="4" w:space="0" w:color="auto"/>
              <w:right w:val="single" w:sz="4" w:space="0" w:color="auto"/>
            </w:tcBorders>
            <w:vAlign w:val="center"/>
            <w:hideMark/>
          </w:tcPr>
          <w:p w14:paraId="3695AA3B" w14:textId="77777777" w:rsidR="00DD784D" w:rsidRPr="00A12687" w:rsidRDefault="00DD784D" w:rsidP="00D4333F">
            <w:pPr>
              <w:spacing w:before="60" w:after="60" w:line="240" w:lineRule="auto"/>
              <w:ind w:right="57"/>
              <w:jc w:val="center"/>
            </w:pPr>
            <w:r w:rsidRPr="00A12687">
              <w:t>218</w:t>
            </w:r>
          </w:p>
        </w:tc>
        <w:tc>
          <w:tcPr>
            <w:tcW w:w="1766" w:type="dxa"/>
            <w:tcBorders>
              <w:top w:val="single" w:sz="4" w:space="0" w:color="auto"/>
              <w:left w:val="single" w:sz="4" w:space="0" w:color="auto"/>
              <w:bottom w:val="single" w:sz="4" w:space="0" w:color="auto"/>
              <w:right w:val="single" w:sz="4" w:space="0" w:color="auto"/>
            </w:tcBorders>
            <w:vAlign w:val="center"/>
            <w:hideMark/>
          </w:tcPr>
          <w:p w14:paraId="26B068C9" w14:textId="77777777" w:rsidR="00DD784D" w:rsidRPr="00A12687" w:rsidRDefault="00DD784D" w:rsidP="00D4333F">
            <w:pPr>
              <w:spacing w:before="60" w:after="60" w:line="240" w:lineRule="auto"/>
              <w:ind w:right="57"/>
              <w:jc w:val="center"/>
            </w:pPr>
            <w:r w:rsidRPr="00A12687">
              <w:t>c)</w:t>
            </w:r>
          </w:p>
        </w:tc>
      </w:tr>
      <w:tr w:rsidR="00DD784D" w:rsidRPr="00A12687" w14:paraId="34B014CE" w14:textId="77777777" w:rsidTr="00D4333F">
        <w:tc>
          <w:tcPr>
            <w:tcW w:w="637" w:type="dxa"/>
            <w:tcBorders>
              <w:top w:val="single" w:sz="4" w:space="0" w:color="auto"/>
              <w:left w:val="single" w:sz="4" w:space="0" w:color="auto"/>
              <w:bottom w:val="single" w:sz="4" w:space="0" w:color="auto"/>
              <w:right w:val="single" w:sz="4" w:space="0" w:color="auto"/>
            </w:tcBorders>
            <w:hideMark/>
          </w:tcPr>
          <w:p w14:paraId="0C31D425" w14:textId="77777777" w:rsidR="00DD784D" w:rsidRPr="00A12687" w:rsidRDefault="00DD784D" w:rsidP="00E2046F">
            <w:pPr>
              <w:spacing w:before="60" w:after="60" w:line="240" w:lineRule="auto"/>
              <w:ind w:right="57"/>
              <w:jc w:val="center"/>
            </w:pPr>
            <w:r w:rsidRPr="00A12687">
              <w:t>2198</w:t>
            </w:r>
          </w:p>
        </w:tc>
        <w:tc>
          <w:tcPr>
            <w:tcW w:w="3211" w:type="dxa"/>
            <w:tcBorders>
              <w:top w:val="single" w:sz="4" w:space="0" w:color="auto"/>
              <w:left w:val="single" w:sz="4" w:space="0" w:color="auto"/>
              <w:bottom w:val="single" w:sz="4" w:space="0" w:color="auto"/>
              <w:right w:val="single" w:sz="4" w:space="0" w:color="auto"/>
            </w:tcBorders>
            <w:hideMark/>
          </w:tcPr>
          <w:p w14:paraId="6EA44F94" w14:textId="77777777" w:rsidR="00DD784D" w:rsidRPr="00A12687" w:rsidRDefault="00DD784D" w:rsidP="00485B6A">
            <w:pPr>
              <w:spacing w:before="60" w:after="60" w:line="240" w:lineRule="auto"/>
              <w:ind w:left="58" w:right="57"/>
            </w:pPr>
            <w:r w:rsidRPr="00A12687">
              <w:t>PENTAFLUORURE DE PHOSPHORE</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08DCD30" w14:textId="77777777" w:rsidR="00DD784D" w:rsidRPr="00A12687" w:rsidRDefault="00DD784D" w:rsidP="00D4333F">
            <w:pPr>
              <w:spacing w:before="60" w:after="60" w:line="240" w:lineRule="auto"/>
              <w:ind w:right="57"/>
              <w:jc w:val="center"/>
            </w:pPr>
            <w:r w:rsidRPr="00A12687">
              <w:t>190</w:t>
            </w:r>
          </w:p>
        </w:tc>
        <w:tc>
          <w:tcPr>
            <w:tcW w:w="1583" w:type="dxa"/>
            <w:tcBorders>
              <w:top w:val="single" w:sz="4" w:space="0" w:color="auto"/>
              <w:left w:val="single" w:sz="4" w:space="0" w:color="auto"/>
              <w:bottom w:val="single" w:sz="4" w:space="0" w:color="auto"/>
              <w:right w:val="single" w:sz="4" w:space="0" w:color="auto"/>
            </w:tcBorders>
            <w:vAlign w:val="center"/>
            <w:hideMark/>
          </w:tcPr>
          <w:p w14:paraId="4B057DFB" w14:textId="77777777" w:rsidR="00DD784D" w:rsidRPr="00A12687" w:rsidRDefault="00DD784D" w:rsidP="00D4333F">
            <w:pPr>
              <w:spacing w:before="60" w:after="60" w:line="240" w:lineRule="auto"/>
              <w:ind w:right="57"/>
              <w:jc w:val="center"/>
            </w:pPr>
            <w:r w:rsidRPr="00A12687">
              <w:t>261</w:t>
            </w:r>
          </w:p>
        </w:tc>
        <w:tc>
          <w:tcPr>
            <w:tcW w:w="1766" w:type="dxa"/>
            <w:tcBorders>
              <w:top w:val="single" w:sz="4" w:space="0" w:color="auto"/>
              <w:left w:val="single" w:sz="4" w:space="0" w:color="auto"/>
              <w:bottom w:val="single" w:sz="4" w:space="0" w:color="auto"/>
              <w:right w:val="single" w:sz="4" w:space="0" w:color="auto"/>
            </w:tcBorders>
            <w:vAlign w:val="center"/>
            <w:hideMark/>
          </w:tcPr>
          <w:p w14:paraId="2CBEF454" w14:textId="77777777" w:rsidR="00DD784D" w:rsidRPr="00A12687" w:rsidRDefault="00DD784D" w:rsidP="00D4333F">
            <w:pPr>
              <w:spacing w:before="60" w:after="60" w:line="240" w:lineRule="auto"/>
              <w:ind w:right="57"/>
              <w:jc w:val="center"/>
            </w:pPr>
            <w:r w:rsidRPr="00A12687">
              <w:t>d)</w:t>
            </w:r>
          </w:p>
        </w:tc>
      </w:tr>
      <w:tr w:rsidR="00DD784D" w:rsidRPr="00A12687" w14:paraId="5B52760F" w14:textId="77777777" w:rsidTr="00D4333F">
        <w:tc>
          <w:tcPr>
            <w:tcW w:w="637" w:type="dxa"/>
            <w:tcBorders>
              <w:top w:val="single" w:sz="4" w:space="0" w:color="auto"/>
              <w:left w:val="single" w:sz="4" w:space="0" w:color="auto"/>
              <w:bottom w:val="single" w:sz="4" w:space="0" w:color="auto"/>
              <w:right w:val="single" w:sz="4" w:space="0" w:color="auto"/>
            </w:tcBorders>
            <w:hideMark/>
          </w:tcPr>
          <w:p w14:paraId="621AF7F4" w14:textId="77777777" w:rsidR="00DD784D" w:rsidRPr="00A12687" w:rsidRDefault="00DD784D" w:rsidP="00E2046F">
            <w:pPr>
              <w:spacing w:before="60" w:after="60" w:line="240" w:lineRule="auto"/>
              <w:ind w:right="57"/>
              <w:jc w:val="center"/>
            </w:pPr>
            <w:r w:rsidRPr="00A12687">
              <w:t>1052</w:t>
            </w:r>
          </w:p>
        </w:tc>
        <w:tc>
          <w:tcPr>
            <w:tcW w:w="3211" w:type="dxa"/>
            <w:tcBorders>
              <w:top w:val="single" w:sz="4" w:space="0" w:color="auto"/>
              <w:left w:val="single" w:sz="4" w:space="0" w:color="auto"/>
              <w:bottom w:val="single" w:sz="4" w:space="0" w:color="auto"/>
              <w:right w:val="single" w:sz="4" w:space="0" w:color="auto"/>
            </w:tcBorders>
            <w:hideMark/>
          </w:tcPr>
          <w:p w14:paraId="3FA732AB" w14:textId="77777777" w:rsidR="00DD784D" w:rsidRPr="00A12687" w:rsidRDefault="00DD784D" w:rsidP="00485B6A">
            <w:pPr>
              <w:spacing w:before="60" w:after="60" w:line="240" w:lineRule="auto"/>
              <w:ind w:left="58" w:right="57"/>
            </w:pPr>
            <w:r w:rsidRPr="00A12687">
              <w:t>FLUORURE D’HYDROGÈNE ANHYDRE</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C4F9A99" w14:textId="77777777" w:rsidR="00DD784D" w:rsidRPr="00A12687" w:rsidRDefault="00DD784D" w:rsidP="00D4333F">
            <w:pPr>
              <w:spacing w:before="60" w:after="60" w:line="240" w:lineRule="auto"/>
              <w:ind w:right="57"/>
              <w:jc w:val="center"/>
            </w:pPr>
            <w:r w:rsidRPr="00A12687">
              <w:t>966</w:t>
            </w:r>
          </w:p>
        </w:tc>
        <w:tc>
          <w:tcPr>
            <w:tcW w:w="1583" w:type="dxa"/>
            <w:tcBorders>
              <w:top w:val="single" w:sz="4" w:space="0" w:color="auto"/>
              <w:left w:val="single" w:sz="4" w:space="0" w:color="auto"/>
              <w:bottom w:val="single" w:sz="4" w:space="0" w:color="auto"/>
              <w:right w:val="single" w:sz="4" w:space="0" w:color="auto"/>
            </w:tcBorders>
            <w:vAlign w:val="center"/>
            <w:hideMark/>
          </w:tcPr>
          <w:p w14:paraId="64EA9634" w14:textId="77777777" w:rsidR="00DD784D" w:rsidRPr="00A12687" w:rsidRDefault="00DD784D" w:rsidP="00D4333F">
            <w:pPr>
              <w:spacing w:before="60" w:after="60" w:line="240" w:lineRule="auto"/>
              <w:ind w:right="57"/>
              <w:jc w:val="center"/>
            </w:pPr>
            <w:r w:rsidRPr="00A12687">
              <w:t>1307</w:t>
            </w:r>
          </w:p>
        </w:tc>
        <w:tc>
          <w:tcPr>
            <w:tcW w:w="1766" w:type="dxa"/>
            <w:tcBorders>
              <w:top w:val="single" w:sz="4" w:space="0" w:color="auto"/>
              <w:left w:val="single" w:sz="4" w:space="0" w:color="auto"/>
              <w:bottom w:val="single" w:sz="4" w:space="0" w:color="auto"/>
              <w:right w:val="single" w:sz="4" w:space="0" w:color="auto"/>
            </w:tcBorders>
            <w:vAlign w:val="center"/>
            <w:hideMark/>
          </w:tcPr>
          <w:p w14:paraId="169132B1" w14:textId="77777777" w:rsidR="00DD784D" w:rsidRPr="00A12687" w:rsidRDefault="00DD784D" w:rsidP="00D4333F">
            <w:pPr>
              <w:spacing w:before="60" w:after="60" w:line="240" w:lineRule="auto"/>
              <w:ind w:right="57"/>
              <w:jc w:val="center"/>
            </w:pPr>
            <w:r w:rsidRPr="00A12687">
              <w:t>e)</w:t>
            </w:r>
          </w:p>
        </w:tc>
      </w:tr>
    </w:tbl>
    <w:p w14:paraId="0587FB6A" w14:textId="77777777" w:rsidR="00DD784D" w:rsidRPr="00A12687" w:rsidRDefault="00DD784D" w:rsidP="00D4333F">
      <w:pPr>
        <w:pStyle w:val="H23G"/>
      </w:pPr>
      <w:r w:rsidRPr="00A12687">
        <w:tab/>
        <w:t>a)</w:t>
      </w:r>
      <w:r w:rsidRPr="00A12687">
        <w:tab/>
        <w:t>Ammoniac anhydre</w:t>
      </w:r>
    </w:p>
    <w:p w14:paraId="4CC4BC71" w14:textId="77777777" w:rsidR="00DD784D" w:rsidRPr="00A12687" w:rsidRDefault="00DD784D" w:rsidP="00D4333F">
      <w:pPr>
        <w:pStyle w:val="SingleTxtG"/>
      </w:pPr>
      <w:r w:rsidRPr="00A12687">
        <w:t>4.</w:t>
      </w:r>
      <w:r w:rsidRPr="00A12687">
        <w:tab/>
        <w:t>Dans la norme ISO</w:t>
      </w:r>
      <w:r w:rsidR="00D4333F">
        <w:t> </w:t>
      </w:r>
      <w:r w:rsidRPr="00A12687">
        <w:t>10298, la CL</w:t>
      </w:r>
      <w:r w:rsidRPr="00A12687">
        <w:rPr>
          <w:vertAlign w:val="subscript"/>
        </w:rPr>
        <w:t>50</w:t>
      </w:r>
      <w:r w:rsidRPr="00A12687">
        <w:t xml:space="preserve"> est fixée à 7</w:t>
      </w:r>
      <w:r w:rsidR="00D4333F">
        <w:t> </w:t>
      </w:r>
      <w:r w:rsidRPr="00A12687">
        <w:t>338 ppm (</w:t>
      </w:r>
      <w:r w:rsidR="00D4333F" w:rsidRPr="00322B28">
        <w:rPr>
          <w:i/>
        </w:rPr>
        <w:t>réf.</w:t>
      </w:r>
      <w:r w:rsidR="007B1542" w:rsidRPr="00322B28">
        <w:rPr>
          <w:i/>
        </w:rPr>
        <w:t> :</w:t>
      </w:r>
      <w:r w:rsidRPr="00322B28">
        <w:rPr>
          <w:i/>
        </w:rPr>
        <w:t xml:space="preserve"> Vernot E.</w:t>
      </w:r>
      <w:r w:rsidR="00322B28" w:rsidRPr="00322B28">
        <w:rPr>
          <w:i/>
        </w:rPr>
        <w:t> </w:t>
      </w:r>
      <w:r w:rsidRPr="00322B28">
        <w:rPr>
          <w:i/>
        </w:rPr>
        <w:t>H. et al. Toxicol. App/. Pharmacol. 1977, 42, p</w:t>
      </w:r>
      <w:r w:rsidR="00322B28" w:rsidRPr="00322B28">
        <w:rPr>
          <w:i/>
        </w:rPr>
        <w:t>. </w:t>
      </w:r>
      <w:r w:rsidRPr="00322B28">
        <w:rPr>
          <w:i/>
        </w:rPr>
        <w:t>417 à 423, pour toutes les éditions (1995, 2010, 2018)</w:t>
      </w:r>
      <w:r w:rsidRPr="00A12687">
        <w:t>).</w:t>
      </w:r>
    </w:p>
    <w:p w14:paraId="327E17F7" w14:textId="77777777" w:rsidR="00DD784D" w:rsidRPr="00A12687" w:rsidRDefault="00DD784D" w:rsidP="00D4333F">
      <w:pPr>
        <w:pStyle w:val="SingleTxtG"/>
      </w:pPr>
      <w:r w:rsidRPr="00A12687">
        <w:t>5.</w:t>
      </w:r>
      <w:r w:rsidRPr="00A12687">
        <w:tab/>
        <w:t>Dans les publications scientifiques, 7</w:t>
      </w:r>
      <w:r w:rsidR="000B0145">
        <w:t> </w:t>
      </w:r>
      <w:r w:rsidRPr="00A12687">
        <w:t>338</w:t>
      </w:r>
      <w:r w:rsidR="000B0145">
        <w:t> </w:t>
      </w:r>
      <w:r w:rsidRPr="00A12687">
        <w:t>ppm est la valeur la plus prudente (la plus basse) qui peut être trouvée (exposition d’une heure pour le rat).</w:t>
      </w:r>
    </w:p>
    <w:p w14:paraId="2A6A1B33" w14:textId="77777777" w:rsidR="00DD784D" w:rsidRPr="00A12687" w:rsidRDefault="00DD784D" w:rsidP="00D4333F">
      <w:pPr>
        <w:pStyle w:val="SingleTxtG"/>
      </w:pPr>
      <w:r w:rsidRPr="00A12687">
        <w:t>6.</w:t>
      </w:r>
      <w:r w:rsidRPr="00A12687">
        <w:tab/>
        <w:t>Le Groupe de travail 7 estime que cette valeur repose sur une étude scientifique valable.</w:t>
      </w:r>
    </w:p>
    <w:p w14:paraId="43A23D68" w14:textId="77777777" w:rsidR="00DD784D" w:rsidRPr="00A12687" w:rsidRDefault="00DD784D" w:rsidP="00DD784D">
      <w:pPr>
        <w:pStyle w:val="SingleTxtG"/>
        <w:ind w:left="1701"/>
        <w:rPr>
          <w:i/>
          <w:iCs/>
        </w:rPr>
      </w:pPr>
      <w:r w:rsidRPr="00A12687">
        <w:rPr>
          <w:b/>
          <w:bCs/>
          <w:i/>
          <w:iCs/>
        </w:rPr>
        <w:t>Note</w:t>
      </w:r>
      <w:r w:rsidR="007B1542">
        <w:rPr>
          <w:i/>
          <w:iCs/>
        </w:rPr>
        <w:t> </w:t>
      </w:r>
      <w:r w:rsidR="007B1542" w:rsidRPr="000B0145">
        <w:rPr>
          <w:iCs/>
        </w:rPr>
        <w:t>:</w:t>
      </w:r>
      <w:r w:rsidRPr="00A12687">
        <w:rPr>
          <w:i/>
          <w:iCs/>
        </w:rPr>
        <w:t xml:space="preserve"> Actuellement, l’ammoniac anhydre est classé dans la catégorie</w:t>
      </w:r>
      <w:r w:rsidR="000B0145">
        <w:rPr>
          <w:i/>
          <w:iCs/>
        </w:rPr>
        <w:t> </w:t>
      </w:r>
      <w:r w:rsidRPr="00A12687">
        <w:rPr>
          <w:i/>
          <w:iCs/>
        </w:rPr>
        <w:t>3 du SGH car une valeur de 4</w:t>
      </w:r>
      <w:r w:rsidR="000B0145">
        <w:rPr>
          <w:i/>
          <w:iCs/>
        </w:rPr>
        <w:t> </w:t>
      </w:r>
      <w:r w:rsidRPr="00A12687">
        <w:rPr>
          <w:i/>
          <w:iCs/>
        </w:rPr>
        <w:t>000</w:t>
      </w:r>
      <w:r w:rsidR="000B0145">
        <w:rPr>
          <w:i/>
          <w:iCs/>
        </w:rPr>
        <w:t> </w:t>
      </w:r>
      <w:r w:rsidRPr="00A12687">
        <w:rPr>
          <w:i/>
          <w:iCs/>
        </w:rPr>
        <w:t>ppm a été utilisée conformément à ce qui figurait dans le Règlement type pour le transport des marchandises dangereuses.</w:t>
      </w:r>
      <w:r w:rsidRPr="00A12687">
        <w:t xml:space="preserve"> </w:t>
      </w:r>
      <w:r w:rsidRPr="00A12687">
        <w:rPr>
          <w:i/>
          <w:iCs/>
        </w:rPr>
        <w:t>En ce qui concerne le SGH, la valeur de 7</w:t>
      </w:r>
      <w:r w:rsidR="000B0145">
        <w:rPr>
          <w:i/>
          <w:iCs/>
        </w:rPr>
        <w:t> </w:t>
      </w:r>
      <w:r w:rsidRPr="00A12687">
        <w:rPr>
          <w:i/>
          <w:iCs/>
        </w:rPr>
        <w:t>338 classerait le gaz dans la catégorie 4.</w:t>
      </w:r>
    </w:p>
    <w:p w14:paraId="421A9C5E" w14:textId="77777777" w:rsidR="00DD784D" w:rsidRPr="00A12687" w:rsidRDefault="00DD784D" w:rsidP="000B0145">
      <w:pPr>
        <w:pStyle w:val="SingleTxtG"/>
      </w:pPr>
      <w:r w:rsidRPr="00A12687">
        <w:t>7.</w:t>
      </w:r>
      <w:r w:rsidRPr="00A12687">
        <w:tab/>
        <w:t>Dans la réglementation nationale du Département des transports des États-Unis d’Amérique, l’ammoniac n’est pas considéré comme toxique pour les transports intérieurs et c’est la valeur de 7</w:t>
      </w:r>
      <w:r w:rsidR="000B0145">
        <w:t> </w:t>
      </w:r>
      <w:r w:rsidRPr="00A12687">
        <w:t>338</w:t>
      </w:r>
      <w:r w:rsidR="000B0145">
        <w:t> </w:t>
      </w:r>
      <w:r w:rsidRPr="00A12687">
        <w:t>ppm qui est utilisée.</w:t>
      </w:r>
    </w:p>
    <w:p w14:paraId="11ED96F8" w14:textId="77777777" w:rsidR="00DD784D" w:rsidRPr="00A12687" w:rsidRDefault="00DD784D" w:rsidP="000B0145">
      <w:pPr>
        <w:pStyle w:val="SingleTxtG"/>
      </w:pPr>
      <w:r w:rsidRPr="000B0145">
        <w:t>8.</w:t>
      </w:r>
      <w:r w:rsidRPr="000B0145">
        <w:tab/>
        <w:t>Quand le tableau de l’instruction d’emballage P200 a été élaboré par le Groupe de travail, en 2000 et 2001, la valeur de la CL</w:t>
      </w:r>
      <w:r w:rsidRPr="000B0145">
        <w:rPr>
          <w:vertAlign w:val="subscript"/>
        </w:rPr>
        <w:t>50</w:t>
      </w:r>
      <w:r w:rsidRPr="000B0145">
        <w:t xml:space="preserve"> de 7</w:t>
      </w:r>
      <w:r w:rsidR="00CB2009">
        <w:t> </w:t>
      </w:r>
      <w:r w:rsidRPr="000B0145">
        <w:t>338</w:t>
      </w:r>
      <w:r w:rsidR="00CB2009">
        <w:t> </w:t>
      </w:r>
      <w:r w:rsidRPr="000B0145">
        <w:t>ppm était connue et faisait l’objet de débats, mais il a été décidé de choisir arbitrairement une valeur de 4</w:t>
      </w:r>
      <w:r w:rsidR="00CB2009">
        <w:t> </w:t>
      </w:r>
      <w:r w:rsidRPr="000B0145">
        <w:t xml:space="preserve">000 afin de permettre de classer l’ammoniac dans la catégorie des substances toxiques. </w:t>
      </w:r>
      <w:r w:rsidRPr="004D42C3">
        <w:t>Toutefois,</w:t>
      </w:r>
      <w:r w:rsidRPr="000B0145">
        <w:t xml:space="preserve"> l’examen des critères de classification applicables aux gaz toxiques figurant au paragraphe</w:t>
      </w:r>
      <w:r w:rsidR="004D42C3">
        <w:t> </w:t>
      </w:r>
      <w:r w:rsidRPr="000B0145">
        <w:t>2.2.2.1</w:t>
      </w:r>
      <w:r w:rsidR="004D42C3">
        <w:t> </w:t>
      </w:r>
      <w:r w:rsidRPr="000B0145">
        <w:t>c) du Règlement type permet de constater que le Groupe de travail a fait erreur. Il n’est pas nécessaire qu’un gaz ait une CL</w:t>
      </w:r>
      <w:r w:rsidRPr="000B0145">
        <w:rPr>
          <w:vertAlign w:val="subscript"/>
        </w:rPr>
        <w:t>50</w:t>
      </w:r>
      <w:r w:rsidRPr="000B0145">
        <w:t xml:space="preserve"> inférieure à 5</w:t>
      </w:r>
      <w:r w:rsidR="008F2793">
        <w:t> </w:t>
      </w:r>
      <w:r w:rsidRPr="000B0145">
        <w:t>000</w:t>
      </w:r>
      <w:r w:rsidR="008F2793">
        <w:t> </w:t>
      </w:r>
      <w:r w:rsidRPr="000B0145">
        <w:t>ppm pour qu’il soit classé dans la catégorie des substances toxiques. Il est évident que le premier critère de toxicité énoncé au point</w:t>
      </w:r>
      <w:r w:rsidR="008F2793">
        <w:t> </w:t>
      </w:r>
      <w:r w:rsidRPr="000B0145">
        <w:t>i) du 2.2.2.1</w:t>
      </w:r>
      <w:r w:rsidR="008F2793">
        <w:t> </w:t>
      </w:r>
      <w:r w:rsidRPr="000B0145">
        <w:t xml:space="preserve">c), à savoir </w:t>
      </w:r>
      <w:r w:rsidR="008F2793">
        <w:t>« </w:t>
      </w:r>
      <w:r w:rsidRPr="000B0145">
        <w:t>Gaz qui sont connus comme étant toxiques ou corrosifs pour l’homme au point que leur transport présente un risque pour la santé</w:t>
      </w:r>
      <w:r w:rsidR="008F2793">
        <w:t> »</w:t>
      </w:r>
      <w:r w:rsidRPr="000B0145">
        <w:t xml:space="preserve">, s’applique avec justesse à l’ammoniac anhydre. Ce gaz est corrosif à faible concentration pour les tissus humains, et cette corrosivité le place dans la </w:t>
      </w:r>
      <w:r w:rsidR="008F2793">
        <w:t>d</w:t>
      </w:r>
      <w:r w:rsidRPr="000B0145">
        <w:t>ivision 2.3, même avec une valeur de CL</w:t>
      </w:r>
      <w:r w:rsidRPr="000B0145">
        <w:rPr>
          <w:vertAlign w:val="subscript"/>
        </w:rPr>
        <w:t>50</w:t>
      </w:r>
      <w:r w:rsidRPr="00A12687">
        <w:t xml:space="preserve"> supérieure à 5</w:t>
      </w:r>
      <w:r w:rsidR="008F2793">
        <w:t> </w:t>
      </w:r>
      <w:r w:rsidRPr="00A12687">
        <w:t>000</w:t>
      </w:r>
      <w:r w:rsidR="008F2793">
        <w:t> </w:t>
      </w:r>
      <w:r w:rsidRPr="00A12687">
        <w:t xml:space="preserve">ppm. </w:t>
      </w:r>
    </w:p>
    <w:p w14:paraId="62C5733F" w14:textId="77777777" w:rsidR="00DD784D" w:rsidRPr="00A12687" w:rsidRDefault="00DD784D" w:rsidP="00BC43ED">
      <w:pPr>
        <w:pStyle w:val="H23G"/>
      </w:pPr>
      <w:r w:rsidRPr="00A12687">
        <w:lastRenderedPageBreak/>
        <w:tab/>
      </w:r>
      <w:r w:rsidRPr="00A12687">
        <w:rPr>
          <w:bCs/>
        </w:rPr>
        <w:t>b)</w:t>
      </w:r>
      <w:r w:rsidRPr="00A12687">
        <w:tab/>
        <w:t>Trifluorure de bore</w:t>
      </w:r>
    </w:p>
    <w:p w14:paraId="4BE318D8" w14:textId="77777777" w:rsidR="00DD784D" w:rsidRPr="00A12687" w:rsidRDefault="00DD784D" w:rsidP="007C6D07">
      <w:pPr>
        <w:pStyle w:val="SingleTxtG"/>
      </w:pPr>
      <w:r w:rsidRPr="00A12687">
        <w:t>9.</w:t>
      </w:r>
      <w:r w:rsidRPr="00A12687">
        <w:tab/>
        <w:t>La CL</w:t>
      </w:r>
      <w:r w:rsidRPr="00A12687">
        <w:rPr>
          <w:vertAlign w:val="subscript"/>
        </w:rPr>
        <w:t>50</w:t>
      </w:r>
      <w:r w:rsidRPr="00A12687">
        <w:t xml:space="preserve"> donnée dans la norme ISO</w:t>
      </w:r>
      <w:r w:rsidR="007C6D07">
        <w:t> </w:t>
      </w:r>
      <w:r w:rsidRPr="00A12687">
        <w:t>10298</w:t>
      </w:r>
      <w:r w:rsidR="007B1542">
        <w:t>:</w:t>
      </w:r>
      <w:r w:rsidRPr="00A12687">
        <w:t xml:space="preserve">1995 (et dans le Règlement type) repose sur un calcul fondé sur une supposition erronée concernant une décomposition présumée en fluorure d’hydrogène. Sur la base de </w:t>
      </w:r>
      <w:r w:rsidRPr="00A12687">
        <w:rPr>
          <w:i/>
          <w:iCs/>
        </w:rPr>
        <w:t>Jones, W.</w:t>
      </w:r>
      <w:r w:rsidR="00C3160C">
        <w:rPr>
          <w:i/>
          <w:iCs/>
        </w:rPr>
        <w:t> </w:t>
      </w:r>
      <w:r w:rsidRPr="00A12687">
        <w:rPr>
          <w:i/>
          <w:iCs/>
        </w:rPr>
        <w:t xml:space="preserve">Ransom, </w:t>
      </w:r>
      <w:r w:rsidR="00764337">
        <w:rPr>
          <w:i/>
          <w:iCs/>
        </w:rPr>
        <w:t>« </w:t>
      </w:r>
      <w:r w:rsidRPr="00A12687">
        <w:rPr>
          <w:i/>
          <w:iCs/>
        </w:rPr>
        <w:t>Incorrect Assumption of Boron Trifluoride Hydrolyzation to Hydrogen Fluoride and The Effect on Existing Monitoring Techniques</w:t>
      </w:r>
      <w:r w:rsidR="00764337">
        <w:rPr>
          <w:i/>
          <w:iCs/>
        </w:rPr>
        <w:t> »</w:t>
      </w:r>
      <w:r w:rsidRPr="00A12687">
        <w:rPr>
          <w:i/>
          <w:iCs/>
        </w:rPr>
        <w:t xml:space="preserve">, SSA Journal, </w:t>
      </w:r>
      <w:r w:rsidR="00C3160C">
        <w:rPr>
          <w:i/>
          <w:iCs/>
        </w:rPr>
        <w:t>v</w:t>
      </w:r>
      <w:r w:rsidRPr="00A12687">
        <w:rPr>
          <w:i/>
          <w:iCs/>
        </w:rPr>
        <w:t>ol.</w:t>
      </w:r>
      <w:r w:rsidR="00C3160C">
        <w:rPr>
          <w:i/>
          <w:iCs/>
        </w:rPr>
        <w:t> </w:t>
      </w:r>
      <w:r w:rsidRPr="00A12687">
        <w:rPr>
          <w:i/>
          <w:iCs/>
        </w:rPr>
        <w:t>12, p</w:t>
      </w:r>
      <w:r w:rsidR="00C3160C">
        <w:rPr>
          <w:i/>
          <w:iCs/>
        </w:rPr>
        <w:t>. </w:t>
      </w:r>
      <w:r w:rsidRPr="00A12687">
        <w:rPr>
          <w:i/>
          <w:iCs/>
        </w:rPr>
        <w:t>19 à 23</w:t>
      </w:r>
      <w:r w:rsidRPr="00A12687">
        <w:t>, il a été démontré que lorsque du fluorure d’hydrogène se forme, il réagit rapidement.</w:t>
      </w:r>
    </w:p>
    <w:p w14:paraId="623CF1F4" w14:textId="77777777" w:rsidR="00DD784D" w:rsidRPr="00A12687" w:rsidRDefault="00DD784D" w:rsidP="007C6D07">
      <w:pPr>
        <w:pStyle w:val="SingleTxtG"/>
      </w:pPr>
      <w:r w:rsidRPr="00A12687">
        <w:t>10.</w:t>
      </w:r>
      <w:r w:rsidRPr="00A12687">
        <w:tab/>
        <w:t>Une étude scientifique sur le trifluorure de bore ayant fourni de nouvelles données (</w:t>
      </w:r>
      <w:r w:rsidRPr="00B35F88">
        <w:rPr>
          <w:i/>
        </w:rPr>
        <w:t>Rusch G.</w:t>
      </w:r>
      <w:r w:rsidR="007C6D07" w:rsidRPr="00B35F88">
        <w:rPr>
          <w:i/>
        </w:rPr>
        <w:t> </w:t>
      </w:r>
      <w:r w:rsidRPr="00B35F88">
        <w:rPr>
          <w:i/>
        </w:rPr>
        <w:t>M. Hoffman, G.</w:t>
      </w:r>
      <w:r w:rsidR="007C6D07" w:rsidRPr="00B35F88">
        <w:rPr>
          <w:i/>
        </w:rPr>
        <w:t> </w:t>
      </w:r>
      <w:r w:rsidRPr="00B35F88">
        <w:rPr>
          <w:i/>
        </w:rPr>
        <w:t>M., McConnell, R.</w:t>
      </w:r>
      <w:r w:rsidR="007C6D07" w:rsidRPr="00B35F88">
        <w:rPr>
          <w:i/>
        </w:rPr>
        <w:t> </w:t>
      </w:r>
      <w:r w:rsidRPr="00B35F88">
        <w:rPr>
          <w:i/>
        </w:rPr>
        <w:t xml:space="preserve">F. </w:t>
      </w:r>
      <w:r w:rsidR="00B35F88">
        <w:rPr>
          <w:i/>
        </w:rPr>
        <w:t xml:space="preserve">et </w:t>
      </w:r>
      <w:r w:rsidRPr="00B35F88">
        <w:rPr>
          <w:i/>
        </w:rPr>
        <w:t>Rinehart, W.E. Inhalation toxicity studies with boron trifluoride. Toxicol. Appl. Pharmacol. 1986, 83, p</w:t>
      </w:r>
      <w:r w:rsidR="007C6D07" w:rsidRPr="00B35F88">
        <w:rPr>
          <w:i/>
        </w:rPr>
        <w:t>. </w:t>
      </w:r>
      <w:r w:rsidRPr="00B35F88">
        <w:rPr>
          <w:i/>
        </w:rPr>
        <w:t xml:space="preserve"> 69</w:t>
      </w:r>
      <w:r w:rsidR="007C6D07" w:rsidRPr="00B35F88">
        <w:rPr>
          <w:i/>
        </w:rPr>
        <w:t xml:space="preserve"> à </w:t>
      </w:r>
      <w:r w:rsidRPr="00B35F88">
        <w:rPr>
          <w:i/>
        </w:rPr>
        <w:t>78</w:t>
      </w:r>
      <w:r w:rsidRPr="00A12687">
        <w:t>), le Groupe de travail</w:t>
      </w:r>
      <w:r w:rsidR="00B35F88">
        <w:t> </w:t>
      </w:r>
      <w:r w:rsidRPr="00A12687">
        <w:t>7 a porté la CL</w:t>
      </w:r>
      <w:r w:rsidRPr="00A12687">
        <w:rPr>
          <w:vertAlign w:val="subscript"/>
        </w:rPr>
        <w:t>50</w:t>
      </w:r>
      <w:r w:rsidRPr="00A12687">
        <w:t xml:space="preserve"> à 864</w:t>
      </w:r>
      <w:r w:rsidR="00B35F88">
        <w:t> </w:t>
      </w:r>
      <w:r w:rsidRPr="00A12687">
        <w:t>ppm dans la norme ISO</w:t>
      </w:r>
      <w:r w:rsidR="00B35F88">
        <w:t> </w:t>
      </w:r>
      <w:r w:rsidRPr="00A12687">
        <w:t>10298</w:t>
      </w:r>
      <w:r w:rsidR="007B1542">
        <w:t>:</w:t>
      </w:r>
      <w:r w:rsidRPr="00A12687">
        <w:t>2010.</w:t>
      </w:r>
    </w:p>
    <w:p w14:paraId="571B1586" w14:textId="77777777" w:rsidR="00DD784D" w:rsidRPr="00A12687" w:rsidRDefault="00DD784D" w:rsidP="007C6D07">
      <w:pPr>
        <w:pStyle w:val="SingleTxtG"/>
      </w:pPr>
      <w:r w:rsidRPr="00A12687">
        <w:t>11.</w:t>
      </w:r>
      <w:r w:rsidRPr="00A12687">
        <w:tab/>
        <w:t>Le Groupe de travail</w:t>
      </w:r>
      <w:r w:rsidR="004402B5">
        <w:t> </w:t>
      </w:r>
      <w:r w:rsidRPr="00A12687">
        <w:t>7 est d’avis que les valeurs données dans les normes ISO</w:t>
      </w:r>
      <w:r w:rsidR="002814A0">
        <w:t> </w:t>
      </w:r>
      <w:r w:rsidRPr="00A12687">
        <w:t>10298</w:t>
      </w:r>
      <w:r w:rsidR="007B1542">
        <w:t>:</w:t>
      </w:r>
      <w:r w:rsidRPr="00A12687">
        <w:t>2010 et 10298</w:t>
      </w:r>
      <w:r w:rsidR="007B1542">
        <w:t>:</w:t>
      </w:r>
      <w:r w:rsidRPr="00A12687">
        <w:t>2018 sont correctes.</w:t>
      </w:r>
    </w:p>
    <w:p w14:paraId="4515A77F" w14:textId="77777777" w:rsidR="00DD784D" w:rsidRPr="00A12687" w:rsidRDefault="00DD784D" w:rsidP="00BC43ED">
      <w:pPr>
        <w:pStyle w:val="H23G"/>
      </w:pPr>
      <w:r w:rsidRPr="00A12687">
        <w:tab/>
      </w:r>
      <w:r w:rsidRPr="00A12687">
        <w:rPr>
          <w:bCs/>
        </w:rPr>
        <w:t>c)</w:t>
      </w:r>
      <w:r w:rsidRPr="00A12687">
        <w:tab/>
        <w:t>Hexafluorure de tungstène</w:t>
      </w:r>
    </w:p>
    <w:p w14:paraId="6AC7899A" w14:textId="77777777" w:rsidR="00DD784D" w:rsidRPr="00A12687" w:rsidRDefault="00DD784D" w:rsidP="00DD784D">
      <w:pPr>
        <w:pStyle w:val="SingleTxtG"/>
        <w:spacing w:before="120"/>
      </w:pPr>
      <w:bookmarkStart w:id="1" w:name="page4"/>
      <w:bookmarkStart w:id="2" w:name="_Hlk34055583"/>
      <w:bookmarkEnd w:id="1"/>
      <w:r w:rsidRPr="00A12687">
        <w:t>12.</w:t>
      </w:r>
      <w:r w:rsidRPr="00A12687">
        <w:tab/>
        <w:t>La CL</w:t>
      </w:r>
      <w:r w:rsidRPr="00A12687">
        <w:rPr>
          <w:vertAlign w:val="subscript"/>
        </w:rPr>
        <w:t>50</w:t>
      </w:r>
      <w:r w:rsidRPr="00A12687">
        <w:t xml:space="preserve"> a toujours été calculée en relation avec la décomposition en fluorure d’hydrogène (voir les normes ISO</w:t>
      </w:r>
      <w:r w:rsidR="002814A0">
        <w:t> </w:t>
      </w:r>
      <w:r w:rsidRPr="00A12687">
        <w:t>10298</w:t>
      </w:r>
      <w:r w:rsidR="007B1542">
        <w:t>:</w:t>
      </w:r>
      <w:r w:rsidRPr="00A12687">
        <w:t>1995, 10298</w:t>
      </w:r>
      <w:r w:rsidR="007B1542">
        <w:t>:</w:t>
      </w:r>
      <w:r w:rsidRPr="00A12687">
        <w:t>2010 et 10298</w:t>
      </w:r>
      <w:r w:rsidR="007B1542">
        <w:t>:</w:t>
      </w:r>
      <w:r w:rsidRPr="00A12687">
        <w:t>2018) sur la base de la réaction de décomposition suivante</w:t>
      </w:r>
      <w:r w:rsidR="007B1542">
        <w:t> :</w:t>
      </w:r>
    </w:p>
    <w:p w14:paraId="03F6CA51" w14:textId="77777777" w:rsidR="00DD784D" w:rsidRPr="00A12687" w:rsidRDefault="00DD784D" w:rsidP="002814A0">
      <w:pPr>
        <w:pStyle w:val="SingleTxtG"/>
        <w:jc w:val="left"/>
      </w:pPr>
      <w:r w:rsidRPr="00A12687">
        <w:t>WF</w:t>
      </w:r>
      <w:r w:rsidRPr="00A12687">
        <w:rPr>
          <w:vertAlign w:val="subscript"/>
        </w:rPr>
        <w:t xml:space="preserve">6 </w:t>
      </w:r>
      <w:r w:rsidRPr="00A12687">
        <w:t>+ 3H</w:t>
      </w:r>
      <w:r w:rsidRPr="00A12687">
        <w:rPr>
          <w:vertAlign w:val="subscript"/>
        </w:rPr>
        <w:t>2</w:t>
      </w:r>
      <w:r w:rsidRPr="00A12687">
        <w:t>O → WO</w:t>
      </w:r>
      <w:r w:rsidRPr="00A12687">
        <w:rPr>
          <w:vertAlign w:val="subscript"/>
        </w:rPr>
        <w:t>3</w:t>
      </w:r>
      <w:r w:rsidRPr="00A12687">
        <w:t xml:space="preserve"> + 6HF</w:t>
      </w:r>
    </w:p>
    <w:p w14:paraId="2DBC3229" w14:textId="77777777" w:rsidR="00DD784D" w:rsidRPr="00A12687" w:rsidRDefault="00DD784D" w:rsidP="00DD784D">
      <w:pPr>
        <w:pStyle w:val="SingleTxtG"/>
        <w:spacing w:before="120"/>
      </w:pPr>
      <w:r w:rsidRPr="00A12687">
        <w:t>13.</w:t>
      </w:r>
      <w:r w:rsidRPr="00A12687">
        <w:tab/>
        <w:t>Ainsi, la CL</w:t>
      </w:r>
      <w:r w:rsidRPr="00A12687">
        <w:rPr>
          <w:vertAlign w:val="subscript"/>
        </w:rPr>
        <w:t>50</w:t>
      </w:r>
      <w:r w:rsidRPr="00A12687">
        <w:t xml:space="preserve"> de l’hexafluorure de tungstène est fixée à 1/6 de celle du fluorure d’hydrogène.</w:t>
      </w:r>
    </w:p>
    <w:p w14:paraId="27DD133B" w14:textId="77777777" w:rsidR="00DD784D" w:rsidRPr="00A12687" w:rsidRDefault="00DD784D" w:rsidP="00DD784D">
      <w:pPr>
        <w:pStyle w:val="SingleTxtG"/>
      </w:pPr>
      <w:r w:rsidRPr="00A12687">
        <w:t>14.</w:t>
      </w:r>
      <w:r w:rsidRPr="00A12687">
        <w:tab/>
        <w:t>La méthode de calcul de la CL</w:t>
      </w:r>
      <w:r w:rsidRPr="00A12687">
        <w:rPr>
          <w:vertAlign w:val="subscript"/>
        </w:rPr>
        <w:t>50</w:t>
      </w:r>
      <w:r w:rsidRPr="00A12687">
        <w:t xml:space="preserve"> n’a pas changé depuis la première édition de la norme ISO 10298, mais le changement de valeur entre l’édition de 1995 et celle de 2010 est dû au changement de la valeur de référence de la CL</w:t>
      </w:r>
      <w:r w:rsidRPr="00A12687">
        <w:rPr>
          <w:vertAlign w:val="subscript"/>
        </w:rPr>
        <w:t>50</w:t>
      </w:r>
      <w:r w:rsidRPr="00A12687">
        <w:t xml:space="preserve"> du fluorure d’hydrogène (voir point</w:t>
      </w:r>
      <w:r w:rsidR="00015717">
        <w:t> </w:t>
      </w:r>
      <w:r w:rsidRPr="00A12687">
        <w:t>e) ci-après).</w:t>
      </w:r>
    </w:p>
    <w:bookmarkEnd w:id="2"/>
    <w:p w14:paraId="67378B15" w14:textId="77777777" w:rsidR="00DD784D" w:rsidRPr="00A12687" w:rsidRDefault="00DD784D" w:rsidP="00015717">
      <w:pPr>
        <w:pStyle w:val="H23G"/>
      </w:pPr>
      <w:r w:rsidRPr="00A12687">
        <w:tab/>
        <w:t>d)</w:t>
      </w:r>
      <w:r w:rsidRPr="00A12687">
        <w:tab/>
        <w:t>Pentafluorure de phosphore</w:t>
      </w:r>
    </w:p>
    <w:p w14:paraId="58DF9DDD" w14:textId="77777777" w:rsidR="00DD784D" w:rsidRPr="00A12687" w:rsidRDefault="00DD784D" w:rsidP="00402692">
      <w:pPr>
        <w:pStyle w:val="SingleTxtG"/>
        <w:spacing w:before="120" w:after="100"/>
      </w:pPr>
      <w:r w:rsidRPr="00A12687">
        <w:t>15.</w:t>
      </w:r>
      <w:r w:rsidRPr="00A12687">
        <w:tab/>
        <w:t>La valeur de la CL</w:t>
      </w:r>
      <w:r w:rsidRPr="00A12687">
        <w:rPr>
          <w:vertAlign w:val="subscript"/>
        </w:rPr>
        <w:t>50</w:t>
      </w:r>
      <w:r w:rsidRPr="00A12687">
        <w:t xml:space="preserve"> a toujours été calculée en relation avec la décomposition en fluorure d’hydrogène (voir les normes ISO</w:t>
      </w:r>
      <w:r w:rsidR="00981044">
        <w:t> </w:t>
      </w:r>
      <w:r w:rsidRPr="00A12687">
        <w:t>10298</w:t>
      </w:r>
      <w:r w:rsidR="007B1542">
        <w:t>:</w:t>
      </w:r>
      <w:r w:rsidRPr="00A12687">
        <w:t>1995, 10298</w:t>
      </w:r>
      <w:r w:rsidR="007B1542">
        <w:t>:</w:t>
      </w:r>
      <w:r w:rsidRPr="00A12687">
        <w:t>2010 et 10298</w:t>
      </w:r>
      <w:r w:rsidR="007B1542">
        <w:t>:</w:t>
      </w:r>
      <w:r w:rsidRPr="00A12687">
        <w:t>2018) sur la base des réactions de décomposition suivantes</w:t>
      </w:r>
      <w:r w:rsidR="007B1542">
        <w:t> :</w:t>
      </w:r>
    </w:p>
    <w:p w14:paraId="15B7FD15" w14:textId="77777777" w:rsidR="00DD784D" w:rsidRPr="00A12687" w:rsidRDefault="00DD784D" w:rsidP="00402692">
      <w:pPr>
        <w:pStyle w:val="SingleTxtG"/>
        <w:spacing w:after="100"/>
        <w:jc w:val="left"/>
      </w:pPr>
      <w:bookmarkStart w:id="3" w:name="_Hlk34055767"/>
      <w:r w:rsidRPr="00A12687">
        <w:t>PF</w:t>
      </w:r>
      <w:r w:rsidRPr="00A12687">
        <w:rPr>
          <w:vertAlign w:val="subscript"/>
        </w:rPr>
        <w:t>5</w:t>
      </w:r>
      <w:r w:rsidRPr="00A12687">
        <w:t xml:space="preserve"> + H</w:t>
      </w:r>
      <w:r w:rsidRPr="00A12687">
        <w:rPr>
          <w:vertAlign w:val="subscript"/>
        </w:rPr>
        <w:t>2</w:t>
      </w:r>
      <w:r w:rsidRPr="00A12687">
        <w:t>O → POF</w:t>
      </w:r>
      <w:r w:rsidRPr="00A12687">
        <w:rPr>
          <w:vertAlign w:val="subscript"/>
        </w:rPr>
        <w:t>3</w:t>
      </w:r>
      <w:r w:rsidRPr="00A12687">
        <w:t xml:space="preserve"> + 2HF </w:t>
      </w:r>
    </w:p>
    <w:p w14:paraId="4E74C148" w14:textId="77777777" w:rsidR="00DD784D" w:rsidRPr="00A12687" w:rsidRDefault="00DD784D" w:rsidP="00402692">
      <w:pPr>
        <w:pStyle w:val="SingleTxtG"/>
        <w:spacing w:after="100"/>
        <w:jc w:val="left"/>
      </w:pPr>
      <w:r w:rsidRPr="00A12687">
        <w:t>POF</w:t>
      </w:r>
      <w:r w:rsidRPr="00A12687">
        <w:rPr>
          <w:vertAlign w:val="subscript"/>
        </w:rPr>
        <w:t>3</w:t>
      </w:r>
      <w:r w:rsidRPr="00A12687">
        <w:t xml:space="preserve"> + H</w:t>
      </w:r>
      <w:r w:rsidRPr="00A12687">
        <w:rPr>
          <w:vertAlign w:val="subscript"/>
        </w:rPr>
        <w:t>2</w:t>
      </w:r>
      <w:r w:rsidRPr="00A12687">
        <w:t>O → HPO</w:t>
      </w:r>
      <w:r w:rsidRPr="00A12687">
        <w:rPr>
          <w:vertAlign w:val="subscript"/>
        </w:rPr>
        <w:t>2</w:t>
      </w:r>
      <w:r w:rsidRPr="00A12687">
        <w:t>F</w:t>
      </w:r>
      <w:r w:rsidRPr="00A12687">
        <w:rPr>
          <w:vertAlign w:val="subscript"/>
        </w:rPr>
        <w:t>2</w:t>
      </w:r>
      <w:r w:rsidRPr="00A12687">
        <w:t xml:space="preserve"> + HF </w:t>
      </w:r>
    </w:p>
    <w:p w14:paraId="7027B8E7" w14:textId="77777777" w:rsidR="00DD784D" w:rsidRPr="00A12687" w:rsidRDefault="00DD784D" w:rsidP="00402692">
      <w:pPr>
        <w:pStyle w:val="SingleTxtG"/>
        <w:spacing w:after="100"/>
        <w:jc w:val="left"/>
      </w:pPr>
      <w:r w:rsidRPr="00A12687">
        <w:t>HPO</w:t>
      </w:r>
      <w:r w:rsidRPr="00A12687">
        <w:rPr>
          <w:vertAlign w:val="subscript"/>
        </w:rPr>
        <w:t>2</w:t>
      </w:r>
      <w:r w:rsidRPr="00A12687">
        <w:t>F</w:t>
      </w:r>
      <w:r w:rsidRPr="00A12687">
        <w:rPr>
          <w:vertAlign w:val="subscript"/>
        </w:rPr>
        <w:t>2</w:t>
      </w:r>
      <w:r w:rsidRPr="00A12687">
        <w:t xml:space="preserve"> + H</w:t>
      </w:r>
      <w:r w:rsidRPr="00A12687">
        <w:rPr>
          <w:vertAlign w:val="subscript"/>
        </w:rPr>
        <w:t>2</w:t>
      </w:r>
      <w:r w:rsidRPr="00A12687">
        <w:t>O → H</w:t>
      </w:r>
      <w:r w:rsidRPr="00A12687">
        <w:rPr>
          <w:vertAlign w:val="subscript"/>
        </w:rPr>
        <w:t>2</w:t>
      </w:r>
      <w:r w:rsidRPr="00A12687">
        <w:t>PO</w:t>
      </w:r>
      <w:r w:rsidRPr="00A12687">
        <w:rPr>
          <w:vertAlign w:val="subscript"/>
        </w:rPr>
        <w:t>3</w:t>
      </w:r>
      <w:r w:rsidRPr="00A12687">
        <w:t xml:space="preserve">F + HF </w:t>
      </w:r>
    </w:p>
    <w:p w14:paraId="3EED5647" w14:textId="77777777" w:rsidR="00DD784D" w:rsidRPr="00A12687" w:rsidRDefault="00DD784D" w:rsidP="00402692">
      <w:pPr>
        <w:pStyle w:val="SingleTxtG"/>
        <w:spacing w:after="100"/>
        <w:jc w:val="left"/>
      </w:pPr>
      <w:r w:rsidRPr="00A12687">
        <w:t>H</w:t>
      </w:r>
      <w:r w:rsidRPr="00A12687">
        <w:rPr>
          <w:vertAlign w:val="subscript"/>
        </w:rPr>
        <w:t>2</w:t>
      </w:r>
      <w:r w:rsidRPr="00A12687">
        <w:t>PO</w:t>
      </w:r>
      <w:r w:rsidRPr="00A12687">
        <w:rPr>
          <w:vertAlign w:val="subscript"/>
        </w:rPr>
        <w:t>3</w:t>
      </w:r>
      <w:r w:rsidRPr="00A12687">
        <w:t>F + H</w:t>
      </w:r>
      <w:r w:rsidRPr="00A12687">
        <w:rPr>
          <w:vertAlign w:val="subscript"/>
        </w:rPr>
        <w:t>2</w:t>
      </w:r>
      <w:r w:rsidRPr="00A12687">
        <w:t>O → H</w:t>
      </w:r>
      <w:r w:rsidRPr="00A12687">
        <w:rPr>
          <w:vertAlign w:val="subscript"/>
        </w:rPr>
        <w:t>3</w:t>
      </w:r>
      <w:r w:rsidRPr="00A12687">
        <w:t>PO</w:t>
      </w:r>
      <w:r w:rsidRPr="00A12687">
        <w:rPr>
          <w:vertAlign w:val="subscript"/>
        </w:rPr>
        <w:t>4</w:t>
      </w:r>
      <w:r w:rsidRPr="00A12687">
        <w:t xml:space="preserve"> + HF</w:t>
      </w:r>
      <w:bookmarkEnd w:id="3"/>
    </w:p>
    <w:p w14:paraId="3213AC0C" w14:textId="77777777" w:rsidR="00DD784D" w:rsidRPr="00A12687" w:rsidRDefault="00DD784D" w:rsidP="00402692">
      <w:pPr>
        <w:pStyle w:val="SingleTxtG"/>
        <w:spacing w:after="100"/>
        <w:jc w:val="left"/>
      </w:pPr>
      <w:r w:rsidRPr="00A12687">
        <w:t>Réaction globale</w:t>
      </w:r>
      <w:r w:rsidR="007B1542">
        <w:t> :</w:t>
      </w:r>
      <w:r w:rsidRPr="00A12687">
        <w:t xml:space="preserve"> PF</w:t>
      </w:r>
      <w:r w:rsidRPr="00A12687">
        <w:rPr>
          <w:vertAlign w:val="subscript"/>
        </w:rPr>
        <w:t>5</w:t>
      </w:r>
      <w:r w:rsidRPr="00A12687">
        <w:t xml:space="preserve"> + 4H</w:t>
      </w:r>
      <w:r w:rsidRPr="00A12687">
        <w:rPr>
          <w:vertAlign w:val="subscript"/>
        </w:rPr>
        <w:t>2</w:t>
      </w:r>
      <w:r w:rsidRPr="00A12687">
        <w:t>O → H</w:t>
      </w:r>
      <w:r w:rsidRPr="00A12687">
        <w:rPr>
          <w:vertAlign w:val="subscript"/>
        </w:rPr>
        <w:t>3</w:t>
      </w:r>
      <w:r w:rsidRPr="00A12687">
        <w:t>PO</w:t>
      </w:r>
      <w:r w:rsidRPr="00A12687">
        <w:rPr>
          <w:vertAlign w:val="subscript"/>
        </w:rPr>
        <w:t>4</w:t>
      </w:r>
      <w:r w:rsidRPr="00A12687">
        <w:t xml:space="preserve"> + 5HF</w:t>
      </w:r>
    </w:p>
    <w:p w14:paraId="37BC226D" w14:textId="77777777" w:rsidR="00DD784D" w:rsidRPr="00A12687" w:rsidRDefault="00DD784D" w:rsidP="00402692">
      <w:pPr>
        <w:pStyle w:val="SingleTxtG"/>
        <w:spacing w:after="100"/>
      </w:pPr>
      <w:r w:rsidRPr="00A12687">
        <w:t>16.</w:t>
      </w:r>
      <w:r w:rsidRPr="00A12687">
        <w:tab/>
        <w:t>Ainsi, la CL</w:t>
      </w:r>
      <w:r w:rsidRPr="00A12687">
        <w:rPr>
          <w:vertAlign w:val="subscript"/>
        </w:rPr>
        <w:t xml:space="preserve">50 </w:t>
      </w:r>
      <w:r w:rsidRPr="00A12687">
        <w:t>du pentafluorure de phosphore est fixée à 1/5 de celle de la CL</w:t>
      </w:r>
      <w:r w:rsidRPr="00A12687">
        <w:rPr>
          <w:vertAlign w:val="subscript"/>
        </w:rPr>
        <w:t>50</w:t>
      </w:r>
      <w:r w:rsidRPr="00A12687">
        <w:t xml:space="preserve"> du fluorure d’hydrogène.</w:t>
      </w:r>
    </w:p>
    <w:p w14:paraId="47816FD0" w14:textId="77777777" w:rsidR="00DD784D" w:rsidRPr="00A12687" w:rsidRDefault="00DD784D" w:rsidP="00402692">
      <w:pPr>
        <w:pStyle w:val="SingleTxtG"/>
        <w:spacing w:after="100"/>
      </w:pPr>
      <w:r w:rsidRPr="00A12687">
        <w:t>17.</w:t>
      </w:r>
      <w:r w:rsidRPr="00A12687">
        <w:tab/>
        <w:t>La méthode de calcul de la CL</w:t>
      </w:r>
      <w:r w:rsidRPr="00A12687">
        <w:rPr>
          <w:vertAlign w:val="subscript"/>
        </w:rPr>
        <w:t>50</w:t>
      </w:r>
      <w:r w:rsidRPr="00A12687">
        <w:t xml:space="preserve"> n’a pas changé depuis la première édition de la norme ISO 10298, mais le changement de valeur entre l’édition de 1995 et celle de 2010 est dû au changement de la valeur de référence de la CL</w:t>
      </w:r>
      <w:r w:rsidRPr="00A12687">
        <w:rPr>
          <w:vertAlign w:val="subscript"/>
        </w:rPr>
        <w:t>50</w:t>
      </w:r>
      <w:r w:rsidRPr="00A12687">
        <w:t xml:space="preserve"> du fluorure d’hydrogène (voir point</w:t>
      </w:r>
      <w:r w:rsidR="00402692">
        <w:t> </w:t>
      </w:r>
      <w:r w:rsidRPr="00A12687">
        <w:t>e) ci-après).</w:t>
      </w:r>
    </w:p>
    <w:p w14:paraId="4BAB4B97" w14:textId="77777777" w:rsidR="00DD784D" w:rsidRPr="00A12687" w:rsidRDefault="00DD784D" w:rsidP="00402692">
      <w:pPr>
        <w:pStyle w:val="H23G"/>
      </w:pPr>
      <w:r w:rsidRPr="00A12687">
        <w:tab/>
        <w:t>e)</w:t>
      </w:r>
      <w:r w:rsidRPr="00A12687">
        <w:tab/>
        <w:t>Fluorure d’hydrogène anhydre</w:t>
      </w:r>
    </w:p>
    <w:p w14:paraId="057FAF35" w14:textId="77777777" w:rsidR="00DD784D" w:rsidRPr="00A12687" w:rsidRDefault="00DD784D" w:rsidP="00DD784D">
      <w:pPr>
        <w:pStyle w:val="SingleTxtG"/>
        <w:spacing w:before="120"/>
      </w:pPr>
      <w:r w:rsidRPr="00A12687">
        <w:t>18.</w:t>
      </w:r>
      <w:r w:rsidRPr="00A12687">
        <w:tab/>
        <w:t>La  CL</w:t>
      </w:r>
      <w:r w:rsidRPr="00A12687">
        <w:rPr>
          <w:vertAlign w:val="subscript"/>
        </w:rPr>
        <w:t xml:space="preserve">50 </w:t>
      </w:r>
      <w:r w:rsidRPr="00A12687">
        <w:t>donnée dans la norme ISO</w:t>
      </w:r>
      <w:r w:rsidR="00402692">
        <w:t> </w:t>
      </w:r>
      <w:r w:rsidRPr="00A12687">
        <w:t>10298</w:t>
      </w:r>
      <w:r w:rsidR="007B1542">
        <w:t>:</w:t>
      </w:r>
      <w:r w:rsidRPr="00A12687">
        <w:t>1995 était de 966</w:t>
      </w:r>
      <w:r w:rsidR="00402692">
        <w:t> </w:t>
      </w:r>
      <w:r w:rsidRPr="00A12687">
        <w:t>ppm.</w:t>
      </w:r>
    </w:p>
    <w:p w14:paraId="0E714572" w14:textId="77777777" w:rsidR="00DD784D" w:rsidRPr="00A12687" w:rsidRDefault="00DD784D" w:rsidP="00402692">
      <w:pPr>
        <w:pStyle w:val="SingleTxtG"/>
      </w:pPr>
      <w:r w:rsidRPr="00A12687">
        <w:t>19.</w:t>
      </w:r>
      <w:r w:rsidRPr="00A12687">
        <w:tab/>
        <w:t xml:space="preserve">De nouvelles données étant disponibles, le Groupe de travail 7 a conclu, lors de </w:t>
      </w:r>
      <w:r w:rsidRPr="00402692">
        <w:t>l’élaboration de</w:t>
      </w:r>
      <w:r w:rsidRPr="00A12687">
        <w:t xml:space="preserve"> l’édition 2010 de la norme ISO 10298, que la CL</w:t>
      </w:r>
      <w:r w:rsidRPr="00A12687">
        <w:rPr>
          <w:vertAlign w:val="subscript"/>
        </w:rPr>
        <w:t>50</w:t>
      </w:r>
      <w:r w:rsidRPr="00A12687">
        <w:t xml:space="preserve"> devait être la valeur médiane de cinq valeurs de CL</w:t>
      </w:r>
      <w:r w:rsidRPr="00A12687">
        <w:rPr>
          <w:vertAlign w:val="subscript"/>
        </w:rPr>
        <w:t>50</w:t>
      </w:r>
      <w:r w:rsidRPr="00A12687">
        <w:t xml:space="preserve"> tirées du tableau 3-4 du réexamen de l’Acute Exposure Guideline Levels for Airborne Chemicals (AEGL) réalisé en 2004 par le Comité consultatif national des États-Unis en 2004 concernant le fluorure d’hydrogène.</w:t>
      </w:r>
    </w:p>
    <w:p w14:paraId="2A81DAF1" w14:textId="77777777" w:rsidR="00DD784D" w:rsidRPr="00A12687" w:rsidRDefault="00DD784D" w:rsidP="00402692">
      <w:pPr>
        <w:pStyle w:val="SingleTxtG"/>
        <w:ind w:left="1701"/>
        <w:rPr>
          <w:i/>
          <w:iCs/>
        </w:rPr>
      </w:pPr>
      <w:r w:rsidRPr="00A12687">
        <w:rPr>
          <w:b/>
          <w:bCs/>
          <w:i/>
          <w:iCs/>
        </w:rPr>
        <w:t>Note</w:t>
      </w:r>
      <w:r w:rsidR="007B1542">
        <w:rPr>
          <w:b/>
          <w:bCs/>
          <w:i/>
          <w:iCs/>
        </w:rPr>
        <w:t> </w:t>
      </w:r>
      <w:r w:rsidR="007B1542" w:rsidRPr="00402692">
        <w:rPr>
          <w:bCs/>
          <w:iCs/>
        </w:rPr>
        <w:t>:</w:t>
      </w:r>
      <w:r w:rsidRPr="00A12687">
        <w:t xml:space="preserve"> </w:t>
      </w:r>
      <w:r w:rsidRPr="00A12687">
        <w:rPr>
          <w:i/>
          <w:iCs/>
        </w:rPr>
        <w:t>Le changement proposé de 966 ppm à 1</w:t>
      </w:r>
      <w:r w:rsidR="00043B29">
        <w:rPr>
          <w:i/>
          <w:iCs/>
        </w:rPr>
        <w:t> </w:t>
      </w:r>
      <w:r w:rsidRPr="00A12687">
        <w:rPr>
          <w:i/>
          <w:iCs/>
        </w:rPr>
        <w:t>30</w:t>
      </w:r>
      <w:r w:rsidR="00043B29">
        <w:rPr>
          <w:i/>
          <w:iCs/>
        </w:rPr>
        <w:t>7 </w:t>
      </w:r>
      <w:r w:rsidRPr="00A12687">
        <w:rPr>
          <w:i/>
          <w:iCs/>
        </w:rPr>
        <w:t>ppm pour la CL</w:t>
      </w:r>
      <w:r w:rsidRPr="00A12687">
        <w:rPr>
          <w:i/>
          <w:iCs/>
          <w:vertAlign w:val="subscript"/>
        </w:rPr>
        <w:t>50</w:t>
      </w:r>
      <w:r w:rsidRPr="00A12687">
        <w:rPr>
          <w:i/>
          <w:iCs/>
        </w:rPr>
        <w:t xml:space="preserve"> entraînerait un changement de catégorie dans le SGH.</w:t>
      </w:r>
    </w:p>
    <w:p w14:paraId="52B90FB0" w14:textId="77777777" w:rsidR="00DD784D" w:rsidRPr="00A12687" w:rsidRDefault="00DD784D" w:rsidP="00402692">
      <w:pPr>
        <w:pStyle w:val="HChG"/>
      </w:pPr>
      <w:r w:rsidRPr="00A12687">
        <w:lastRenderedPageBreak/>
        <w:tab/>
      </w:r>
      <w:r w:rsidRPr="00A12687">
        <w:tab/>
        <w:t>Proposition</w:t>
      </w:r>
    </w:p>
    <w:p w14:paraId="209BBF5C" w14:textId="77777777" w:rsidR="00DD784D" w:rsidRPr="00A12687" w:rsidRDefault="00DD784D" w:rsidP="00402692">
      <w:pPr>
        <w:pStyle w:val="SingleTxtG"/>
      </w:pPr>
      <w:r w:rsidRPr="00A12687">
        <w:t>20.</w:t>
      </w:r>
      <w:r w:rsidRPr="00A12687">
        <w:tab/>
        <w:t>Dans le tableau 2 de l’instruction d’emballage P200 (par</w:t>
      </w:r>
      <w:r w:rsidR="00402692">
        <w:t>. </w:t>
      </w:r>
      <w:r w:rsidRPr="00A12687">
        <w:t>4.1.1.4), pour les numéros ONU ci-après, remplacer les valeurs de la colonne «</w:t>
      </w:r>
      <w:r w:rsidR="00402692">
        <w:t> </w:t>
      </w:r>
      <w:r w:rsidRPr="00A12687">
        <w:t>CL</w:t>
      </w:r>
      <w:r w:rsidRPr="00A12687">
        <w:rPr>
          <w:vertAlign w:val="subscript"/>
        </w:rPr>
        <w:t>50</w:t>
      </w:r>
      <w:r w:rsidRPr="00A12687">
        <w:t xml:space="preserve"> (en ml/m</w:t>
      </w:r>
      <w:r w:rsidRPr="00A12687">
        <w:rPr>
          <w:vertAlign w:val="superscript"/>
        </w:rPr>
        <w:t>3</w:t>
      </w:r>
      <w:r w:rsidRPr="00A12687">
        <w:t>)</w:t>
      </w:r>
      <w:r w:rsidR="00402692">
        <w:t> </w:t>
      </w:r>
      <w:r w:rsidRPr="00A12687">
        <w:t>» par celles de la norme ISO</w:t>
      </w:r>
      <w:r w:rsidR="006C75B1">
        <w:t> </w:t>
      </w:r>
      <w:r w:rsidRPr="00A12687">
        <w:t>10298</w:t>
      </w:r>
      <w:r w:rsidR="007B1542">
        <w:t>:</w:t>
      </w:r>
      <w:r w:rsidRPr="00A12687">
        <w:t>2018, comme suit</w:t>
      </w:r>
      <w:r w:rsidR="007B1542">
        <w:t> :</w:t>
      </w:r>
    </w:p>
    <w:tbl>
      <w:tblPr>
        <w:tblStyle w:val="TableGrid"/>
        <w:tblW w:w="8505" w:type="dxa"/>
        <w:tblInd w:w="1134" w:type="dxa"/>
        <w:tblLayout w:type="fixed"/>
        <w:tblLook w:val="04A0" w:firstRow="1" w:lastRow="0" w:firstColumn="1" w:lastColumn="0" w:noHBand="0" w:noVBand="1"/>
      </w:tblPr>
      <w:tblGrid>
        <w:gridCol w:w="649"/>
        <w:gridCol w:w="3437"/>
        <w:gridCol w:w="2783"/>
        <w:gridCol w:w="1636"/>
      </w:tblGrid>
      <w:tr w:rsidR="00DD784D" w:rsidRPr="00A12687" w14:paraId="79AFDE07" w14:textId="77777777" w:rsidTr="00043B29">
        <w:tc>
          <w:tcPr>
            <w:tcW w:w="562" w:type="dxa"/>
            <w:tcBorders>
              <w:top w:val="single" w:sz="4" w:space="0" w:color="auto"/>
              <w:left w:val="single" w:sz="4" w:space="0" w:color="auto"/>
              <w:bottom w:val="single" w:sz="4" w:space="0" w:color="auto"/>
              <w:right w:val="single" w:sz="4" w:space="0" w:color="auto"/>
            </w:tcBorders>
            <w:vAlign w:val="center"/>
            <w:hideMark/>
          </w:tcPr>
          <w:p w14:paraId="1208FFE5" w14:textId="77777777" w:rsidR="00DD784D" w:rsidRPr="00A12687" w:rsidRDefault="00DD784D" w:rsidP="00043B29">
            <w:pPr>
              <w:spacing w:before="60" w:after="60" w:line="240" w:lineRule="auto"/>
              <w:ind w:right="57"/>
              <w:jc w:val="center"/>
              <w:rPr>
                <w:b/>
              </w:rPr>
            </w:pPr>
            <w:r w:rsidRPr="00A12687">
              <w:rPr>
                <w:b/>
                <w:bCs/>
              </w:rPr>
              <w:t>No ONU</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4DB500" w14:textId="77777777" w:rsidR="00DD784D" w:rsidRPr="00A12687" w:rsidRDefault="00DD784D" w:rsidP="00043B29">
            <w:pPr>
              <w:spacing w:before="60" w:after="60" w:line="240" w:lineRule="auto"/>
              <w:ind w:right="57"/>
              <w:jc w:val="center"/>
              <w:rPr>
                <w:b/>
              </w:rPr>
            </w:pPr>
            <w:r w:rsidRPr="00A12687">
              <w:rPr>
                <w:b/>
                <w:bCs/>
              </w:rPr>
              <w:t>Désignation officielle de transport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25C5C7" w14:textId="77777777" w:rsidR="00DD784D" w:rsidRPr="00A12687" w:rsidRDefault="00DD784D" w:rsidP="00043B29">
            <w:pPr>
              <w:spacing w:before="60" w:after="60" w:line="240" w:lineRule="auto"/>
              <w:ind w:right="57"/>
              <w:jc w:val="center"/>
              <w:rPr>
                <w:b/>
              </w:rPr>
            </w:pPr>
            <w:r w:rsidRPr="00A12687">
              <w:rPr>
                <w:b/>
                <w:bCs/>
              </w:rPr>
              <w:t>Valeurs de la CL</w:t>
            </w:r>
            <w:r w:rsidRPr="00A12687">
              <w:rPr>
                <w:b/>
                <w:bCs/>
                <w:vertAlign w:val="subscript"/>
              </w:rPr>
              <w:t>50</w:t>
            </w:r>
            <w:r w:rsidRPr="00A12687">
              <w:rPr>
                <w:b/>
                <w:bCs/>
              </w:rPr>
              <w:t xml:space="preserve"> en ml/m</w:t>
            </w:r>
            <w:r w:rsidRPr="00A12687">
              <w:rPr>
                <w:b/>
                <w:bCs/>
                <w:vertAlign w:val="superscript"/>
              </w:rPr>
              <w:t xml:space="preserve">3 </w:t>
            </w:r>
            <w:r w:rsidRPr="00A12687">
              <w:rPr>
                <w:b/>
                <w:bCs/>
              </w:rPr>
              <w:t xml:space="preserve">figurant actuellement </w:t>
            </w:r>
            <w:r w:rsidR="00043B29">
              <w:rPr>
                <w:b/>
                <w:bCs/>
              </w:rPr>
              <w:br/>
            </w:r>
            <w:r w:rsidRPr="00A12687">
              <w:rPr>
                <w:b/>
                <w:bCs/>
              </w:rPr>
              <w:t>dans la 21</w:t>
            </w:r>
            <w:r w:rsidRPr="00A12687">
              <w:rPr>
                <w:b/>
                <w:bCs/>
                <w:vertAlign w:val="superscript"/>
              </w:rPr>
              <w:t>e</w:t>
            </w:r>
            <w:r w:rsidRPr="00A12687">
              <w:rPr>
                <w:b/>
                <w:bCs/>
              </w:rPr>
              <w:t xml:space="preserve"> éd</w:t>
            </w:r>
            <w:r w:rsidR="00043B29">
              <w:rPr>
                <w:b/>
                <w:bCs/>
              </w:rPr>
              <w:t>ition</w:t>
            </w:r>
            <w:r w:rsidRPr="00A12687">
              <w:rPr>
                <w:b/>
                <w:bCs/>
              </w:rPr>
              <w:t xml:space="preserve"> révisée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2111AC" w14:textId="77777777" w:rsidR="00DD784D" w:rsidRPr="00A12687" w:rsidRDefault="00DD784D" w:rsidP="00043B29">
            <w:pPr>
              <w:spacing w:before="60" w:after="60" w:line="240" w:lineRule="auto"/>
              <w:ind w:right="57"/>
              <w:jc w:val="center"/>
              <w:rPr>
                <w:b/>
              </w:rPr>
            </w:pPr>
            <w:r w:rsidRPr="00A12687">
              <w:rPr>
                <w:b/>
                <w:bCs/>
              </w:rPr>
              <w:t>Remplacer par</w:t>
            </w:r>
          </w:p>
        </w:tc>
      </w:tr>
      <w:tr w:rsidR="00DD784D" w:rsidRPr="00A12687" w14:paraId="5138AFD0" w14:textId="77777777" w:rsidTr="00043B29">
        <w:tc>
          <w:tcPr>
            <w:tcW w:w="562" w:type="dxa"/>
            <w:tcBorders>
              <w:top w:val="single" w:sz="4" w:space="0" w:color="auto"/>
              <w:left w:val="single" w:sz="4" w:space="0" w:color="auto"/>
              <w:bottom w:val="single" w:sz="4" w:space="0" w:color="auto"/>
              <w:right w:val="single" w:sz="4" w:space="0" w:color="auto"/>
            </w:tcBorders>
            <w:vAlign w:val="center"/>
            <w:hideMark/>
          </w:tcPr>
          <w:p w14:paraId="6AE5BE22" w14:textId="77777777" w:rsidR="00DD784D" w:rsidRPr="00A12687" w:rsidRDefault="00DD784D" w:rsidP="00043B29">
            <w:pPr>
              <w:spacing w:before="60" w:after="60" w:line="240" w:lineRule="auto"/>
              <w:ind w:right="57"/>
              <w:jc w:val="center"/>
            </w:pPr>
            <w:r w:rsidRPr="00A12687">
              <w:t>1005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BC077B" w14:textId="77777777" w:rsidR="00DD784D" w:rsidRPr="00A12687" w:rsidRDefault="00DD784D" w:rsidP="00043B29">
            <w:pPr>
              <w:spacing w:before="60" w:after="60" w:line="240" w:lineRule="auto"/>
              <w:ind w:right="57"/>
              <w:jc w:val="center"/>
            </w:pPr>
            <w:r w:rsidRPr="00A12687">
              <w:t>AMMONIAC ANHYDRE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A77A72A" w14:textId="77777777" w:rsidR="00DD784D" w:rsidRPr="00A12687" w:rsidRDefault="00DD784D" w:rsidP="00043B29">
            <w:pPr>
              <w:spacing w:before="60" w:after="60" w:line="240" w:lineRule="auto"/>
              <w:ind w:right="57"/>
              <w:jc w:val="center"/>
            </w:pPr>
            <w:r w:rsidRPr="00A12687">
              <w:t>4</w:t>
            </w:r>
            <w:r w:rsidR="006C75B1">
              <w:t xml:space="preserve"> </w:t>
            </w:r>
            <w:r w:rsidRPr="00A12687">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54D9EA" w14:textId="77777777" w:rsidR="00DD784D" w:rsidRPr="00A12687" w:rsidRDefault="00DD784D" w:rsidP="00043B29">
            <w:pPr>
              <w:spacing w:before="60" w:after="60" w:line="240" w:lineRule="auto"/>
              <w:ind w:right="57"/>
              <w:jc w:val="center"/>
            </w:pPr>
            <w:r w:rsidRPr="00A12687">
              <w:t>7</w:t>
            </w:r>
            <w:r w:rsidR="006C75B1">
              <w:t xml:space="preserve"> </w:t>
            </w:r>
            <w:r w:rsidRPr="00A12687">
              <w:t>338</w:t>
            </w:r>
          </w:p>
        </w:tc>
      </w:tr>
      <w:tr w:rsidR="00DD784D" w:rsidRPr="00A12687" w14:paraId="34CAFEEC" w14:textId="77777777" w:rsidTr="00043B29">
        <w:tc>
          <w:tcPr>
            <w:tcW w:w="562" w:type="dxa"/>
            <w:tcBorders>
              <w:top w:val="single" w:sz="4" w:space="0" w:color="auto"/>
              <w:left w:val="single" w:sz="4" w:space="0" w:color="auto"/>
              <w:bottom w:val="single" w:sz="4" w:space="0" w:color="auto"/>
              <w:right w:val="single" w:sz="4" w:space="0" w:color="auto"/>
            </w:tcBorders>
            <w:vAlign w:val="center"/>
            <w:hideMark/>
          </w:tcPr>
          <w:p w14:paraId="06BD952F" w14:textId="77777777" w:rsidR="00DD784D" w:rsidRPr="00A12687" w:rsidRDefault="00DD784D" w:rsidP="00043B29">
            <w:pPr>
              <w:spacing w:before="60" w:after="60" w:line="240" w:lineRule="auto"/>
              <w:ind w:right="57"/>
              <w:jc w:val="center"/>
            </w:pPr>
            <w:r w:rsidRPr="00A12687">
              <w:t>1008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10DEA7" w14:textId="77777777" w:rsidR="00DD784D" w:rsidRPr="00A12687" w:rsidRDefault="00DD784D" w:rsidP="00043B29">
            <w:pPr>
              <w:spacing w:before="60" w:after="60" w:line="240" w:lineRule="auto"/>
              <w:ind w:right="57"/>
              <w:jc w:val="center"/>
            </w:pPr>
            <w:r w:rsidRPr="00A12687">
              <w:t>TRIFLUORURE DE BORE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C3A7772" w14:textId="77777777" w:rsidR="00DD784D" w:rsidRPr="00A12687" w:rsidRDefault="00DD784D" w:rsidP="00043B29">
            <w:pPr>
              <w:spacing w:before="60" w:after="60" w:line="240" w:lineRule="auto"/>
              <w:ind w:right="57"/>
              <w:jc w:val="center"/>
            </w:pPr>
            <w:r w:rsidRPr="00A12687">
              <w:t>387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0534E4" w14:textId="77777777" w:rsidR="00DD784D" w:rsidRPr="00A12687" w:rsidRDefault="00DD784D" w:rsidP="00043B29">
            <w:pPr>
              <w:spacing w:before="60" w:after="60" w:line="240" w:lineRule="auto"/>
              <w:ind w:right="57"/>
              <w:jc w:val="center"/>
            </w:pPr>
            <w:r w:rsidRPr="00A12687">
              <w:t>864</w:t>
            </w:r>
          </w:p>
        </w:tc>
      </w:tr>
      <w:tr w:rsidR="00DD784D" w:rsidRPr="00A12687" w14:paraId="4DF36E66" w14:textId="77777777" w:rsidTr="00043B29">
        <w:tc>
          <w:tcPr>
            <w:tcW w:w="562" w:type="dxa"/>
            <w:tcBorders>
              <w:top w:val="single" w:sz="4" w:space="0" w:color="auto"/>
              <w:left w:val="single" w:sz="4" w:space="0" w:color="auto"/>
              <w:bottom w:val="single" w:sz="4" w:space="0" w:color="auto"/>
              <w:right w:val="single" w:sz="4" w:space="0" w:color="auto"/>
            </w:tcBorders>
            <w:vAlign w:val="center"/>
            <w:hideMark/>
          </w:tcPr>
          <w:p w14:paraId="6AA27362" w14:textId="77777777" w:rsidR="00DD784D" w:rsidRPr="00A12687" w:rsidRDefault="00DD784D" w:rsidP="00043B29">
            <w:pPr>
              <w:spacing w:before="60" w:after="60" w:line="240" w:lineRule="auto"/>
              <w:ind w:right="57"/>
              <w:jc w:val="center"/>
            </w:pPr>
            <w:r w:rsidRPr="00A12687">
              <w:t>2196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3153A9" w14:textId="77777777" w:rsidR="00DD784D" w:rsidRPr="00A12687" w:rsidRDefault="00DD784D" w:rsidP="00043B29">
            <w:pPr>
              <w:spacing w:before="60" w:after="60" w:line="240" w:lineRule="auto"/>
              <w:ind w:right="57"/>
              <w:jc w:val="center"/>
            </w:pPr>
            <w:r w:rsidRPr="00A12687">
              <w:t>HEXAFLUORURE DE TUNGSTÈNE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0636B2A" w14:textId="77777777" w:rsidR="00DD784D" w:rsidRPr="00A12687" w:rsidRDefault="00DD784D" w:rsidP="00043B29">
            <w:pPr>
              <w:spacing w:before="60" w:after="60" w:line="240" w:lineRule="auto"/>
              <w:ind w:right="57"/>
              <w:jc w:val="center"/>
            </w:pPr>
            <w:r w:rsidRPr="00A12687">
              <w:t>160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12EBF9" w14:textId="77777777" w:rsidR="00DD784D" w:rsidRPr="00A12687" w:rsidRDefault="00DD784D" w:rsidP="00043B29">
            <w:pPr>
              <w:spacing w:before="60" w:after="60" w:line="240" w:lineRule="auto"/>
              <w:ind w:right="57"/>
              <w:jc w:val="center"/>
            </w:pPr>
            <w:r w:rsidRPr="00A12687">
              <w:t>218</w:t>
            </w:r>
          </w:p>
        </w:tc>
      </w:tr>
      <w:tr w:rsidR="00DD784D" w:rsidRPr="00A12687" w14:paraId="3056BD88" w14:textId="77777777" w:rsidTr="00043B29">
        <w:tc>
          <w:tcPr>
            <w:tcW w:w="562" w:type="dxa"/>
            <w:tcBorders>
              <w:top w:val="single" w:sz="4" w:space="0" w:color="auto"/>
              <w:left w:val="single" w:sz="4" w:space="0" w:color="auto"/>
              <w:bottom w:val="single" w:sz="4" w:space="0" w:color="auto"/>
              <w:right w:val="single" w:sz="4" w:space="0" w:color="auto"/>
            </w:tcBorders>
            <w:vAlign w:val="center"/>
            <w:hideMark/>
          </w:tcPr>
          <w:p w14:paraId="0EDF1716" w14:textId="77777777" w:rsidR="00DD784D" w:rsidRPr="00A12687" w:rsidRDefault="00DD784D" w:rsidP="00043B29">
            <w:pPr>
              <w:spacing w:before="60" w:after="60" w:line="240" w:lineRule="auto"/>
              <w:ind w:right="57"/>
              <w:jc w:val="center"/>
            </w:pPr>
            <w:r w:rsidRPr="00A12687">
              <w:t>2198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F855F7E" w14:textId="77777777" w:rsidR="00DD784D" w:rsidRPr="00A12687" w:rsidRDefault="00DD784D" w:rsidP="00043B29">
            <w:pPr>
              <w:spacing w:before="60" w:after="60" w:line="240" w:lineRule="auto"/>
              <w:ind w:right="57"/>
              <w:jc w:val="center"/>
            </w:pPr>
            <w:r w:rsidRPr="00A12687">
              <w:t>PENTAFLUORURE DE PHOSPHORE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AAD1699" w14:textId="77777777" w:rsidR="00DD784D" w:rsidRPr="00A12687" w:rsidRDefault="00DD784D" w:rsidP="00043B29">
            <w:pPr>
              <w:spacing w:before="60" w:after="60" w:line="240" w:lineRule="auto"/>
              <w:ind w:right="57"/>
              <w:jc w:val="center"/>
            </w:pPr>
            <w:r w:rsidRPr="00A12687">
              <w:t>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48E3C4" w14:textId="77777777" w:rsidR="00DD784D" w:rsidRPr="00A12687" w:rsidRDefault="00DD784D" w:rsidP="00043B29">
            <w:pPr>
              <w:spacing w:before="60" w:after="60" w:line="240" w:lineRule="auto"/>
              <w:ind w:right="57"/>
              <w:jc w:val="center"/>
            </w:pPr>
            <w:r w:rsidRPr="00A12687">
              <w:t>261</w:t>
            </w:r>
          </w:p>
        </w:tc>
      </w:tr>
      <w:tr w:rsidR="00DD784D" w:rsidRPr="00A12687" w14:paraId="21460E6D" w14:textId="77777777" w:rsidTr="00043B29">
        <w:tc>
          <w:tcPr>
            <w:tcW w:w="562" w:type="dxa"/>
            <w:tcBorders>
              <w:top w:val="single" w:sz="4" w:space="0" w:color="auto"/>
              <w:left w:val="single" w:sz="4" w:space="0" w:color="auto"/>
              <w:bottom w:val="single" w:sz="4" w:space="0" w:color="auto"/>
              <w:right w:val="single" w:sz="4" w:space="0" w:color="auto"/>
            </w:tcBorders>
            <w:vAlign w:val="center"/>
            <w:hideMark/>
          </w:tcPr>
          <w:p w14:paraId="0AB1D065" w14:textId="77777777" w:rsidR="00DD784D" w:rsidRPr="00A12687" w:rsidRDefault="00DD784D" w:rsidP="00043B29">
            <w:pPr>
              <w:spacing w:before="60" w:after="60" w:line="240" w:lineRule="auto"/>
              <w:ind w:right="57"/>
              <w:jc w:val="center"/>
            </w:pPr>
            <w:r w:rsidRPr="00A12687">
              <w:t>1052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9458D4" w14:textId="77777777" w:rsidR="00DD784D" w:rsidRPr="00A12687" w:rsidRDefault="00DD784D" w:rsidP="00043B29">
            <w:pPr>
              <w:spacing w:before="60" w:after="60" w:line="240" w:lineRule="auto"/>
              <w:ind w:right="57"/>
              <w:jc w:val="center"/>
            </w:pPr>
            <w:r w:rsidRPr="00A12687">
              <w:t>FLUORURE D’HYDROGÈNE ANHYDRE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20A84F" w14:textId="77777777" w:rsidR="00DD784D" w:rsidRPr="00A12687" w:rsidRDefault="00DD784D" w:rsidP="00043B29">
            <w:pPr>
              <w:spacing w:before="60" w:after="60" w:line="240" w:lineRule="auto"/>
              <w:ind w:right="57"/>
              <w:jc w:val="center"/>
            </w:pPr>
            <w:r w:rsidRPr="00A12687">
              <w:t>966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E5E319" w14:textId="77777777" w:rsidR="00DD784D" w:rsidRPr="00A12687" w:rsidRDefault="00DD784D" w:rsidP="00043B29">
            <w:pPr>
              <w:spacing w:before="60" w:after="60" w:line="240" w:lineRule="auto"/>
              <w:ind w:right="57"/>
              <w:jc w:val="center"/>
            </w:pPr>
            <w:r w:rsidRPr="00A12687">
              <w:t>1</w:t>
            </w:r>
            <w:r w:rsidR="006C75B1">
              <w:t xml:space="preserve"> </w:t>
            </w:r>
            <w:r w:rsidRPr="00A12687">
              <w:t>307</w:t>
            </w:r>
          </w:p>
        </w:tc>
      </w:tr>
    </w:tbl>
    <w:p w14:paraId="17A424FF" w14:textId="77777777" w:rsidR="00DD784D" w:rsidRPr="00A12687" w:rsidRDefault="00DD784D" w:rsidP="00B212DE">
      <w:pPr>
        <w:pStyle w:val="HChG"/>
      </w:pPr>
      <w:r w:rsidRPr="00A12687">
        <w:tab/>
      </w:r>
      <w:r w:rsidRPr="00A12687">
        <w:tab/>
        <w:t>Justification</w:t>
      </w:r>
    </w:p>
    <w:p w14:paraId="0F2C035C" w14:textId="77777777" w:rsidR="00446FE5" w:rsidRDefault="00DD784D" w:rsidP="00B212DE">
      <w:pPr>
        <w:pStyle w:val="SingleTxtG"/>
      </w:pPr>
      <w:r w:rsidRPr="00A12687">
        <w:t>21.</w:t>
      </w:r>
      <w:r w:rsidRPr="00A12687">
        <w:tab/>
        <w:t>Les valeurs de la CL</w:t>
      </w:r>
      <w:r w:rsidRPr="00A12687">
        <w:rPr>
          <w:vertAlign w:val="subscript"/>
        </w:rPr>
        <w:t>50</w:t>
      </w:r>
      <w:r w:rsidRPr="00A12687">
        <w:t xml:space="preserve"> figurant dans la norme ISO 10298</w:t>
      </w:r>
      <w:r w:rsidR="007B1542">
        <w:t>:</w:t>
      </w:r>
      <w:r w:rsidRPr="00A12687">
        <w:t>2018 ainsi que dans sa version de 2010 sont le résultat de recherches approfondies concernant les données toxicologiques les plus récentes relatives à ces gaz. La version de 1995 a été très utile pour l’élaboration de l’instruction d’emballage P200, et les modifications ont été relativement peu nombreuses eu égard au fait que les connaissances scientifiques continuent de progresser.</w:t>
      </w:r>
    </w:p>
    <w:p w14:paraId="2689A728" w14:textId="77777777" w:rsidR="00B317F7" w:rsidRPr="00B317F7" w:rsidRDefault="00B317F7" w:rsidP="00B317F7">
      <w:pPr>
        <w:pStyle w:val="SingleTxtG"/>
        <w:spacing w:before="240" w:after="0"/>
        <w:jc w:val="center"/>
        <w:rPr>
          <w:u w:val="single"/>
        </w:rPr>
      </w:pPr>
      <w:r>
        <w:rPr>
          <w:u w:val="single"/>
        </w:rPr>
        <w:tab/>
      </w:r>
      <w:r>
        <w:rPr>
          <w:u w:val="single"/>
        </w:rPr>
        <w:tab/>
      </w:r>
      <w:r>
        <w:rPr>
          <w:u w:val="single"/>
        </w:rPr>
        <w:tab/>
      </w:r>
    </w:p>
    <w:sectPr w:rsidR="00B317F7" w:rsidRPr="00B317F7" w:rsidSect="00805B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0A0D3" w14:textId="77777777" w:rsidR="00A2384B" w:rsidRDefault="00A2384B" w:rsidP="00F95C08">
      <w:pPr>
        <w:spacing w:line="240" w:lineRule="auto"/>
      </w:pPr>
    </w:p>
  </w:endnote>
  <w:endnote w:type="continuationSeparator" w:id="0">
    <w:p w14:paraId="7D17F0AC" w14:textId="77777777" w:rsidR="00A2384B" w:rsidRPr="00AC3823" w:rsidRDefault="00A2384B" w:rsidP="00AC3823">
      <w:pPr>
        <w:pStyle w:val="Footer"/>
      </w:pPr>
    </w:p>
  </w:endnote>
  <w:endnote w:type="continuationNotice" w:id="1">
    <w:p w14:paraId="2C2F8009" w14:textId="77777777" w:rsidR="00A2384B" w:rsidRDefault="00A238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F09C" w14:textId="77777777" w:rsidR="00805B65" w:rsidRPr="00805B65" w:rsidRDefault="00805B65" w:rsidP="00805B65">
    <w:pPr>
      <w:pStyle w:val="Footer"/>
      <w:tabs>
        <w:tab w:val="right" w:pos="9638"/>
      </w:tabs>
    </w:pPr>
    <w:r w:rsidRPr="00805B65">
      <w:rPr>
        <w:b/>
        <w:sz w:val="18"/>
      </w:rPr>
      <w:fldChar w:fldCharType="begin"/>
    </w:r>
    <w:r w:rsidRPr="00805B65">
      <w:rPr>
        <w:b/>
        <w:sz w:val="18"/>
      </w:rPr>
      <w:instrText xml:space="preserve"> PAGE  \* MERGEFORMAT </w:instrText>
    </w:r>
    <w:r w:rsidRPr="00805B65">
      <w:rPr>
        <w:b/>
        <w:sz w:val="18"/>
      </w:rPr>
      <w:fldChar w:fldCharType="separate"/>
    </w:r>
    <w:r w:rsidRPr="00805B65">
      <w:rPr>
        <w:b/>
        <w:noProof/>
        <w:sz w:val="18"/>
      </w:rPr>
      <w:t>2</w:t>
    </w:r>
    <w:r w:rsidRPr="00805B65">
      <w:rPr>
        <w:b/>
        <w:sz w:val="18"/>
      </w:rPr>
      <w:fldChar w:fldCharType="end"/>
    </w:r>
    <w:r>
      <w:rPr>
        <w:b/>
        <w:sz w:val="18"/>
      </w:rPr>
      <w:tab/>
    </w:r>
    <w:r>
      <w:t>GE.20-05052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D83C" w14:textId="77777777" w:rsidR="00805B65" w:rsidRPr="00805B65" w:rsidRDefault="00805B65" w:rsidP="00805B65">
    <w:pPr>
      <w:pStyle w:val="Footer"/>
      <w:tabs>
        <w:tab w:val="right" w:pos="9638"/>
      </w:tabs>
      <w:rPr>
        <w:b/>
        <w:sz w:val="18"/>
      </w:rPr>
    </w:pPr>
    <w:r>
      <w:t>GE.20-05052</w:t>
    </w:r>
    <w:r>
      <w:tab/>
    </w:r>
    <w:r w:rsidRPr="00805B65">
      <w:rPr>
        <w:b/>
        <w:sz w:val="18"/>
      </w:rPr>
      <w:fldChar w:fldCharType="begin"/>
    </w:r>
    <w:r w:rsidRPr="00805B65">
      <w:rPr>
        <w:b/>
        <w:sz w:val="18"/>
      </w:rPr>
      <w:instrText xml:space="preserve"> PAGE  \* MERGEFORMAT </w:instrText>
    </w:r>
    <w:r w:rsidRPr="00805B65">
      <w:rPr>
        <w:b/>
        <w:sz w:val="18"/>
      </w:rPr>
      <w:fldChar w:fldCharType="separate"/>
    </w:r>
    <w:r w:rsidRPr="00805B65">
      <w:rPr>
        <w:b/>
        <w:noProof/>
        <w:sz w:val="18"/>
      </w:rPr>
      <w:t>3</w:t>
    </w:r>
    <w:r w:rsidRPr="00805B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73A5" w14:textId="77777777" w:rsidR="0068456F" w:rsidRPr="00805B65" w:rsidRDefault="00805B65" w:rsidP="00805B65">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62E3BE4" wp14:editId="26BC7CA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20-05052  (F)    010520    010520</w:t>
    </w:r>
    <w:r>
      <w:rPr>
        <w:sz w:val="20"/>
      </w:rPr>
      <w:br/>
    </w:r>
    <w:r w:rsidRPr="00805B65">
      <w:rPr>
        <w:rFonts w:ascii="C39T30Lfz" w:hAnsi="C39T30Lfz"/>
        <w:sz w:val="56"/>
      </w:rPr>
      <w:t></w:t>
    </w:r>
    <w:r w:rsidRPr="00805B65">
      <w:rPr>
        <w:rFonts w:ascii="C39T30Lfz" w:hAnsi="C39T30Lfz"/>
        <w:sz w:val="56"/>
      </w:rPr>
      <w:t></w:t>
    </w:r>
    <w:r w:rsidRPr="00805B65">
      <w:rPr>
        <w:rFonts w:ascii="C39T30Lfz" w:hAnsi="C39T30Lfz"/>
        <w:sz w:val="56"/>
      </w:rPr>
      <w:t></w:t>
    </w:r>
    <w:r w:rsidRPr="00805B65">
      <w:rPr>
        <w:rFonts w:ascii="C39T30Lfz" w:hAnsi="C39T30Lfz"/>
        <w:sz w:val="56"/>
      </w:rPr>
      <w:t></w:t>
    </w:r>
    <w:r w:rsidRPr="00805B65">
      <w:rPr>
        <w:rFonts w:ascii="C39T30Lfz" w:hAnsi="C39T30Lfz"/>
        <w:sz w:val="56"/>
      </w:rPr>
      <w:t></w:t>
    </w:r>
    <w:r w:rsidRPr="00805B65">
      <w:rPr>
        <w:rFonts w:ascii="C39T30Lfz" w:hAnsi="C39T30Lfz"/>
        <w:sz w:val="56"/>
      </w:rPr>
      <w:t></w:t>
    </w:r>
    <w:r w:rsidRPr="00805B65">
      <w:rPr>
        <w:rFonts w:ascii="C39T30Lfz" w:hAnsi="C39T30Lfz"/>
        <w:sz w:val="56"/>
      </w:rPr>
      <w:t></w:t>
    </w:r>
    <w:r w:rsidRPr="00805B65">
      <w:rPr>
        <w:rFonts w:ascii="C39T30Lfz" w:hAnsi="C39T30Lfz"/>
        <w:sz w:val="56"/>
      </w:rPr>
      <w:t></w:t>
    </w:r>
    <w:r w:rsidRPr="00805B65">
      <w:rPr>
        <w:rFonts w:ascii="C39T30Lfz" w:hAnsi="C39T30Lfz"/>
        <w:sz w:val="56"/>
      </w:rPr>
      <w:t></w:t>
    </w:r>
    <w:r>
      <w:rPr>
        <w:noProof/>
        <w:sz w:val="20"/>
      </w:rPr>
      <w:drawing>
        <wp:anchor distT="0" distB="0" distL="114300" distR="114300" simplePos="0" relativeHeight="251658240" behindDoc="0" locked="0" layoutInCell="1" allowOverlap="1" wp14:anchorId="28072947" wp14:editId="35C7400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FCD4E" w14:textId="77777777" w:rsidR="00A2384B" w:rsidRPr="00AC3823" w:rsidRDefault="00A2384B" w:rsidP="00AC3823">
      <w:pPr>
        <w:pStyle w:val="Footer"/>
        <w:tabs>
          <w:tab w:val="right" w:pos="2155"/>
        </w:tabs>
        <w:spacing w:after="80" w:line="240" w:lineRule="atLeast"/>
        <w:ind w:left="680"/>
        <w:rPr>
          <w:u w:val="single"/>
        </w:rPr>
      </w:pPr>
      <w:r>
        <w:rPr>
          <w:u w:val="single"/>
        </w:rPr>
        <w:tab/>
      </w:r>
    </w:p>
  </w:footnote>
  <w:footnote w:type="continuationSeparator" w:id="0">
    <w:p w14:paraId="65C04166" w14:textId="77777777" w:rsidR="00A2384B" w:rsidRPr="00AC3823" w:rsidRDefault="00A2384B" w:rsidP="00AC3823">
      <w:pPr>
        <w:pStyle w:val="Footer"/>
        <w:tabs>
          <w:tab w:val="right" w:pos="2155"/>
        </w:tabs>
        <w:spacing w:after="80" w:line="240" w:lineRule="atLeast"/>
        <w:ind w:left="680"/>
        <w:rPr>
          <w:u w:val="single"/>
        </w:rPr>
      </w:pPr>
      <w:r>
        <w:rPr>
          <w:u w:val="single"/>
        </w:rPr>
        <w:tab/>
      </w:r>
    </w:p>
  </w:footnote>
  <w:footnote w:type="continuationNotice" w:id="1">
    <w:p w14:paraId="79938A1D" w14:textId="77777777" w:rsidR="00A2384B" w:rsidRPr="00AC3823" w:rsidRDefault="00A2384B">
      <w:pPr>
        <w:spacing w:line="240" w:lineRule="auto"/>
        <w:rPr>
          <w:sz w:val="2"/>
          <w:szCs w:val="2"/>
        </w:rPr>
      </w:pPr>
    </w:p>
  </w:footnote>
  <w:footnote w:id="2">
    <w:p w14:paraId="37EFAE46" w14:textId="77777777" w:rsidR="00E67FDB" w:rsidRPr="00E67FDB" w:rsidRDefault="00E67FDB">
      <w:pPr>
        <w:pStyle w:val="FootnoteText"/>
      </w:pPr>
      <w:r>
        <w:rPr>
          <w:rStyle w:val="FootnoteReference"/>
        </w:rPr>
        <w:tab/>
      </w:r>
      <w:r w:rsidRPr="00E67FDB">
        <w:rPr>
          <w:rStyle w:val="FootnoteReference"/>
          <w:sz w:val="20"/>
          <w:vertAlign w:val="baseline"/>
        </w:rPr>
        <w:t>*</w:t>
      </w:r>
      <w:r>
        <w:rPr>
          <w:rStyle w:val="FootnoteReference"/>
          <w:sz w:val="20"/>
          <w:vertAlign w:val="baseline"/>
        </w:rPr>
        <w:tab/>
      </w:r>
      <w:r w:rsidRPr="00021BCF">
        <w:rPr>
          <w:lang w:val="fr-FR"/>
        </w:rPr>
        <w:t>Sous-programme 2 du budget-programme pour 2020 (A/74/6 (</w:t>
      </w:r>
      <w:r>
        <w:rPr>
          <w:lang w:val="fr-FR"/>
        </w:rPr>
        <w:t>s</w:t>
      </w:r>
      <w:r w:rsidRPr="00021BCF">
        <w:rPr>
          <w:lang w:val="fr-FR"/>
        </w:rPr>
        <w:t>ect.</w:t>
      </w:r>
      <w:r w:rsidR="00225EF8">
        <w:rPr>
          <w:lang w:val="fr-FR"/>
        </w:rPr>
        <w:t> </w:t>
      </w:r>
      <w:r w:rsidRPr="00021BCF">
        <w:rPr>
          <w:lang w:val="fr-FR"/>
        </w:rPr>
        <w:t>20)) et informations complémentaires</w:t>
      </w:r>
      <w:r w:rsidRPr="00021BCF">
        <w:rPr>
          <w:b/>
          <w:bCs/>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C349" w14:textId="2695DCD6" w:rsidR="00805B65" w:rsidRPr="00805B65" w:rsidRDefault="00F024DF">
    <w:pPr>
      <w:pStyle w:val="Header"/>
    </w:pPr>
    <w:r>
      <w:fldChar w:fldCharType="begin"/>
    </w:r>
    <w:r>
      <w:instrText xml:space="preserve"> TITLE  \* MERGEFORMAT </w:instrText>
    </w:r>
    <w:r>
      <w:fldChar w:fldCharType="separate"/>
    </w:r>
    <w:r>
      <w:t>ST/SG/AC.10/C.3/2020/8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64D3" w14:textId="36E27285" w:rsidR="00805B65" w:rsidRPr="00805B65" w:rsidRDefault="00F024DF" w:rsidP="00805B65">
    <w:pPr>
      <w:pStyle w:val="Header"/>
      <w:jc w:val="right"/>
    </w:pPr>
    <w:r>
      <w:fldChar w:fldCharType="begin"/>
    </w:r>
    <w:r>
      <w:instrText xml:space="preserve"> TITLE  \* MERGEFORMAT </w:instrText>
    </w:r>
    <w:r>
      <w:fldChar w:fldCharType="separate"/>
    </w:r>
    <w:r>
      <w:t>ST/SG/AC.10/C.3/2020/8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4B"/>
    <w:rsid w:val="00015717"/>
    <w:rsid w:val="00017F94"/>
    <w:rsid w:val="00023842"/>
    <w:rsid w:val="000305D3"/>
    <w:rsid w:val="000334F9"/>
    <w:rsid w:val="00043B29"/>
    <w:rsid w:val="0007796D"/>
    <w:rsid w:val="000B0145"/>
    <w:rsid w:val="000B7790"/>
    <w:rsid w:val="00111F2F"/>
    <w:rsid w:val="00132EA9"/>
    <w:rsid w:val="0014365E"/>
    <w:rsid w:val="00176178"/>
    <w:rsid w:val="001F525A"/>
    <w:rsid w:val="00223272"/>
    <w:rsid w:val="00225EF8"/>
    <w:rsid w:val="0024779E"/>
    <w:rsid w:val="002814A0"/>
    <w:rsid w:val="00283190"/>
    <w:rsid w:val="002832AC"/>
    <w:rsid w:val="002C6A58"/>
    <w:rsid w:val="002D7C93"/>
    <w:rsid w:val="00322B28"/>
    <w:rsid w:val="003810BF"/>
    <w:rsid w:val="00402692"/>
    <w:rsid w:val="004402B5"/>
    <w:rsid w:val="00441C3B"/>
    <w:rsid w:val="00446FE5"/>
    <w:rsid w:val="00452396"/>
    <w:rsid w:val="00485B6A"/>
    <w:rsid w:val="004D42C3"/>
    <w:rsid w:val="004E468C"/>
    <w:rsid w:val="005505B7"/>
    <w:rsid w:val="00573BE5"/>
    <w:rsid w:val="00584DC4"/>
    <w:rsid w:val="00586ED3"/>
    <w:rsid w:val="00596AA9"/>
    <w:rsid w:val="005A2800"/>
    <w:rsid w:val="0068456F"/>
    <w:rsid w:val="006C75B1"/>
    <w:rsid w:val="007057FD"/>
    <w:rsid w:val="0071601D"/>
    <w:rsid w:val="00764337"/>
    <w:rsid w:val="007A62E6"/>
    <w:rsid w:val="007B1542"/>
    <w:rsid w:val="007C6D07"/>
    <w:rsid w:val="00805B65"/>
    <w:rsid w:val="0080684C"/>
    <w:rsid w:val="00871C75"/>
    <w:rsid w:val="008776DC"/>
    <w:rsid w:val="008B40CD"/>
    <w:rsid w:val="008F2793"/>
    <w:rsid w:val="009705C8"/>
    <w:rsid w:val="00981044"/>
    <w:rsid w:val="009C1CF4"/>
    <w:rsid w:val="00A2384B"/>
    <w:rsid w:val="00A30353"/>
    <w:rsid w:val="00A36E52"/>
    <w:rsid w:val="00AC3823"/>
    <w:rsid w:val="00AE323C"/>
    <w:rsid w:val="00B00181"/>
    <w:rsid w:val="00B00B0D"/>
    <w:rsid w:val="00B212DE"/>
    <w:rsid w:val="00B317F7"/>
    <w:rsid w:val="00B35F88"/>
    <w:rsid w:val="00B765F7"/>
    <w:rsid w:val="00B937B1"/>
    <w:rsid w:val="00BA0CA9"/>
    <w:rsid w:val="00BC43ED"/>
    <w:rsid w:val="00C02897"/>
    <w:rsid w:val="00C3160C"/>
    <w:rsid w:val="00CA7234"/>
    <w:rsid w:val="00CB2009"/>
    <w:rsid w:val="00D3439C"/>
    <w:rsid w:val="00D4333F"/>
    <w:rsid w:val="00DB1831"/>
    <w:rsid w:val="00DD3BFD"/>
    <w:rsid w:val="00DD784D"/>
    <w:rsid w:val="00DF6678"/>
    <w:rsid w:val="00E2046F"/>
    <w:rsid w:val="00E67FDB"/>
    <w:rsid w:val="00EF2E22"/>
    <w:rsid w:val="00F01738"/>
    <w:rsid w:val="00F024DF"/>
    <w:rsid w:val="00F660DF"/>
    <w:rsid w:val="00F730C8"/>
    <w:rsid w:val="00F94B9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6567C"/>
  <w15:docId w15:val="{B7544D30-EEAC-4B6E-BCEF-99453FFD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DD784D"/>
    <w:rPr>
      <w:rFonts w:ascii="Times New Roman" w:eastAsiaTheme="minorHAnsi" w:hAnsi="Times New Roman" w:cs="Times New Roman"/>
      <w:b/>
      <w:sz w:val="28"/>
      <w:szCs w:val="20"/>
      <w:lang w:eastAsia="en-US"/>
    </w:rPr>
  </w:style>
  <w:style w:type="character" w:customStyle="1" w:styleId="H1GChar">
    <w:name w:val="_ H_1_G Char"/>
    <w:link w:val="H1G"/>
    <w:locked/>
    <w:rsid w:val="00DD784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7305</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ST/SG/AC.10/C.3/2020/8</vt:lpstr>
      <vt:lpstr>ST/SG/AC.10/C.3/2020/8</vt:lpstr>
    </vt:vector>
  </TitlesOfParts>
  <Company>DCM</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ST/SG/AC.10/C.3/2020/8</dc:title>
  <dc:subject/>
  <dc:creator>Nathalie VITTOZ</dc:creator>
  <cp:keywords/>
  <cp:lastModifiedBy>Laurence Berthet</cp:lastModifiedBy>
  <cp:revision>3</cp:revision>
  <cp:lastPrinted>2020-05-01T12:59:00Z</cp:lastPrinted>
  <dcterms:created xsi:type="dcterms:W3CDTF">2020-05-01T12:59:00Z</dcterms:created>
  <dcterms:modified xsi:type="dcterms:W3CDTF">2020-05-01T13:00:00Z</dcterms:modified>
</cp:coreProperties>
</file>