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EBB1FA9" w14:textId="77777777" w:rsidTr="00F01738">
        <w:trPr>
          <w:trHeight w:hRule="exact" w:val="851"/>
        </w:trPr>
        <w:tc>
          <w:tcPr>
            <w:tcW w:w="1276" w:type="dxa"/>
            <w:tcBorders>
              <w:bottom w:val="single" w:sz="4" w:space="0" w:color="auto"/>
            </w:tcBorders>
          </w:tcPr>
          <w:p w14:paraId="761FF345" w14:textId="77777777" w:rsidR="00132EA9" w:rsidRPr="00DB58B5" w:rsidRDefault="00132EA9" w:rsidP="00002F14">
            <w:bookmarkStart w:id="0" w:name="_GoBack"/>
            <w:bookmarkEnd w:id="0"/>
          </w:p>
        </w:tc>
        <w:tc>
          <w:tcPr>
            <w:tcW w:w="2268" w:type="dxa"/>
            <w:tcBorders>
              <w:bottom w:val="single" w:sz="4" w:space="0" w:color="auto"/>
            </w:tcBorders>
            <w:vAlign w:val="bottom"/>
          </w:tcPr>
          <w:p w14:paraId="42C489E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EAB1FE" w14:textId="77777777" w:rsidR="00132EA9" w:rsidRPr="00DB58B5" w:rsidRDefault="00002F14" w:rsidP="00002F14">
            <w:pPr>
              <w:jc w:val="right"/>
            </w:pPr>
            <w:r w:rsidRPr="00002F14">
              <w:rPr>
                <w:sz w:val="40"/>
              </w:rPr>
              <w:t>ST</w:t>
            </w:r>
            <w:r>
              <w:t>/SG/AC.10/C.3/2020/7</w:t>
            </w:r>
          </w:p>
        </w:tc>
      </w:tr>
      <w:tr w:rsidR="00132EA9" w:rsidRPr="00DB58B5" w14:paraId="62A338DA" w14:textId="77777777" w:rsidTr="00F01738">
        <w:trPr>
          <w:trHeight w:hRule="exact" w:val="2835"/>
        </w:trPr>
        <w:tc>
          <w:tcPr>
            <w:tcW w:w="1276" w:type="dxa"/>
            <w:tcBorders>
              <w:top w:val="single" w:sz="4" w:space="0" w:color="auto"/>
              <w:bottom w:val="single" w:sz="12" w:space="0" w:color="auto"/>
            </w:tcBorders>
          </w:tcPr>
          <w:p w14:paraId="5BBA6DAF" w14:textId="77777777" w:rsidR="00132EA9" w:rsidRPr="00DB58B5" w:rsidRDefault="00132EA9" w:rsidP="00F01738">
            <w:pPr>
              <w:spacing w:before="120"/>
              <w:jc w:val="center"/>
            </w:pPr>
            <w:r>
              <w:rPr>
                <w:noProof/>
                <w:lang w:eastAsia="fr-CH"/>
              </w:rPr>
              <w:drawing>
                <wp:inline distT="0" distB="0" distL="0" distR="0" wp14:anchorId="5A81DC8E" wp14:editId="42F718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0EC3D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37CE7B3" w14:textId="77777777" w:rsidR="00132EA9" w:rsidRDefault="00002F14" w:rsidP="00F01738">
            <w:pPr>
              <w:spacing w:before="240"/>
            </w:pPr>
            <w:r>
              <w:t>Distr. générale</w:t>
            </w:r>
          </w:p>
          <w:p w14:paraId="29D1A5E1" w14:textId="77777777" w:rsidR="00002F14" w:rsidRDefault="00002F14" w:rsidP="00002F14">
            <w:pPr>
              <w:spacing w:line="240" w:lineRule="exact"/>
            </w:pPr>
            <w:r>
              <w:t>2 avril 2020</w:t>
            </w:r>
          </w:p>
          <w:p w14:paraId="6AD57922" w14:textId="77777777" w:rsidR="00002F14" w:rsidRDefault="00002F14" w:rsidP="00002F14">
            <w:pPr>
              <w:spacing w:line="240" w:lineRule="exact"/>
            </w:pPr>
            <w:r>
              <w:t>Français</w:t>
            </w:r>
          </w:p>
          <w:p w14:paraId="1A9509BC" w14:textId="77777777" w:rsidR="00002F14" w:rsidRPr="00DB58B5" w:rsidRDefault="00002F14" w:rsidP="00002F14">
            <w:pPr>
              <w:spacing w:line="240" w:lineRule="exact"/>
            </w:pPr>
            <w:r>
              <w:t>Original : anglais</w:t>
            </w:r>
          </w:p>
        </w:tc>
      </w:tr>
    </w:tbl>
    <w:p w14:paraId="2AC8EEF2" w14:textId="77777777" w:rsidR="00002F14" w:rsidRPr="00CA0680" w:rsidRDefault="00002F1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9837508" w14:textId="77777777" w:rsidR="00002F14" w:rsidRPr="00CA0680" w:rsidRDefault="00002F14" w:rsidP="000305D3">
      <w:pPr>
        <w:spacing w:before="120"/>
        <w:rPr>
          <w:b/>
        </w:rPr>
      </w:pPr>
      <w:r w:rsidRPr="00CA0680">
        <w:rPr>
          <w:b/>
        </w:rPr>
        <w:t>Sous</w:t>
      </w:r>
      <w:r>
        <w:rPr>
          <w:b/>
        </w:rPr>
        <w:t>-</w:t>
      </w:r>
      <w:r w:rsidRPr="00CA0680">
        <w:rPr>
          <w:b/>
        </w:rPr>
        <w:t>Comité d’experts du transport des marchandises dangereuses</w:t>
      </w:r>
    </w:p>
    <w:p w14:paraId="432D99CF" w14:textId="77777777" w:rsidR="00002F14" w:rsidRPr="003A0DD8" w:rsidRDefault="00002F14" w:rsidP="00002F14">
      <w:pPr>
        <w:spacing w:before="120"/>
        <w:rPr>
          <w:b/>
          <w:lang w:val="fr-FR"/>
        </w:rPr>
      </w:pPr>
      <w:r>
        <w:rPr>
          <w:b/>
          <w:bCs/>
          <w:lang w:val="fr-FR"/>
        </w:rPr>
        <w:t>Cinquante-septième session</w:t>
      </w:r>
    </w:p>
    <w:p w14:paraId="4772753D" w14:textId="77777777" w:rsidR="00002F14" w:rsidRPr="003A0DD8" w:rsidRDefault="00002F14" w:rsidP="00002F14">
      <w:pPr>
        <w:tabs>
          <w:tab w:val="left" w:pos="6361"/>
          <w:tab w:val="left" w:pos="6939"/>
        </w:tabs>
        <w:spacing w:before="40"/>
        <w:outlineLvl w:val="0"/>
        <w:rPr>
          <w:bCs/>
          <w:lang w:val="fr-FR"/>
        </w:rPr>
      </w:pPr>
      <w:r>
        <w:rPr>
          <w:lang w:val="fr-FR"/>
        </w:rPr>
        <w:t>Genève, 29 juin-8 juillet 2020</w:t>
      </w:r>
    </w:p>
    <w:p w14:paraId="0D08733D" w14:textId="77777777" w:rsidR="00002F14" w:rsidRPr="003A0DD8" w:rsidRDefault="00002F14" w:rsidP="00002F14">
      <w:pPr>
        <w:rPr>
          <w:lang w:val="fr-FR"/>
        </w:rPr>
      </w:pPr>
      <w:r>
        <w:rPr>
          <w:lang w:val="fr-FR"/>
        </w:rPr>
        <w:t>Point 3 de l’ordre du jour provisoire</w:t>
      </w:r>
    </w:p>
    <w:p w14:paraId="1839A8FB" w14:textId="77777777" w:rsidR="00002F14" w:rsidRDefault="00002F14" w:rsidP="00002F14">
      <w:r>
        <w:rPr>
          <w:b/>
          <w:bCs/>
          <w:lang w:val="fr-FR"/>
        </w:rPr>
        <w:t>Inscription, classement et emballage</w:t>
      </w:r>
    </w:p>
    <w:p w14:paraId="77145309" w14:textId="77777777" w:rsidR="00002F14" w:rsidRPr="003A0DD8" w:rsidRDefault="00B44EC9" w:rsidP="00B44EC9">
      <w:pPr>
        <w:pStyle w:val="HChG"/>
        <w:rPr>
          <w:rFonts w:eastAsia="Malgun Gothic"/>
          <w:lang w:val="fr-FR"/>
        </w:rPr>
      </w:pPr>
      <w:r>
        <w:rPr>
          <w:lang w:val="fr-FR"/>
        </w:rPr>
        <w:tab/>
      </w:r>
      <w:r>
        <w:rPr>
          <w:lang w:val="fr-FR"/>
        </w:rPr>
        <w:tab/>
      </w:r>
      <w:r w:rsidR="00002F14">
        <w:rPr>
          <w:lang w:val="fr-FR"/>
        </w:rPr>
        <w:t xml:space="preserve">Toxicité des </w:t>
      </w:r>
      <w:r w:rsidRPr="005668B4">
        <w:rPr>
          <w:lang w:val="fr-FR"/>
        </w:rPr>
        <w:t>Nos</w:t>
      </w:r>
      <w:r>
        <w:rPr>
          <w:lang w:val="fr-FR"/>
        </w:rPr>
        <w:t xml:space="preserve"> </w:t>
      </w:r>
      <w:r w:rsidR="00002F14">
        <w:rPr>
          <w:lang w:val="fr-FR"/>
        </w:rPr>
        <w:t>ONU 2248, 2264 et 2357</w:t>
      </w:r>
    </w:p>
    <w:p w14:paraId="61C286C4" w14:textId="77777777" w:rsidR="00002F14" w:rsidRPr="003A0DD8" w:rsidRDefault="00002F14" w:rsidP="00B44EC9">
      <w:pPr>
        <w:pStyle w:val="H1G"/>
        <w:rPr>
          <w:lang w:val="fr-FR"/>
        </w:rPr>
      </w:pPr>
      <w:r>
        <w:rPr>
          <w:lang w:val="fr-FR"/>
        </w:rPr>
        <w:tab/>
      </w:r>
      <w:r>
        <w:rPr>
          <w:lang w:val="fr-FR"/>
        </w:rPr>
        <w:tab/>
        <w:t>Communication de l’expert de la République de Corée</w:t>
      </w:r>
      <w:r w:rsidRPr="001E160B">
        <w:rPr>
          <w:b w:val="0"/>
          <w:sz w:val="20"/>
        </w:rPr>
        <w:footnoteReference w:customMarkFollows="1" w:id="2"/>
        <w:t>*</w:t>
      </w:r>
    </w:p>
    <w:p w14:paraId="7EB8E8D6" w14:textId="77777777" w:rsidR="00002F14" w:rsidRPr="003A0DD8" w:rsidRDefault="00002F14" w:rsidP="00B44EC9">
      <w:pPr>
        <w:pStyle w:val="HChG"/>
        <w:rPr>
          <w:lang w:val="fr-FR"/>
        </w:rPr>
      </w:pPr>
      <w:r>
        <w:rPr>
          <w:lang w:val="fr-FR"/>
        </w:rPr>
        <w:tab/>
      </w:r>
      <w:r>
        <w:rPr>
          <w:lang w:val="fr-FR"/>
        </w:rPr>
        <w:tab/>
        <w:t>Introduction</w:t>
      </w:r>
    </w:p>
    <w:p w14:paraId="16C95F91" w14:textId="77777777" w:rsidR="00002F14" w:rsidRPr="003A0DD8" w:rsidRDefault="00002F14" w:rsidP="00B44EC9">
      <w:pPr>
        <w:pStyle w:val="SingleTxtG"/>
        <w:rPr>
          <w:rFonts w:eastAsia="Batang"/>
          <w:lang w:val="fr-FR"/>
        </w:rPr>
      </w:pPr>
      <w:r>
        <w:rPr>
          <w:lang w:val="fr-FR"/>
        </w:rPr>
        <w:t>1.</w:t>
      </w:r>
      <w:r>
        <w:rPr>
          <w:lang w:val="fr-FR"/>
        </w:rPr>
        <w:tab/>
        <w:t xml:space="preserve">À la quarante-septième session du Sous-Comité d’experts du transport des marchandises dangereuses, la République de Corée a </w:t>
      </w:r>
      <w:r w:rsidRPr="00125945">
        <w:rPr>
          <w:lang w:val="fr-FR"/>
        </w:rPr>
        <w:t>fai</w:t>
      </w:r>
      <w:r>
        <w:rPr>
          <w:lang w:val="fr-FR"/>
        </w:rPr>
        <w:t>t</w:t>
      </w:r>
      <w:r w:rsidRPr="00125945">
        <w:rPr>
          <w:lang w:val="fr-FR"/>
        </w:rPr>
        <w:t xml:space="preserve"> observer</w:t>
      </w:r>
      <w:r>
        <w:rPr>
          <w:lang w:val="fr-FR"/>
        </w:rPr>
        <w:t xml:space="preserve"> que les informations sur les dangers figurant dans les profils de risque révisés établis par le Groupe mixte d’experts chargé d’étudier les aspects scientifiques de la protection de l’environnement marin (GESAMP) (PPR.1/Circ.1, annexe 5) pourraient être utiles pour mettre en évidence la toxicité et la corrosivité des marchandises dangereuses (ST/SG/AC.10/C.3/2015/11).</w:t>
      </w:r>
    </w:p>
    <w:p w14:paraId="46640109" w14:textId="77777777" w:rsidR="00002F14" w:rsidRPr="003A0DD8" w:rsidRDefault="00002F14" w:rsidP="00002F14">
      <w:pPr>
        <w:pStyle w:val="SingleTxtG"/>
        <w:rPr>
          <w:rFonts w:eastAsia="Malgun Gothic"/>
          <w:lang w:val="fr-FR"/>
        </w:rPr>
      </w:pPr>
      <w:r>
        <w:rPr>
          <w:lang w:val="fr-FR"/>
        </w:rPr>
        <w:t>2.</w:t>
      </w:r>
      <w:r>
        <w:rPr>
          <w:lang w:val="fr-FR"/>
        </w:rPr>
        <w:tab/>
        <w:t>Certains experts ont fait observer qu’il faudrait fournir des données d’essai détaillées, car la reclassification de ces matières pourrait avoir des répercussions importantes sur le transport des marchandises dangereuses. En conséquence, le Sous-Comité a demandé que soient soumis les renseignements requis dans le formulaire de la figure 1 des Recommandations relatives au transport des marchandises dangereuses (voir ST/SG/AC.10/C.3/94, par. 35 à</w:t>
      </w:r>
      <w:r w:rsidR="00B44EC9">
        <w:rPr>
          <w:lang w:val="fr-FR"/>
        </w:rPr>
        <w:t> </w:t>
      </w:r>
      <w:r>
        <w:rPr>
          <w:lang w:val="fr-FR"/>
        </w:rPr>
        <w:t>37).</w:t>
      </w:r>
    </w:p>
    <w:p w14:paraId="05889B6D" w14:textId="77777777" w:rsidR="00002F14" w:rsidRPr="003A0DD8" w:rsidRDefault="00002F14" w:rsidP="00002F14">
      <w:pPr>
        <w:pStyle w:val="SingleTxtG"/>
        <w:rPr>
          <w:rFonts w:eastAsia="Malgun Gothic"/>
          <w:lang w:val="fr-FR"/>
        </w:rPr>
      </w:pPr>
      <w:r>
        <w:rPr>
          <w:lang w:val="fr-FR"/>
        </w:rPr>
        <w:t>3.</w:t>
      </w:r>
      <w:r>
        <w:rPr>
          <w:lang w:val="fr-FR"/>
        </w:rPr>
        <w:tab/>
        <w:t>À cette fin, la République de Corée a recueilli des données d’essai sur trois matières dont il a été jugé nécessaire de prendre en compte la toxicité, au vu d’une comparaison entre leur profil de risque établi par le GESAMP et leur classification dans la liste des marchandises dangereuses du Règlement type pour le transport des marchandises dangereuses. Sur la base des données d’essai, des amendements ont été proposés à la classification en fonction de la toxicité pour ces trois matières (Nos ONU 2248, 2264 et 2357) lors des quarante-neuvième et cinquantième sessions du Sous-Comité (voir le document informel INF.33 et le document ST/SG/AC.10/C.3/2016/64). Il est fait état de l’issue des débats dans le rapport du Sous-Comité sur sa cinquantième session (ST/SG/AC.10/C.3/100, par. 22) :</w:t>
      </w:r>
    </w:p>
    <w:p w14:paraId="64BF6050" w14:textId="77777777" w:rsidR="00002F14" w:rsidRPr="005668B4" w:rsidRDefault="00002F14" w:rsidP="00002F14">
      <w:pPr>
        <w:pStyle w:val="SingleTxtG"/>
        <w:ind w:left="1701"/>
      </w:pPr>
      <w:r w:rsidRPr="005668B4">
        <w:t>« </w:t>
      </w:r>
      <w:r>
        <w:rPr>
          <w:i/>
          <w:iCs/>
          <w:lang w:val="fr-FR"/>
        </w:rPr>
        <w:t>22.</w:t>
      </w:r>
      <w:r>
        <w:rPr>
          <w:lang w:val="fr-FR"/>
        </w:rPr>
        <w:t xml:space="preserve"> </w:t>
      </w:r>
      <w:r>
        <w:rPr>
          <w:lang w:val="fr-FR"/>
        </w:rPr>
        <w:tab/>
      </w:r>
      <w:r>
        <w:rPr>
          <w:i/>
          <w:iCs/>
          <w:lang w:val="fr-FR"/>
        </w:rPr>
        <w:t xml:space="preserve">Le Sous-Comité a noté que les données fournies par la République de Corée nécessitaient plus ample examen. Il a aussi noté que les matières relevant du groupe </w:t>
      </w:r>
      <w:r>
        <w:rPr>
          <w:i/>
          <w:iCs/>
          <w:lang w:val="fr-FR"/>
        </w:rPr>
        <w:lastRenderedPageBreak/>
        <w:t>d’emballage II de la classe 8 et, du fait de leur toxicité à l’inhalation, du groupe d’emballage II de la division 6.1 devaient être classées dans la division 6.1 plutôt que dans la classe 8.</w:t>
      </w:r>
      <w:r>
        <w:rPr>
          <w:lang w:val="fr-FR"/>
        </w:rPr>
        <w:t xml:space="preserve"> </w:t>
      </w:r>
      <w:r>
        <w:rPr>
          <w:i/>
          <w:iCs/>
          <w:lang w:val="fr-FR"/>
        </w:rPr>
        <w:t>Certains experts estimaient par ailleurs qu’il conviendrait de vérifier soigneusement si les modifications de classement proposées n’entraînaient pas de modifications des conditions de transport.</w:t>
      </w:r>
      <w:r>
        <w:rPr>
          <w:lang w:val="fr-FR"/>
        </w:rPr>
        <w:t> </w:t>
      </w:r>
      <w:r w:rsidRPr="005668B4">
        <w:t>»</w:t>
      </w:r>
    </w:p>
    <w:p w14:paraId="1CDED45A" w14:textId="77777777" w:rsidR="00002F14" w:rsidRPr="003A0DD8" w:rsidRDefault="00002F14" w:rsidP="00002F14">
      <w:pPr>
        <w:pStyle w:val="HChG"/>
        <w:rPr>
          <w:lang w:val="fr-FR"/>
        </w:rPr>
      </w:pPr>
      <w:r>
        <w:rPr>
          <w:lang w:val="fr-FR"/>
        </w:rPr>
        <w:tab/>
      </w:r>
      <w:r>
        <w:rPr>
          <w:lang w:val="fr-FR"/>
        </w:rPr>
        <w:tab/>
      </w:r>
      <w:r>
        <w:rPr>
          <w:bCs/>
          <w:lang w:val="fr-FR"/>
        </w:rPr>
        <w:t>Contexte</w:t>
      </w:r>
    </w:p>
    <w:p w14:paraId="2B853AC4" w14:textId="77777777" w:rsidR="00002F14" w:rsidRPr="003A0DD8" w:rsidRDefault="00002F14" w:rsidP="00002F14">
      <w:pPr>
        <w:pStyle w:val="SingleTxtG"/>
        <w:rPr>
          <w:rFonts w:eastAsia="Batang"/>
          <w:lang w:val="fr-FR"/>
        </w:rPr>
      </w:pPr>
      <w:r>
        <w:rPr>
          <w:lang w:val="fr-FR"/>
        </w:rPr>
        <w:t>4.</w:t>
      </w:r>
      <w:r>
        <w:rPr>
          <w:lang w:val="fr-FR"/>
        </w:rPr>
        <w:tab/>
        <w:t xml:space="preserve">À la dix-huitième session du Sous-Comité du transport des cargaisons et des conteneurs (CCC) de l’Organisation maritime internationale (OMI) en 2013 (DSC 18/13), la République de Corée a présenté une proposition (DSC 18/7/8) relative aux informations sur les polluants marins figurant dans la liste des marchandises dangereuses du Code maritime international des marchandises dangereuses (Code IMDG), en ce qui concerne les matières qui remplissent les critères relatifs aux matières dangereuses pour l’environnement selon les profils de risque établis par le GESAMP. </w:t>
      </w:r>
    </w:p>
    <w:p w14:paraId="312C4247" w14:textId="77777777" w:rsidR="00002F14" w:rsidRPr="003A0DD8" w:rsidRDefault="00002F14" w:rsidP="00002F14">
      <w:pPr>
        <w:pStyle w:val="SingleTxtG"/>
        <w:rPr>
          <w:rFonts w:eastAsia="Batang"/>
          <w:lang w:val="fr-FR"/>
        </w:rPr>
      </w:pPr>
      <w:r>
        <w:rPr>
          <w:lang w:val="fr-FR"/>
        </w:rPr>
        <w:t>5.</w:t>
      </w:r>
      <w:r>
        <w:rPr>
          <w:lang w:val="fr-FR"/>
        </w:rPr>
        <w:tab/>
        <w:t>La proposition avait pour objet de fournir des renseignements exacts aux chargeurs et aux transporteurs. Le Sous-Comité CCC de l’OMI a approuvé la proposition, et les matières visées ont été inscrites comme polluants marins dans le Code IMDG (Amendement 37-14) après vérification par le Groupe de rédaction et des questions techniques du Sous-Comité CCC (E&amp;T 20).</w:t>
      </w:r>
    </w:p>
    <w:p w14:paraId="09F765CD" w14:textId="77777777" w:rsidR="00002F14" w:rsidRPr="003A0DD8" w:rsidRDefault="00002F14" w:rsidP="00002F14">
      <w:pPr>
        <w:pStyle w:val="SingleTxtG"/>
        <w:rPr>
          <w:rFonts w:eastAsia="Malgun Gothic"/>
          <w:lang w:val="fr-FR"/>
        </w:rPr>
      </w:pPr>
      <w:r>
        <w:rPr>
          <w:lang w:val="fr-FR"/>
        </w:rPr>
        <w:t>6.</w:t>
      </w:r>
      <w:r>
        <w:rPr>
          <w:lang w:val="fr-FR"/>
        </w:rPr>
        <w:tab/>
        <w:t>De même, à supposer que la procédure d’évaluation des risques du GESAMP et la classification du Règlement type en fonction de la toxicité à l’ingestion et à l’absorption cutanée suivent les mêmes critères du Système général harmonisé de classification et d’étiquetage des produits chimiques (SGH), les informations sur la toxicité à l’ingestion et à l’absorption cutanée des matières qui figurent dans les profils de risque du GESAMP pourraient être utiles pour déterminer le danger que représentent les matières inscrites dans la liste des marchandises dangereuses du Règlement type.</w:t>
      </w:r>
    </w:p>
    <w:p w14:paraId="7309324D" w14:textId="77777777" w:rsidR="00002F14" w:rsidRPr="003A0DD8" w:rsidRDefault="00002F14" w:rsidP="00002F14">
      <w:pPr>
        <w:pStyle w:val="SingleTxtG"/>
        <w:rPr>
          <w:rFonts w:eastAsia="Malgun Gothic"/>
          <w:lang w:val="fr-FR"/>
        </w:rPr>
      </w:pPr>
      <w:r>
        <w:rPr>
          <w:lang w:val="fr-FR"/>
        </w:rPr>
        <w:t>7.</w:t>
      </w:r>
      <w:r>
        <w:rPr>
          <w:lang w:val="fr-FR"/>
        </w:rPr>
        <w:tab/>
        <w:t>Les critères de classement par groupe d’emballage de la division 6.1 pour la toxicité à l’ingestion et à l’absorption cutanée dans le Règlement type sont les mêmes que les critères de la procédure d’évaluation des risques du GESAMP (GESAMP Reports and Studies, n</w:t>
      </w:r>
      <w:r>
        <w:rPr>
          <w:vertAlign w:val="superscript"/>
          <w:lang w:val="fr-FR"/>
        </w:rPr>
        <w:t>o</w:t>
      </w:r>
      <w:r>
        <w:rPr>
          <w:lang w:val="fr-FR"/>
        </w:rPr>
        <w:t> 102). Les colonnes C1 et C2 du tableau 1 présentent les critères de classement en fonction de la toxicité à l’ingestion (DL</w:t>
      </w:r>
      <w:r>
        <w:rPr>
          <w:vertAlign w:val="subscript"/>
          <w:lang w:val="fr-FR"/>
        </w:rPr>
        <w:t>50</w:t>
      </w:r>
      <w:r>
        <w:rPr>
          <w:lang w:val="fr-FR"/>
        </w:rPr>
        <w:t>) et de la toxicité à l’absorption cutanée (DL</w:t>
      </w:r>
      <w:r>
        <w:rPr>
          <w:vertAlign w:val="subscript"/>
          <w:lang w:val="fr-FR"/>
        </w:rPr>
        <w:t>50</w:t>
      </w:r>
      <w:r>
        <w:rPr>
          <w:lang w:val="fr-FR"/>
        </w:rPr>
        <w:t>) qui sont appliqués dans la procédure d’évaluation des risques révisée du GESAMP. Le tableau 2 présente les critères de classement par groupe d’emballage pour les matières toxiques qui figurent au paragraphe 2.6.2.2.4.1 du Règlement type.</w:t>
      </w:r>
    </w:p>
    <w:p w14:paraId="42DBA317" w14:textId="77777777" w:rsidR="00002F14" w:rsidRPr="003A0DD8" w:rsidRDefault="00002F14" w:rsidP="005668B4">
      <w:pPr>
        <w:pStyle w:val="SingleTxtG"/>
        <w:jc w:val="left"/>
        <w:rPr>
          <w:b/>
          <w:bCs/>
          <w:lang w:val="fr-FR"/>
        </w:rPr>
      </w:pPr>
      <w:r>
        <w:rPr>
          <w:b/>
          <w:bCs/>
          <w:lang w:val="fr-FR"/>
        </w:rPr>
        <w:t>Tableau 1</w:t>
      </w:r>
      <w:r w:rsidR="005668B4">
        <w:rPr>
          <w:b/>
          <w:bCs/>
          <w:lang w:val="fr-FR"/>
        </w:rPr>
        <w:br/>
      </w:r>
      <w:r>
        <w:rPr>
          <w:b/>
          <w:bCs/>
          <w:lang w:val="fr-FR"/>
        </w:rPr>
        <w:t xml:space="preserve">Procédure d’évaluation des risques du GESAMP </w:t>
      </w:r>
      <w:r w:rsidRPr="00D746AE">
        <w:rPr>
          <w:b/>
          <w:bCs/>
          <w:lang w:val="fr-FR"/>
        </w:rPr>
        <w:t>révisée</w:t>
      </w:r>
      <w:r>
        <w:rPr>
          <w:b/>
          <w:bCs/>
          <w:lang w:val="fr-FR"/>
        </w:rPr>
        <w:t> </w:t>
      </w:r>
      <w:r>
        <w:rPr>
          <w:b/>
          <w:bCs/>
          <w:lang w:val="fr-FR"/>
        </w:rPr>
        <w:br/>
      </w:r>
      <w:r w:rsidR="005668B4">
        <w:rPr>
          <w:b/>
          <w:bCs/>
          <w:lang w:val="fr-FR"/>
        </w:rPr>
        <w:t>– </w:t>
      </w:r>
      <w:r>
        <w:rPr>
          <w:b/>
          <w:bCs/>
          <w:lang w:val="fr-FR"/>
        </w:rPr>
        <w:t>Toxicité aiguë pour les mammifères</w:t>
      </w:r>
    </w:p>
    <w:tbl>
      <w:tblPr>
        <w:tblStyle w:val="TableGrid"/>
        <w:tblW w:w="7370" w:type="dxa"/>
        <w:tblInd w:w="1134" w:type="dxa"/>
        <w:tblLayout w:type="fixed"/>
        <w:tblLook w:val="04A0" w:firstRow="1" w:lastRow="0" w:firstColumn="1" w:lastColumn="0" w:noHBand="0" w:noVBand="1"/>
      </w:tblPr>
      <w:tblGrid>
        <w:gridCol w:w="846"/>
        <w:gridCol w:w="1366"/>
        <w:gridCol w:w="1474"/>
        <w:gridCol w:w="1228"/>
        <w:gridCol w:w="1228"/>
        <w:gridCol w:w="1228"/>
      </w:tblGrid>
      <w:tr w:rsidR="00002F14" w:rsidRPr="00B41E3C" w14:paraId="64A0E449" w14:textId="77777777" w:rsidTr="00B44EC9">
        <w:tc>
          <w:tcPr>
            <w:tcW w:w="846" w:type="dxa"/>
          </w:tcPr>
          <w:p w14:paraId="7F0C9194" w14:textId="77777777" w:rsidR="00002F14" w:rsidRPr="00B41E3C" w:rsidRDefault="00002F14" w:rsidP="00B41E3C">
            <w:pPr>
              <w:pStyle w:val="SingleTxtG"/>
              <w:spacing w:before="40" w:after="40" w:line="160" w:lineRule="exact"/>
              <w:ind w:left="57" w:right="57"/>
              <w:jc w:val="center"/>
              <w:rPr>
                <w:rFonts w:asciiTheme="majorBidi" w:hAnsiTheme="majorBidi" w:cstheme="majorBidi"/>
                <w:sz w:val="13"/>
                <w:szCs w:val="13"/>
                <w:lang w:val="fr-FR"/>
              </w:rPr>
            </w:pPr>
          </w:p>
        </w:tc>
        <w:tc>
          <w:tcPr>
            <w:tcW w:w="6524" w:type="dxa"/>
            <w:gridSpan w:val="5"/>
          </w:tcPr>
          <w:p w14:paraId="2039CE02" w14:textId="77777777" w:rsidR="00002F14" w:rsidRPr="00B41E3C" w:rsidRDefault="00002F14" w:rsidP="00B41E3C">
            <w:pPr>
              <w:pStyle w:val="SingleTxtG"/>
              <w:spacing w:before="40" w:after="40" w:line="160" w:lineRule="exact"/>
              <w:ind w:left="57" w:right="57"/>
              <w:jc w:val="center"/>
              <w:rPr>
                <w:rFonts w:asciiTheme="majorBidi" w:hAnsiTheme="majorBidi" w:cstheme="majorBidi"/>
                <w:sz w:val="13"/>
                <w:szCs w:val="13"/>
                <w:lang w:val="fr-FR"/>
              </w:rPr>
            </w:pPr>
            <w:r w:rsidRPr="00B41E3C">
              <w:rPr>
                <w:sz w:val="13"/>
                <w:szCs w:val="13"/>
                <w:lang w:val="fr-FR"/>
              </w:rPr>
              <w:t>C</w:t>
            </w:r>
            <w:r w:rsidR="005668B4" w:rsidRPr="00B41E3C">
              <w:rPr>
                <w:sz w:val="13"/>
                <w:szCs w:val="13"/>
                <w:lang w:val="fr-FR"/>
              </w:rPr>
              <w:br/>
            </w:r>
            <w:r w:rsidRPr="00B41E3C">
              <w:rPr>
                <w:sz w:val="13"/>
                <w:szCs w:val="13"/>
                <w:lang w:val="fr-FR"/>
              </w:rPr>
              <w:t>Toxicité aiguë pour les mammifères</w:t>
            </w:r>
          </w:p>
        </w:tc>
      </w:tr>
      <w:tr w:rsidR="00002F14" w:rsidRPr="00B41E3C" w14:paraId="1A01958F" w14:textId="77777777" w:rsidTr="005668B4">
        <w:tc>
          <w:tcPr>
            <w:tcW w:w="846" w:type="dxa"/>
            <w:vAlign w:val="bottom"/>
          </w:tcPr>
          <w:p w14:paraId="0B62C241" w14:textId="77777777" w:rsidR="00002F14" w:rsidRPr="00B41E3C" w:rsidRDefault="00002F14" w:rsidP="00B41E3C">
            <w:pPr>
              <w:pStyle w:val="SingleTxtG"/>
              <w:spacing w:before="40" w:after="40" w:line="160" w:lineRule="exact"/>
              <w:ind w:left="57" w:right="57"/>
              <w:jc w:val="center"/>
              <w:rPr>
                <w:rFonts w:asciiTheme="majorBidi" w:hAnsiTheme="majorBidi" w:cstheme="majorBidi"/>
                <w:sz w:val="13"/>
                <w:szCs w:val="13"/>
              </w:rPr>
            </w:pPr>
            <w:r w:rsidRPr="00B41E3C">
              <w:rPr>
                <w:sz w:val="13"/>
                <w:szCs w:val="13"/>
                <w:lang w:val="fr-FR"/>
              </w:rPr>
              <w:t>Classement numérique</w:t>
            </w:r>
          </w:p>
        </w:tc>
        <w:tc>
          <w:tcPr>
            <w:tcW w:w="1366" w:type="dxa"/>
            <w:vAlign w:val="bottom"/>
          </w:tcPr>
          <w:p w14:paraId="66C2E325" w14:textId="77777777" w:rsidR="00002F14" w:rsidRPr="00B41E3C" w:rsidRDefault="00002F14" w:rsidP="00B41E3C">
            <w:pPr>
              <w:pStyle w:val="SingleTxtG"/>
              <w:spacing w:before="40" w:after="40" w:line="160" w:lineRule="exact"/>
              <w:ind w:left="57" w:right="57"/>
              <w:jc w:val="center"/>
              <w:rPr>
                <w:rFonts w:asciiTheme="majorBidi" w:hAnsiTheme="majorBidi" w:cstheme="majorBidi"/>
                <w:sz w:val="13"/>
                <w:szCs w:val="13"/>
              </w:rPr>
            </w:pPr>
            <w:r w:rsidRPr="00B41E3C">
              <w:rPr>
                <w:sz w:val="13"/>
                <w:szCs w:val="13"/>
                <w:lang w:val="fr-FR"/>
              </w:rPr>
              <w:t>C1</w:t>
            </w:r>
            <w:r w:rsidR="005668B4" w:rsidRPr="00B41E3C">
              <w:rPr>
                <w:sz w:val="13"/>
                <w:szCs w:val="13"/>
                <w:lang w:val="fr-FR"/>
              </w:rPr>
              <w:br/>
            </w:r>
            <w:r w:rsidRPr="00B41E3C">
              <w:rPr>
                <w:sz w:val="13"/>
                <w:szCs w:val="13"/>
                <w:lang w:val="fr-FR"/>
              </w:rPr>
              <w:t>Toxicité à l’ingestion</w:t>
            </w:r>
          </w:p>
        </w:tc>
        <w:tc>
          <w:tcPr>
            <w:tcW w:w="1474" w:type="dxa"/>
            <w:vAlign w:val="bottom"/>
          </w:tcPr>
          <w:p w14:paraId="5D90F0BC" w14:textId="77777777" w:rsidR="00002F14" w:rsidRPr="00B41E3C" w:rsidRDefault="00002F14" w:rsidP="00B41E3C">
            <w:pPr>
              <w:pStyle w:val="SingleTxtG"/>
              <w:spacing w:before="40" w:after="40" w:line="160" w:lineRule="exact"/>
              <w:ind w:left="57" w:right="57"/>
              <w:jc w:val="center"/>
              <w:rPr>
                <w:rFonts w:asciiTheme="majorBidi" w:hAnsiTheme="majorBidi" w:cstheme="majorBidi"/>
                <w:sz w:val="13"/>
                <w:szCs w:val="13"/>
                <w:lang w:val="fr-FR"/>
              </w:rPr>
            </w:pPr>
            <w:r w:rsidRPr="00B41E3C">
              <w:rPr>
                <w:sz w:val="13"/>
                <w:szCs w:val="13"/>
                <w:lang w:val="fr-FR"/>
              </w:rPr>
              <w:t>C2</w:t>
            </w:r>
            <w:r w:rsidR="005668B4" w:rsidRPr="00B41E3C">
              <w:rPr>
                <w:sz w:val="13"/>
                <w:szCs w:val="13"/>
                <w:lang w:val="fr-FR"/>
              </w:rPr>
              <w:br/>
            </w:r>
            <w:r w:rsidRPr="00B41E3C">
              <w:rPr>
                <w:sz w:val="13"/>
                <w:szCs w:val="13"/>
                <w:lang w:val="fr-FR"/>
              </w:rPr>
              <w:t xml:space="preserve">Toxicité à </w:t>
            </w:r>
            <w:r w:rsidRPr="00B41E3C">
              <w:rPr>
                <w:sz w:val="13"/>
                <w:szCs w:val="13"/>
                <w:lang w:val="fr-FR"/>
              </w:rPr>
              <w:br/>
              <w:t>l’absorption cutanée</w:t>
            </w:r>
          </w:p>
        </w:tc>
        <w:tc>
          <w:tcPr>
            <w:tcW w:w="3684" w:type="dxa"/>
            <w:gridSpan w:val="3"/>
            <w:vAlign w:val="bottom"/>
          </w:tcPr>
          <w:p w14:paraId="1C704486" w14:textId="77777777" w:rsidR="00002F14" w:rsidRPr="00B41E3C" w:rsidRDefault="00002F14" w:rsidP="00B41E3C">
            <w:pPr>
              <w:pStyle w:val="SingleTxtG"/>
              <w:spacing w:before="40" w:after="40" w:line="160" w:lineRule="exact"/>
              <w:ind w:left="57" w:right="57"/>
              <w:jc w:val="center"/>
              <w:rPr>
                <w:rFonts w:asciiTheme="majorBidi" w:hAnsiTheme="majorBidi" w:cstheme="majorBidi"/>
                <w:sz w:val="13"/>
                <w:szCs w:val="13"/>
              </w:rPr>
            </w:pPr>
            <w:r w:rsidRPr="00B41E3C">
              <w:rPr>
                <w:sz w:val="13"/>
                <w:szCs w:val="13"/>
                <w:lang w:val="fr-FR"/>
              </w:rPr>
              <w:t>C3</w:t>
            </w:r>
            <w:r w:rsidR="005668B4" w:rsidRPr="00B41E3C">
              <w:rPr>
                <w:sz w:val="13"/>
                <w:szCs w:val="13"/>
                <w:lang w:val="fr-FR"/>
              </w:rPr>
              <w:br/>
            </w:r>
            <w:r w:rsidRPr="00B41E3C">
              <w:rPr>
                <w:sz w:val="13"/>
                <w:szCs w:val="13"/>
                <w:lang w:val="fr-FR"/>
              </w:rPr>
              <w:t>Toxicité à l’inhalation</w:t>
            </w:r>
          </w:p>
        </w:tc>
      </w:tr>
      <w:tr w:rsidR="00002F14" w:rsidRPr="00B41E3C" w14:paraId="481B1C83" w14:textId="77777777" w:rsidTr="005668B4">
        <w:tc>
          <w:tcPr>
            <w:tcW w:w="846" w:type="dxa"/>
          </w:tcPr>
          <w:p w14:paraId="49D3505D" w14:textId="77777777" w:rsidR="00002F14" w:rsidRPr="00B41E3C" w:rsidRDefault="00002F14" w:rsidP="00B41E3C">
            <w:pPr>
              <w:pStyle w:val="SingleTxtG"/>
              <w:spacing w:before="40" w:after="40" w:line="160" w:lineRule="exact"/>
              <w:ind w:left="57" w:right="57"/>
              <w:jc w:val="center"/>
              <w:rPr>
                <w:rFonts w:asciiTheme="majorBidi" w:hAnsiTheme="majorBidi" w:cstheme="majorBidi"/>
                <w:sz w:val="13"/>
                <w:szCs w:val="13"/>
              </w:rPr>
            </w:pPr>
          </w:p>
        </w:tc>
        <w:tc>
          <w:tcPr>
            <w:tcW w:w="1366" w:type="dxa"/>
          </w:tcPr>
          <w:p w14:paraId="4ABEC937" w14:textId="77777777" w:rsidR="00002F14" w:rsidRPr="00B41E3C" w:rsidRDefault="00002F14" w:rsidP="00B41E3C">
            <w:pPr>
              <w:pStyle w:val="SingleTxtG"/>
              <w:spacing w:before="40" w:after="40" w:line="160" w:lineRule="exact"/>
              <w:ind w:left="57" w:right="57"/>
              <w:jc w:val="center"/>
              <w:rPr>
                <w:rFonts w:asciiTheme="majorBidi" w:hAnsiTheme="majorBidi" w:cstheme="majorBidi"/>
                <w:sz w:val="13"/>
                <w:szCs w:val="13"/>
              </w:rPr>
            </w:pPr>
          </w:p>
        </w:tc>
        <w:tc>
          <w:tcPr>
            <w:tcW w:w="1474" w:type="dxa"/>
          </w:tcPr>
          <w:p w14:paraId="143A1D1F" w14:textId="77777777" w:rsidR="00002F14" w:rsidRPr="00B41E3C" w:rsidRDefault="00002F14" w:rsidP="00B41E3C">
            <w:pPr>
              <w:pStyle w:val="SingleTxtG"/>
              <w:spacing w:before="40" w:after="40" w:line="160" w:lineRule="exact"/>
              <w:ind w:left="57" w:right="57"/>
              <w:jc w:val="center"/>
              <w:rPr>
                <w:rFonts w:asciiTheme="majorBidi" w:hAnsiTheme="majorBidi" w:cstheme="majorBidi"/>
                <w:sz w:val="13"/>
                <w:szCs w:val="13"/>
              </w:rPr>
            </w:pPr>
          </w:p>
        </w:tc>
        <w:tc>
          <w:tcPr>
            <w:tcW w:w="2456" w:type="dxa"/>
            <w:gridSpan w:val="2"/>
            <w:vAlign w:val="bottom"/>
          </w:tcPr>
          <w:p w14:paraId="147BF572" w14:textId="77777777" w:rsidR="00002F14" w:rsidRPr="00B41E3C" w:rsidRDefault="00002F14" w:rsidP="00B41E3C">
            <w:pPr>
              <w:pStyle w:val="SingleTxtG"/>
              <w:spacing w:before="40" w:after="40" w:line="160" w:lineRule="exact"/>
              <w:ind w:left="57" w:right="57"/>
              <w:jc w:val="center"/>
              <w:rPr>
                <w:rFonts w:asciiTheme="majorBidi" w:hAnsiTheme="majorBidi" w:cstheme="majorBidi"/>
                <w:sz w:val="13"/>
                <w:szCs w:val="13"/>
              </w:rPr>
            </w:pPr>
            <w:r w:rsidRPr="00B41E3C">
              <w:rPr>
                <w:sz w:val="13"/>
                <w:szCs w:val="13"/>
                <w:lang w:val="fr-FR"/>
              </w:rPr>
              <w:t>C3a</w:t>
            </w:r>
          </w:p>
        </w:tc>
        <w:tc>
          <w:tcPr>
            <w:tcW w:w="1228" w:type="dxa"/>
            <w:vAlign w:val="bottom"/>
          </w:tcPr>
          <w:p w14:paraId="7283DF51" w14:textId="77777777" w:rsidR="00002F14" w:rsidRPr="00B41E3C" w:rsidRDefault="00002F14" w:rsidP="00B41E3C">
            <w:pPr>
              <w:pStyle w:val="SingleTxtG"/>
              <w:spacing w:before="40" w:after="40" w:line="160" w:lineRule="exact"/>
              <w:ind w:left="57" w:right="57"/>
              <w:jc w:val="center"/>
              <w:rPr>
                <w:rFonts w:asciiTheme="majorBidi" w:hAnsiTheme="majorBidi" w:cstheme="majorBidi"/>
                <w:sz w:val="13"/>
                <w:szCs w:val="13"/>
              </w:rPr>
            </w:pPr>
            <w:r w:rsidRPr="00B41E3C">
              <w:rPr>
                <w:sz w:val="13"/>
                <w:szCs w:val="13"/>
                <w:lang w:val="fr-FR"/>
              </w:rPr>
              <w:t>C3b</w:t>
            </w:r>
          </w:p>
        </w:tc>
      </w:tr>
      <w:tr w:rsidR="00002F14" w:rsidRPr="00B41E3C" w14:paraId="2951D6FF" w14:textId="77777777" w:rsidTr="005668B4">
        <w:tc>
          <w:tcPr>
            <w:tcW w:w="846" w:type="dxa"/>
          </w:tcPr>
          <w:p w14:paraId="5321B19E" w14:textId="77777777" w:rsidR="00002F14" w:rsidRPr="00B41E3C" w:rsidRDefault="00002F14" w:rsidP="00B41E3C">
            <w:pPr>
              <w:pStyle w:val="SingleTxtG"/>
              <w:spacing w:before="40" w:after="40" w:line="160" w:lineRule="exact"/>
              <w:ind w:left="57" w:right="57"/>
              <w:jc w:val="left"/>
              <w:rPr>
                <w:rFonts w:asciiTheme="majorBidi" w:hAnsiTheme="majorBidi" w:cstheme="majorBidi"/>
                <w:sz w:val="13"/>
                <w:szCs w:val="13"/>
              </w:rPr>
            </w:pPr>
          </w:p>
        </w:tc>
        <w:tc>
          <w:tcPr>
            <w:tcW w:w="1366" w:type="dxa"/>
          </w:tcPr>
          <w:p w14:paraId="4EA7E70B" w14:textId="77777777" w:rsidR="00002F14" w:rsidRPr="00B41E3C" w:rsidRDefault="00002F14" w:rsidP="00B41E3C">
            <w:pPr>
              <w:pStyle w:val="SingleTxtG"/>
              <w:spacing w:before="40" w:after="40" w:line="160" w:lineRule="exact"/>
              <w:ind w:left="57" w:right="57"/>
              <w:jc w:val="left"/>
              <w:rPr>
                <w:rFonts w:asciiTheme="majorBidi" w:hAnsiTheme="majorBidi" w:cstheme="majorBidi"/>
                <w:sz w:val="13"/>
                <w:szCs w:val="13"/>
              </w:rPr>
            </w:pPr>
          </w:p>
        </w:tc>
        <w:tc>
          <w:tcPr>
            <w:tcW w:w="1474" w:type="dxa"/>
          </w:tcPr>
          <w:p w14:paraId="1A577960" w14:textId="77777777" w:rsidR="00002F14" w:rsidRPr="00B41E3C" w:rsidRDefault="00002F14" w:rsidP="00B41E3C">
            <w:pPr>
              <w:pStyle w:val="SingleTxtG"/>
              <w:spacing w:before="40" w:after="40" w:line="160" w:lineRule="exact"/>
              <w:ind w:left="57" w:right="57"/>
              <w:jc w:val="left"/>
              <w:rPr>
                <w:rFonts w:asciiTheme="majorBidi" w:hAnsiTheme="majorBidi" w:cstheme="majorBidi"/>
                <w:sz w:val="13"/>
                <w:szCs w:val="13"/>
              </w:rPr>
            </w:pPr>
          </w:p>
        </w:tc>
        <w:tc>
          <w:tcPr>
            <w:tcW w:w="1228" w:type="dxa"/>
            <w:vAlign w:val="bottom"/>
          </w:tcPr>
          <w:p w14:paraId="28D80C54" w14:textId="77777777" w:rsidR="00002F14" w:rsidRPr="00B41E3C" w:rsidRDefault="00002F14" w:rsidP="00B41E3C">
            <w:pPr>
              <w:pStyle w:val="SingleTxtG"/>
              <w:spacing w:before="40" w:after="40" w:line="160" w:lineRule="exact"/>
              <w:ind w:left="57" w:right="57"/>
              <w:jc w:val="left"/>
              <w:rPr>
                <w:rFonts w:asciiTheme="majorBidi" w:hAnsiTheme="majorBidi" w:cstheme="majorBidi"/>
                <w:sz w:val="13"/>
                <w:szCs w:val="13"/>
              </w:rPr>
            </w:pPr>
            <w:r w:rsidRPr="00B41E3C">
              <w:rPr>
                <w:sz w:val="13"/>
                <w:szCs w:val="13"/>
                <w:lang w:val="fr-FR"/>
              </w:rPr>
              <w:t>vapeur/</w:t>
            </w:r>
            <w:r w:rsidR="005668B4" w:rsidRPr="00B41E3C">
              <w:rPr>
                <w:sz w:val="13"/>
                <w:szCs w:val="13"/>
                <w:lang w:val="fr-FR"/>
              </w:rPr>
              <w:br/>
            </w:r>
            <w:r w:rsidRPr="00B41E3C">
              <w:rPr>
                <w:sz w:val="13"/>
                <w:szCs w:val="13"/>
                <w:lang w:val="fr-FR"/>
              </w:rPr>
              <w:t>brouillard</w:t>
            </w:r>
          </w:p>
        </w:tc>
        <w:tc>
          <w:tcPr>
            <w:tcW w:w="1228" w:type="dxa"/>
            <w:vAlign w:val="bottom"/>
          </w:tcPr>
          <w:p w14:paraId="035DABB1" w14:textId="77777777" w:rsidR="00002F14" w:rsidRPr="00B41E3C" w:rsidRDefault="00002F14" w:rsidP="00B41E3C">
            <w:pPr>
              <w:pStyle w:val="SingleTxtG"/>
              <w:spacing w:before="40" w:after="40" w:line="160" w:lineRule="exact"/>
              <w:ind w:left="57" w:right="57"/>
              <w:jc w:val="left"/>
              <w:rPr>
                <w:rFonts w:asciiTheme="majorBidi" w:hAnsiTheme="majorBidi" w:cstheme="majorBidi"/>
                <w:sz w:val="13"/>
                <w:szCs w:val="13"/>
              </w:rPr>
            </w:pPr>
            <w:r w:rsidRPr="00B41E3C">
              <w:rPr>
                <w:sz w:val="13"/>
                <w:szCs w:val="13"/>
                <w:lang w:val="fr-FR"/>
              </w:rPr>
              <w:t>brouillard seulement</w:t>
            </w:r>
          </w:p>
        </w:tc>
        <w:tc>
          <w:tcPr>
            <w:tcW w:w="1228" w:type="dxa"/>
            <w:vAlign w:val="bottom"/>
          </w:tcPr>
          <w:p w14:paraId="3B90491E" w14:textId="77777777" w:rsidR="00002F14" w:rsidRPr="00B41E3C" w:rsidRDefault="00002F14" w:rsidP="00B41E3C">
            <w:pPr>
              <w:pStyle w:val="SingleTxtG"/>
              <w:spacing w:before="40" w:after="40" w:line="160" w:lineRule="exact"/>
              <w:ind w:left="57" w:right="57"/>
              <w:jc w:val="left"/>
              <w:rPr>
                <w:rFonts w:asciiTheme="majorBidi" w:hAnsiTheme="majorBidi" w:cstheme="majorBidi"/>
                <w:sz w:val="13"/>
                <w:szCs w:val="13"/>
              </w:rPr>
            </w:pPr>
            <w:r w:rsidRPr="00B41E3C">
              <w:rPr>
                <w:sz w:val="13"/>
                <w:szCs w:val="13"/>
                <w:lang w:val="fr-FR"/>
              </w:rPr>
              <w:t xml:space="preserve">vapeur </w:t>
            </w:r>
            <w:r w:rsidR="005668B4" w:rsidRPr="00B41E3C">
              <w:rPr>
                <w:sz w:val="13"/>
                <w:szCs w:val="13"/>
                <w:lang w:val="fr-FR"/>
              </w:rPr>
              <w:br/>
            </w:r>
            <w:r w:rsidRPr="00B41E3C">
              <w:rPr>
                <w:sz w:val="13"/>
                <w:szCs w:val="13"/>
                <w:lang w:val="fr-FR"/>
              </w:rPr>
              <w:t>seulement</w:t>
            </w:r>
          </w:p>
        </w:tc>
      </w:tr>
      <w:tr w:rsidR="00002F14" w:rsidRPr="00EC5888" w14:paraId="4111E5E8" w14:textId="77777777" w:rsidTr="00B44EC9">
        <w:tc>
          <w:tcPr>
            <w:tcW w:w="846" w:type="dxa"/>
          </w:tcPr>
          <w:p w14:paraId="43B1B8F9"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p>
        </w:tc>
        <w:tc>
          <w:tcPr>
            <w:tcW w:w="1366" w:type="dxa"/>
          </w:tcPr>
          <w:p w14:paraId="1411F51D"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DL</w:t>
            </w:r>
            <w:r w:rsidRPr="00EC5888">
              <w:rPr>
                <w:sz w:val="15"/>
                <w:szCs w:val="15"/>
                <w:vertAlign w:val="subscript"/>
                <w:lang w:val="fr-FR"/>
              </w:rPr>
              <w:t>50</w:t>
            </w:r>
            <w:r w:rsidRPr="00EC5888">
              <w:rPr>
                <w:sz w:val="15"/>
                <w:szCs w:val="15"/>
                <w:lang w:val="fr-FR"/>
              </w:rPr>
              <w:t xml:space="preserve">/ETA </w:t>
            </w:r>
            <w:r w:rsidR="00692207">
              <w:rPr>
                <w:sz w:val="15"/>
                <w:szCs w:val="15"/>
                <w:lang w:val="fr-FR"/>
              </w:rPr>
              <w:br/>
            </w:r>
            <w:r w:rsidRPr="00EC5888">
              <w:rPr>
                <w:sz w:val="15"/>
                <w:szCs w:val="15"/>
                <w:lang w:val="fr-FR"/>
              </w:rPr>
              <w:t>(mg/kg)</w:t>
            </w:r>
          </w:p>
        </w:tc>
        <w:tc>
          <w:tcPr>
            <w:tcW w:w="1474" w:type="dxa"/>
          </w:tcPr>
          <w:p w14:paraId="0FF5060C"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DL</w:t>
            </w:r>
            <w:r w:rsidRPr="00EC5888">
              <w:rPr>
                <w:sz w:val="15"/>
                <w:szCs w:val="15"/>
                <w:vertAlign w:val="subscript"/>
                <w:lang w:val="fr-FR"/>
              </w:rPr>
              <w:t>50</w:t>
            </w:r>
            <w:r w:rsidRPr="00EC5888">
              <w:rPr>
                <w:sz w:val="15"/>
                <w:szCs w:val="15"/>
                <w:lang w:val="fr-FR"/>
              </w:rPr>
              <w:t xml:space="preserve">/ETA </w:t>
            </w:r>
            <w:r w:rsidR="00692207">
              <w:rPr>
                <w:sz w:val="15"/>
                <w:szCs w:val="15"/>
                <w:lang w:val="fr-FR"/>
              </w:rPr>
              <w:br/>
            </w:r>
            <w:r w:rsidRPr="00EC5888">
              <w:rPr>
                <w:sz w:val="15"/>
                <w:szCs w:val="15"/>
                <w:lang w:val="fr-FR"/>
              </w:rPr>
              <w:t>(mg/kg)</w:t>
            </w:r>
          </w:p>
        </w:tc>
        <w:tc>
          <w:tcPr>
            <w:tcW w:w="1228" w:type="dxa"/>
          </w:tcPr>
          <w:p w14:paraId="45F5A9CA"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CL</w:t>
            </w:r>
            <w:r w:rsidRPr="00EC5888">
              <w:rPr>
                <w:sz w:val="15"/>
                <w:szCs w:val="15"/>
                <w:vertAlign w:val="subscript"/>
                <w:lang w:val="fr-FR"/>
              </w:rPr>
              <w:t>50</w:t>
            </w:r>
            <w:r w:rsidRPr="00EC5888">
              <w:rPr>
                <w:sz w:val="15"/>
                <w:szCs w:val="15"/>
                <w:lang w:val="fr-FR"/>
              </w:rPr>
              <w:t xml:space="preserve">/ETA </w:t>
            </w:r>
            <w:r w:rsidR="00692207">
              <w:rPr>
                <w:sz w:val="15"/>
                <w:szCs w:val="15"/>
                <w:lang w:val="fr-FR"/>
              </w:rPr>
              <w:br/>
            </w:r>
            <w:r w:rsidRPr="00EC5888">
              <w:rPr>
                <w:sz w:val="15"/>
                <w:szCs w:val="15"/>
                <w:lang w:val="fr-FR"/>
              </w:rPr>
              <w:t>(mg/</w:t>
            </w:r>
            <w:r w:rsidR="00692207">
              <w:rPr>
                <w:sz w:val="15"/>
                <w:szCs w:val="15"/>
                <w:lang w:val="fr-FR"/>
              </w:rPr>
              <w:t>l</w:t>
            </w:r>
            <w:r w:rsidRPr="00EC5888">
              <w:rPr>
                <w:sz w:val="15"/>
                <w:szCs w:val="15"/>
                <w:lang w:val="fr-FR"/>
              </w:rPr>
              <w:t>)</w:t>
            </w:r>
          </w:p>
        </w:tc>
        <w:tc>
          <w:tcPr>
            <w:tcW w:w="1228" w:type="dxa"/>
          </w:tcPr>
          <w:p w14:paraId="7C7F8365"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CL</w:t>
            </w:r>
            <w:r w:rsidRPr="00EC5888">
              <w:rPr>
                <w:sz w:val="15"/>
                <w:szCs w:val="15"/>
                <w:vertAlign w:val="subscript"/>
                <w:lang w:val="fr-FR"/>
              </w:rPr>
              <w:t>50</w:t>
            </w:r>
            <w:r w:rsidRPr="00EC5888">
              <w:rPr>
                <w:sz w:val="15"/>
                <w:szCs w:val="15"/>
                <w:lang w:val="fr-FR"/>
              </w:rPr>
              <w:t xml:space="preserve">/ETA </w:t>
            </w:r>
            <w:r w:rsidR="00692207">
              <w:rPr>
                <w:sz w:val="15"/>
                <w:szCs w:val="15"/>
                <w:lang w:val="fr-FR"/>
              </w:rPr>
              <w:br/>
            </w:r>
            <w:r w:rsidRPr="00EC5888">
              <w:rPr>
                <w:sz w:val="15"/>
                <w:szCs w:val="15"/>
                <w:lang w:val="fr-FR"/>
              </w:rPr>
              <w:t>(mg/</w:t>
            </w:r>
            <w:r w:rsidR="00692207">
              <w:rPr>
                <w:sz w:val="15"/>
                <w:szCs w:val="15"/>
                <w:lang w:val="fr-FR"/>
              </w:rPr>
              <w:t>l</w:t>
            </w:r>
            <w:r w:rsidRPr="00EC5888">
              <w:rPr>
                <w:sz w:val="15"/>
                <w:szCs w:val="15"/>
                <w:lang w:val="fr-FR"/>
              </w:rPr>
              <w:t>)</w:t>
            </w:r>
          </w:p>
        </w:tc>
        <w:tc>
          <w:tcPr>
            <w:tcW w:w="1228" w:type="dxa"/>
          </w:tcPr>
          <w:p w14:paraId="42E0B1CD"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CL</w:t>
            </w:r>
            <w:r w:rsidRPr="00EC5888">
              <w:rPr>
                <w:sz w:val="15"/>
                <w:szCs w:val="15"/>
                <w:vertAlign w:val="subscript"/>
                <w:lang w:val="fr-FR"/>
              </w:rPr>
              <w:t>50</w:t>
            </w:r>
            <w:r w:rsidRPr="00EC5888">
              <w:rPr>
                <w:sz w:val="15"/>
                <w:szCs w:val="15"/>
                <w:lang w:val="fr-FR"/>
              </w:rPr>
              <w:t xml:space="preserve">/ETA </w:t>
            </w:r>
            <w:r w:rsidR="00692207">
              <w:rPr>
                <w:sz w:val="15"/>
                <w:szCs w:val="15"/>
                <w:lang w:val="fr-FR"/>
              </w:rPr>
              <w:br/>
            </w:r>
            <w:r w:rsidRPr="00EC5888">
              <w:rPr>
                <w:sz w:val="15"/>
                <w:szCs w:val="15"/>
                <w:lang w:val="fr-FR"/>
              </w:rPr>
              <w:t>(mg/</w:t>
            </w:r>
            <w:r w:rsidR="00692207">
              <w:rPr>
                <w:sz w:val="15"/>
                <w:szCs w:val="15"/>
                <w:lang w:val="fr-FR"/>
              </w:rPr>
              <w:t>l</w:t>
            </w:r>
            <w:r w:rsidRPr="00EC5888">
              <w:rPr>
                <w:sz w:val="15"/>
                <w:szCs w:val="15"/>
                <w:lang w:val="fr-FR"/>
              </w:rPr>
              <w:t>)</w:t>
            </w:r>
          </w:p>
        </w:tc>
      </w:tr>
      <w:tr w:rsidR="00002F14" w:rsidRPr="00EC5888" w14:paraId="7D27187F" w14:textId="77777777" w:rsidTr="00B44EC9">
        <w:tc>
          <w:tcPr>
            <w:tcW w:w="846" w:type="dxa"/>
          </w:tcPr>
          <w:p w14:paraId="66ADC65A"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0</w:t>
            </w:r>
          </w:p>
        </w:tc>
        <w:tc>
          <w:tcPr>
            <w:tcW w:w="1366" w:type="dxa"/>
          </w:tcPr>
          <w:p w14:paraId="339F5911"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ETA &gt; 2 000</w:t>
            </w:r>
          </w:p>
        </w:tc>
        <w:tc>
          <w:tcPr>
            <w:tcW w:w="1474" w:type="dxa"/>
          </w:tcPr>
          <w:p w14:paraId="0328AA03"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ETA &gt; 2 000</w:t>
            </w:r>
          </w:p>
        </w:tc>
        <w:tc>
          <w:tcPr>
            <w:tcW w:w="1228" w:type="dxa"/>
          </w:tcPr>
          <w:p w14:paraId="4A0ED77B"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ETA &gt; 20</w:t>
            </w:r>
          </w:p>
        </w:tc>
        <w:tc>
          <w:tcPr>
            <w:tcW w:w="1228" w:type="dxa"/>
          </w:tcPr>
          <w:p w14:paraId="366D71D6"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ETA &gt; 5</w:t>
            </w:r>
          </w:p>
        </w:tc>
        <w:tc>
          <w:tcPr>
            <w:tcW w:w="1228" w:type="dxa"/>
          </w:tcPr>
          <w:p w14:paraId="1FB4FBA8"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ETA &gt; 20</w:t>
            </w:r>
          </w:p>
        </w:tc>
      </w:tr>
      <w:tr w:rsidR="00002F14" w:rsidRPr="00EC5888" w14:paraId="7F1325BA" w14:textId="77777777" w:rsidTr="00B44EC9">
        <w:tc>
          <w:tcPr>
            <w:tcW w:w="846" w:type="dxa"/>
          </w:tcPr>
          <w:p w14:paraId="5FE3B061"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1</w:t>
            </w:r>
          </w:p>
        </w:tc>
        <w:tc>
          <w:tcPr>
            <w:tcW w:w="1366" w:type="dxa"/>
          </w:tcPr>
          <w:p w14:paraId="3CF256F9"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300 &lt; ETA ≤ 2 000</w:t>
            </w:r>
          </w:p>
        </w:tc>
        <w:tc>
          <w:tcPr>
            <w:tcW w:w="1474" w:type="dxa"/>
          </w:tcPr>
          <w:p w14:paraId="37FF7137"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1000 &lt; ETA ≤ 2 000</w:t>
            </w:r>
          </w:p>
        </w:tc>
        <w:tc>
          <w:tcPr>
            <w:tcW w:w="1228" w:type="dxa"/>
          </w:tcPr>
          <w:p w14:paraId="5DA70DE4"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10 &lt; ETA ≤ 20</w:t>
            </w:r>
          </w:p>
        </w:tc>
        <w:tc>
          <w:tcPr>
            <w:tcW w:w="1228" w:type="dxa"/>
          </w:tcPr>
          <w:p w14:paraId="6CCCC588"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1 &lt; ETA ≤ 5</w:t>
            </w:r>
          </w:p>
        </w:tc>
        <w:tc>
          <w:tcPr>
            <w:tcW w:w="1228" w:type="dxa"/>
          </w:tcPr>
          <w:p w14:paraId="06C2ED38"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10 &lt; ETA ≤ 20</w:t>
            </w:r>
          </w:p>
        </w:tc>
      </w:tr>
      <w:tr w:rsidR="00002F14" w:rsidRPr="00EC5888" w14:paraId="5796F3B7" w14:textId="77777777" w:rsidTr="00B44EC9">
        <w:tc>
          <w:tcPr>
            <w:tcW w:w="846" w:type="dxa"/>
          </w:tcPr>
          <w:p w14:paraId="1C9B4D1B"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2</w:t>
            </w:r>
          </w:p>
        </w:tc>
        <w:tc>
          <w:tcPr>
            <w:tcW w:w="1366" w:type="dxa"/>
          </w:tcPr>
          <w:p w14:paraId="0CE9B417"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50 &lt; ETA ≤ 300</w:t>
            </w:r>
          </w:p>
        </w:tc>
        <w:tc>
          <w:tcPr>
            <w:tcW w:w="1474" w:type="dxa"/>
          </w:tcPr>
          <w:p w14:paraId="7CAEA16E"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200 &lt; ETA ≤ 1 000</w:t>
            </w:r>
          </w:p>
        </w:tc>
        <w:tc>
          <w:tcPr>
            <w:tcW w:w="1228" w:type="dxa"/>
          </w:tcPr>
          <w:p w14:paraId="5273F950"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2 &lt; ETA ≤ 10</w:t>
            </w:r>
          </w:p>
        </w:tc>
        <w:tc>
          <w:tcPr>
            <w:tcW w:w="1228" w:type="dxa"/>
          </w:tcPr>
          <w:p w14:paraId="463051BF"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0,5 &lt; ETA ≤ 1</w:t>
            </w:r>
          </w:p>
        </w:tc>
        <w:tc>
          <w:tcPr>
            <w:tcW w:w="1228" w:type="dxa"/>
          </w:tcPr>
          <w:p w14:paraId="46BCE481"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2 &lt; ETA ≤ 10</w:t>
            </w:r>
          </w:p>
        </w:tc>
      </w:tr>
      <w:tr w:rsidR="00002F14" w:rsidRPr="00EC5888" w14:paraId="2CE9D98D" w14:textId="77777777" w:rsidTr="00B44EC9">
        <w:tc>
          <w:tcPr>
            <w:tcW w:w="846" w:type="dxa"/>
          </w:tcPr>
          <w:p w14:paraId="55109EED"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3</w:t>
            </w:r>
          </w:p>
        </w:tc>
        <w:tc>
          <w:tcPr>
            <w:tcW w:w="1366" w:type="dxa"/>
          </w:tcPr>
          <w:p w14:paraId="79ADD611"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5 &lt; ETA ≤ 50</w:t>
            </w:r>
          </w:p>
        </w:tc>
        <w:tc>
          <w:tcPr>
            <w:tcW w:w="1474" w:type="dxa"/>
          </w:tcPr>
          <w:p w14:paraId="1CFA4091"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50 &lt; ETA ≤ 200</w:t>
            </w:r>
          </w:p>
        </w:tc>
        <w:tc>
          <w:tcPr>
            <w:tcW w:w="1228" w:type="dxa"/>
          </w:tcPr>
          <w:p w14:paraId="478BADDA"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0,5 &lt; ETA ≤ 2</w:t>
            </w:r>
          </w:p>
        </w:tc>
        <w:tc>
          <w:tcPr>
            <w:tcW w:w="1228" w:type="dxa"/>
          </w:tcPr>
          <w:p w14:paraId="5499605B"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0,05 &lt; ETA ≤ 0,5</w:t>
            </w:r>
          </w:p>
        </w:tc>
        <w:tc>
          <w:tcPr>
            <w:tcW w:w="1228" w:type="dxa"/>
          </w:tcPr>
          <w:p w14:paraId="1B126CEF"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0,5 &lt; ETA ≤ 2</w:t>
            </w:r>
          </w:p>
        </w:tc>
      </w:tr>
      <w:tr w:rsidR="00002F14" w:rsidRPr="00EC5888" w14:paraId="769A39AD" w14:textId="77777777" w:rsidTr="00B44EC9">
        <w:tc>
          <w:tcPr>
            <w:tcW w:w="846" w:type="dxa"/>
          </w:tcPr>
          <w:p w14:paraId="224BD010"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4</w:t>
            </w:r>
          </w:p>
        </w:tc>
        <w:tc>
          <w:tcPr>
            <w:tcW w:w="1366" w:type="dxa"/>
          </w:tcPr>
          <w:p w14:paraId="5179C77C"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ETA ≤ 5</w:t>
            </w:r>
          </w:p>
        </w:tc>
        <w:tc>
          <w:tcPr>
            <w:tcW w:w="1474" w:type="dxa"/>
          </w:tcPr>
          <w:p w14:paraId="47E6B970"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ETA ≤ 50</w:t>
            </w:r>
          </w:p>
        </w:tc>
        <w:tc>
          <w:tcPr>
            <w:tcW w:w="1228" w:type="dxa"/>
          </w:tcPr>
          <w:p w14:paraId="7964CBE9"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ETA ≤ 0,5</w:t>
            </w:r>
          </w:p>
        </w:tc>
        <w:tc>
          <w:tcPr>
            <w:tcW w:w="1228" w:type="dxa"/>
          </w:tcPr>
          <w:p w14:paraId="2AEF9BC3"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ETA ≤ 0,05</w:t>
            </w:r>
          </w:p>
        </w:tc>
        <w:tc>
          <w:tcPr>
            <w:tcW w:w="1228" w:type="dxa"/>
          </w:tcPr>
          <w:p w14:paraId="453753E4" w14:textId="77777777" w:rsidR="00002F14" w:rsidRPr="00EC5888" w:rsidRDefault="00002F14" w:rsidP="00EC5888">
            <w:pPr>
              <w:pStyle w:val="SingleTxtG"/>
              <w:spacing w:before="40" w:after="40" w:line="240" w:lineRule="auto"/>
              <w:ind w:left="57" w:right="57"/>
              <w:jc w:val="left"/>
              <w:rPr>
                <w:rFonts w:asciiTheme="majorBidi" w:hAnsiTheme="majorBidi" w:cstheme="majorBidi"/>
                <w:sz w:val="15"/>
                <w:szCs w:val="15"/>
              </w:rPr>
            </w:pPr>
            <w:r w:rsidRPr="00EC5888">
              <w:rPr>
                <w:sz w:val="15"/>
                <w:szCs w:val="15"/>
                <w:lang w:val="fr-FR"/>
              </w:rPr>
              <w:t>ETA ≤ 0,5</w:t>
            </w:r>
          </w:p>
        </w:tc>
      </w:tr>
    </w:tbl>
    <w:p w14:paraId="15A3989D" w14:textId="77777777" w:rsidR="00002F14" w:rsidRPr="005668B4" w:rsidRDefault="00002F14" w:rsidP="00B41E3C">
      <w:pPr>
        <w:pStyle w:val="SingleTxtG"/>
        <w:spacing w:before="80"/>
        <w:ind w:firstLine="142"/>
        <w:rPr>
          <w:rFonts w:eastAsia="Malgun Gothic"/>
          <w:sz w:val="18"/>
          <w:szCs w:val="18"/>
          <w:lang w:val="fr-FR"/>
        </w:rPr>
      </w:pPr>
      <w:r w:rsidRPr="005668B4">
        <w:rPr>
          <w:sz w:val="18"/>
          <w:szCs w:val="18"/>
          <w:lang w:val="fr-FR"/>
        </w:rPr>
        <w:t xml:space="preserve">* Dans le tableau, </w:t>
      </w:r>
      <w:r w:rsidRPr="005668B4">
        <w:rPr>
          <w:b/>
          <w:bCs/>
          <w:i/>
          <w:iCs/>
          <w:sz w:val="18"/>
          <w:szCs w:val="18"/>
          <w:lang w:val="fr-FR"/>
        </w:rPr>
        <w:t>ETA</w:t>
      </w:r>
      <w:r w:rsidRPr="005668B4">
        <w:rPr>
          <w:sz w:val="18"/>
          <w:szCs w:val="18"/>
          <w:lang w:val="fr-FR"/>
        </w:rPr>
        <w:t xml:space="preserve"> signifie « </w:t>
      </w:r>
      <w:r w:rsidRPr="005668B4">
        <w:rPr>
          <w:i/>
          <w:iCs/>
          <w:sz w:val="18"/>
          <w:szCs w:val="18"/>
          <w:lang w:val="fr-FR"/>
        </w:rPr>
        <w:t>estimation de toxicité aiguë</w:t>
      </w:r>
      <w:r w:rsidRPr="005668B4">
        <w:rPr>
          <w:sz w:val="18"/>
          <w:szCs w:val="18"/>
          <w:lang w:val="fr-FR"/>
        </w:rPr>
        <w:t> ».</w:t>
      </w:r>
    </w:p>
    <w:p w14:paraId="40226EC4" w14:textId="77777777" w:rsidR="00002F14" w:rsidRPr="003A0DD8" w:rsidRDefault="00002F14" w:rsidP="005668B4">
      <w:pPr>
        <w:pStyle w:val="SingleTxtG"/>
        <w:keepNext/>
        <w:keepLines/>
        <w:jc w:val="left"/>
        <w:rPr>
          <w:rFonts w:eastAsia="Malgun Gothic"/>
          <w:b/>
          <w:bCs/>
          <w:lang w:val="fr-FR"/>
        </w:rPr>
      </w:pPr>
      <w:r>
        <w:rPr>
          <w:b/>
          <w:bCs/>
          <w:lang w:val="fr-FR"/>
        </w:rPr>
        <w:lastRenderedPageBreak/>
        <w:t>Tableau 2 </w:t>
      </w:r>
      <w:r w:rsidR="005668B4">
        <w:rPr>
          <w:b/>
          <w:bCs/>
          <w:lang w:val="fr-FR"/>
        </w:rPr>
        <w:br/>
      </w:r>
      <w:r>
        <w:rPr>
          <w:b/>
          <w:bCs/>
          <w:lang w:val="fr-FR"/>
        </w:rPr>
        <w:t xml:space="preserve">Critères de classement par groupe d’emballage </w:t>
      </w:r>
      <w:r>
        <w:rPr>
          <w:b/>
          <w:bCs/>
          <w:lang w:val="fr-FR"/>
        </w:rPr>
        <w:br/>
        <w:t>pour les matières toxiques dans le Règlement type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5"/>
        <w:gridCol w:w="1995"/>
        <w:gridCol w:w="1995"/>
        <w:gridCol w:w="1995"/>
      </w:tblGrid>
      <w:tr w:rsidR="00002F14" w:rsidRPr="00186BA8" w14:paraId="7D691AF5" w14:textId="77777777" w:rsidTr="00EC5888">
        <w:trPr>
          <w:trHeight w:val="319"/>
        </w:trPr>
        <w:tc>
          <w:tcPr>
            <w:tcW w:w="1385" w:type="dxa"/>
            <w:vAlign w:val="bottom"/>
          </w:tcPr>
          <w:p w14:paraId="040023BB" w14:textId="77777777" w:rsidR="00002F14" w:rsidRPr="00186BA8" w:rsidRDefault="00002F14" w:rsidP="008F303A">
            <w:pPr>
              <w:pStyle w:val="Default"/>
              <w:keepNext/>
              <w:keepLines/>
              <w:spacing w:before="80" w:after="8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 xml:space="preserve">Groupe </w:t>
            </w:r>
            <w:r w:rsidR="00EC5888">
              <w:rPr>
                <w:rFonts w:ascii="Times New Roman" w:hAnsi="Times New Roman" w:cs="Times New Roman"/>
                <w:sz w:val="16"/>
                <w:szCs w:val="16"/>
                <w:lang w:val="fr-FR"/>
              </w:rPr>
              <w:br/>
            </w:r>
            <w:r w:rsidRPr="00186BA8">
              <w:rPr>
                <w:rFonts w:ascii="Times New Roman" w:hAnsi="Times New Roman" w:cs="Times New Roman"/>
                <w:sz w:val="16"/>
                <w:szCs w:val="16"/>
                <w:lang w:val="fr-FR"/>
              </w:rPr>
              <w:t>d</w:t>
            </w:r>
            <w:r>
              <w:rPr>
                <w:rFonts w:ascii="Times New Roman" w:hAnsi="Times New Roman" w:cs="Times New Roman"/>
                <w:sz w:val="16"/>
                <w:szCs w:val="16"/>
                <w:lang w:val="fr-FR"/>
              </w:rPr>
              <w:t>’</w:t>
            </w:r>
            <w:r w:rsidRPr="00186BA8">
              <w:rPr>
                <w:rFonts w:ascii="Times New Roman" w:hAnsi="Times New Roman" w:cs="Times New Roman"/>
                <w:sz w:val="16"/>
                <w:szCs w:val="16"/>
                <w:lang w:val="fr-FR"/>
              </w:rPr>
              <w:t>emballage</w:t>
            </w:r>
          </w:p>
        </w:tc>
        <w:tc>
          <w:tcPr>
            <w:tcW w:w="1995" w:type="dxa"/>
            <w:vAlign w:val="bottom"/>
          </w:tcPr>
          <w:p w14:paraId="14677E33" w14:textId="77777777" w:rsidR="00002F14" w:rsidRPr="00186BA8" w:rsidRDefault="00002F14" w:rsidP="008F303A">
            <w:pPr>
              <w:pStyle w:val="Default"/>
              <w:keepNext/>
              <w:keepLines/>
              <w:spacing w:before="80" w:after="80"/>
              <w:ind w:left="57" w:right="57"/>
              <w:rPr>
                <w:rFonts w:ascii="Times New Roman" w:hAnsi="Times New Roman" w:cs="Times New Roman"/>
                <w:color w:val="auto"/>
                <w:sz w:val="16"/>
                <w:szCs w:val="16"/>
                <w:lang w:val="fr-FR"/>
              </w:rPr>
            </w:pPr>
            <w:r w:rsidRPr="00186BA8">
              <w:rPr>
                <w:rFonts w:ascii="Times New Roman" w:hAnsi="Times New Roman" w:cs="Times New Roman"/>
                <w:sz w:val="16"/>
                <w:szCs w:val="16"/>
                <w:lang w:val="fr-FR"/>
              </w:rPr>
              <w:t>Toxicité à l</w:t>
            </w:r>
            <w:r>
              <w:rPr>
                <w:rFonts w:ascii="Times New Roman" w:hAnsi="Times New Roman" w:cs="Times New Roman"/>
                <w:sz w:val="16"/>
                <w:szCs w:val="16"/>
                <w:lang w:val="fr-FR"/>
              </w:rPr>
              <w:t>’</w:t>
            </w:r>
            <w:r w:rsidRPr="00186BA8">
              <w:rPr>
                <w:rFonts w:ascii="Times New Roman" w:hAnsi="Times New Roman" w:cs="Times New Roman"/>
                <w:sz w:val="16"/>
                <w:szCs w:val="16"/>
                <w:lang w:val="fr-FR"/>
              </w:rPr>
              <w:t xml:space="preserve">ingestion </w:t>
            </w:r>
            <w:r w:rsidR="005668B4">
              <w:rPr>
                <w:rFonts w:ascii="Times New Roman" w:hAnsi="Times New Roman" w:cs="Times New Roman"/>
                <w:color w:val="auto"/>
                <w:sz w:val="16"/>
                <w:szCs w:val="16"/>
                <w:lang w:val="fr-FR"/>
              </w:rPr>
              <w:br/>
            </w:r>
            <w:r w:rsidRPr="00186BA8">
              <w:rPr>
                <w:rFonts w:ascii="Times New Roman" w:hAnsi="Times New Roman" w:cs="Times New Roman"/>
                <w:sz w:val="16"/>
                <w:szCs w:val="16"/>
                <w:lang w:val="fr-FR"/>
              </w:rPr>
              <w:t>DL</w:t>
            </w:r>
            <w:r w:rsidRPr="00186BA8">
              <w:rPr>
                <w:rFonts w:ascii="Times New Roman" w:hAnsi="Times New Roman" w:cs="Times New Roman"/>
                <w:sz w:val="16"/>
                <w:szCs w:val="16"/>
                <w:vertAlign w:val="subscript"/>
                <w:lang w:val="fr-FR"/>
              </w:rPr>
              <w:t>50</w:t>
            </w:r>
            <w:r w:rsidRPr="00186BA8">
              <w:rPr>
                <w:rFonts w:ascii="Times New Roman" w:hAnsi="Times New Roman" w:cs="Times New Roman"/>
                <w:sz w:val="16"/>
                <w:szCs w:val="16"/>
                <w:lang w:val="fr-FR"/>
              </w:rPr>
              <w:t xml:space="preserve"> (mg/kg)</w:t>
            </w:r>
          </w:p>
        </w:tc>
        <w:tc>
          <w:tcPr>
            <w:tcW w:w="1995" w:type="dxa"/>
            <w:vAlign w:val="bottom"/>
          </w:tcPr>
          <w:p w14:paraId="61612605" w14:textId="77777777" w:rsidR="00002F14" w:rsidRPr="00186BA8" w:rsidRDefault="00002F14" w:rsidP="008F303A">
            <w:pPr>
              <w:pStyle w:val="Default"/>
              <w:keepNext/>
              <w:keepLines/>
              <w:spacing w:before="80" w:after="80"/>
              <w:ind w:left="57" w:right="57"/>
              <w:rPr>
                <w:rFonts w:ascii="Times New Roman" w:hAnsi="Times New Roman" w:cs="Times New Roman"/>
                <w:color w:val="auto"/>
                <w:sz w:val="16"/>
                <w:szCs w:val="16"/>
                <w:lang w:val="fr-FR"/>
              </w:rPr>
            </w:pPr>
            <w:r w:rsidRPr="00186BA8">
              <w:rPr>
                <w:rFonts w:ascii="Times New Roman" w:hAnsi="Times New Roman" w:cs="Times New Roman"/>
                <w:sz w:val="16"/>
                <w:szCs w:val="16"/>
                <w:lang w:val="fr-FR"/>
              </w:rPr>
              <w:t xml:space="preserve">Toxicité à </w:t>
            </w:r>
            <w:r>
              <w:rPr>
                <w:rFonts w:ascii="Times New Roman" w:hAnsi="Times New Roman" w:cs="Times New Roman"/>
                <w:sz w:val="16"/>
                <w:szCs w:val="16"/>
                <w:lang w:val="fr-FR"/>
              </w:rPr>
              <w:br/>
            </w:r>
            <w:r w:rsidRPr="00186BA8">
              <w:rPr>
                <w:rFonts w:ascii="Times New Roman" w:hAnsi="Times New Roman" w:cs="Times New Roman"/>
                <w:sz w:val="16"/>
                <w:szCs w:val="16"/>
                <w:lang w:val="fr-FR"/>
              </w:rPr>
              <w:t>l</w:t>
            </w:r>
            <w:r>
              <w:rPr>
                <w:rFonts w:ascii="Times New Roman" w:hAnsi="Times New Roman" w:cs="Times New Roman"/>
                <w:sz w:val="16"/>
                <w:szCs w:val="16"/>
                <w:lang w:val="fr-FR"/>
              </w:rPr>
              <w:t>’</w:t>
            </w:r>
            <w:r w:rsidRPr="00186BA8">
              <w:rPr>
                <w:rFonts w:ascii="Times New Roman" w:hAnsi="Times New Roman" w:cs="Times New Roman"/>
                <w:sz w:val="16"/>
                <w:szCs w:val="16"/>
                <w:lang w:val="fr-FR"/>
              </w:rPr>
              <w:t>absorption cutanée</w:t>
            </w:r>
            <w:r w:rsidR="005668B4">
              <w:rPr>
                <w:rFonts w:ascii="Times New Roman" w:hAnsi="Times New Roman" w:cs="Times New Roman"/>
                <w:color w:val="auto"/>
                <w:sz w:val="16"/>
                <w:szCs w:val="16"/>
                <w:lang w:val="fr-FR"/>
              </w:rPr>
              <w:br/>
            </w:r>
            <w:r w:rsidRPr="00186BA8">
              <w:rPr>
                <w:rFonts w:ascii="Times New Roman" w:hAnsi="Times New Roman" w:cs="Times New Roman"/>
                <w:sz w:val="16"/>
                <w:szCs w:val="16"/>
                <w:lang w:val="fr-FR"/>
              </w:rPr>
              <w:t>DL</w:t>
            </w:r>
            <w:r w:rsidRPr="00186BA8">
              <w:rPr>
                <w:rFonts w:ascii="Times New Roman" w:hAnsi="Times New Roman" w:cs="Times New Roman"/>
                <w:sz w:val="16"/>
                <w:szCs w:val="16"/>
                <w:vertAlign w:val="subscript"/>
                <w:lang w:val="fr-FR"/>
              </w:rPr>
              <w:t>50</w:t>
            </w:r>
            <w:r w:rsidRPr="00186BA8">
              <w:rPr>
                <w:rFonts w:ascii="Times New Roman" w:hAnsi="Times New Roman" w:cs="Times New Roman"/>
                <w:sz w:val="16"/>
                <w:szCs w:val="16"/>
                <w:lang w:val="fr-FR"/>
              </w:rPr>
              <w:t xml:space="preserve"> (mg/kg)</w:t>
            </w:r>
          </w:p>
        </w:tc>
        <w:tc>
          <w:tcPr>
            <w:tcW w:w="1995" w:type="dxa"/>
            <w:vAlign w:val="bottom"/>
          </w:tcPr>
          <w:p w14:paraId="66FC7032" w14:textId="77777777" w:rsidR="00002F14" w:rsidRPr="00186BA8" w:rsidRDefault="00002F14" w:rsidP="008F303A">
            <w:pPr>
              <w:pStyle w:val="Default"/>
              <w:keepNext/>
              <w:keepLines/>
              <w:spacing w:before="80" w:after="80"/>
              <w:ind w:left="57" w:right="57"/>
              <w:rPr>
                <w:rFonts w:ascii="Times New Roman" w:hAnsi="Times New Roman" w:cs="Times New Roman"/>
                <w:color w:val="auto"/>
                <w:sz w:val="16"/>
                <w:szCs w:val="16"/>
                <w:lang w:val="fr-FR"/>
              </w:rPr>
            </w:pPr>
            <w:r w:rsidRPr="00186BA8">
              <w:rPr>
                <w:rFonts w:ascii="Times New Roman" w:hAnsi="Times New Roman" w:cs="Times New Roman"/>
                <w:sz w:val="16"/>
                <w:szCs w:val="16"/>
                <w:lang w:val="fr-FR"/>
              </w:rPr>
              <w:t>Toxicité à l</w:t>
            </w:r>
            <w:r>
              <w:rPr>
                <w:rFonts w:ascii="Times New Roman" w:hAnsi="Times New Roman" w:cs="Times New Roman"/>
                <w:sz w:val="16"/>
                <w:szCs w:val="16"/>
                <w:lang w:val="fr-FR"/>
              </w:rPr>
              <w:t>’</w:t>
            </w:r>
            <w:r w:rsidRPr="00186BA8">
              <w:rPr>
                <w:rFonts w:ascii="Times New Roman" w:hAnsi="Times New Roman" w:cs="Times New Roman"/>
                <w:sz w:val="16"/>
                <w:szCs w:val="16"/>
                <w:lang w:val="fr-FR"/>
              </w:rPr>
              <w:t xml:space="preserve">inhalation </w:t>
            </w:r>
            <w:r>
              <w:rPr>
                <w:rFonts w:ascii="Times New Roman" w:hAnsi="Times New Roman" w:cs="Times New Roman"/>
                <w:sz w:val="16"/>
                <w:szCs w:val="16"/>
                <w:lang w:val="fr-FR"/>
              </w:rPr>
              <w:br/>
            </w:r>
            <w:r w:rsidRPr="00186BA8">
              <w:rPr>
                <w:rFonts w:ascii="Times New Roman" w:hAnsi="Times New Roman" w:cs="Times New Roman"/>
                <w:sz w:val="16"/>
                <w:szCs w:val="16"/>
                <w:lang w:val="fr-FR"/>
              </w:rPr>
              <w:t>de poussières et de brouillards</w:t>
            </w:r>
            <w:r w:rsidR="005668B4">
              <w:rPr>
                <w:rFonts w:ascii="Times New Roman" w:hAnsi="Times New Roman" w:cs="Times New Roman"/>
                <w:sz w:val="16"/>
                <w:szCs w:val="16"/>
                <w:lang w:val="fr-FR"/>
              </w:rPr>
              <w:br/>
            </w:r>
            <w:r w:rsidRPr="00186BA8">
              <w:rPr>
                <w:rFonts w:ascii="Times New Roman" w:hAnsi="Times New Roman" w:cs="Times New Roman"/>
                <w:sz w:val="16"/>
                <w:szCs w:val="16"/>
                <w:lang w:val="fr-FR"/>
              </w:rPr>
              <w:t>CL</w:t>
            </w:r>
            <w:r w:rsidRPr="00186BA8">
              <w:rPr>
                <w:rFonts w:ascii="Times New Roman" w:hAnsi="Times New Roman" w:cs="Times New Roman"/>
                <w:sz w:val="16"/>
                <w:szCs w:val="16"/>
                <w:vertAlign w:val="subscript"/>
                <w:lang w:val="fr-FR"/>
              </w:rPr>
              <w:t>50</w:t>
            </w:r>
            <w:r w:rsidRPr="00186BA8">
              <w:rPr>
                <w:rFonts w:ascii="Times New Roman" w:hAnsi="Times New Roman" w:cs="Times New Roman"/>
                <w:sz w:val="16"/>
                <w:szCs w:val="16"/>
                <w:lang w:val="fr-FR"/>
              </w:rPr>
              <w:t xml:space="preserve"> (mg/l)</w:t>
            </w:r>
          </w:p>
        </w:tc>
      </w:tr>
      <w:tr w:rsidR="00002F14" w:rsidRPr="00186BA8" w14:paraId="5B838976" w14:textId="77777777" w:rsidTr="00EC5888">
        <w:trPr>
          <w:trHeight w:val="20"/>
        </w:trPr>
        <w:tc>
          <w:tcPr>
            <w:tcW w:w="1385" w:type="dxa"/>
            <w:vAlign w:val="center"/>
          </w:tcPr>
          <w:p w14:paraId="443C1F51"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Ⅰ</w:t>
            </w:r>
          </w:p>
        </w:tc>
        <w:tc>
          <w:tcPr>
            <w:tcW w:w="1995" w:type="dxa"/>
            <w:vAlign w:val="center"/>
          </w:tcPr>
          <w:p w14:paraId="518A3912"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 5,0</w:t>
            </w:r>
          </w:p>
        </w:tc>
        <w:tc>
          <w:tcPr>
            <w:tcW w:w="1995" w:type="dxa"/>
            <w:vAlign w:val="center"/>
          </w:tcPr>
          <w:p w14:paraId="3EBC4ECA"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 50</w:t>
            </w:r>
          </w:p>
        </w:tc>
        <w:tc>
          <w:tcPr>
            <w:tcW w:w="1995" w:type="dxa"/>
            <w:vAlign w:val="center"/>
          </w:tcPr>
          <w:p w14:paraId="592780C2"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 0,2</w:t>
            </w:r>
          </w:p>
        </w:tc>
      </w:tr>
      <w:tr w:rsidR="00002F14" w:rsidRPr="00186BA8" w14:paraId="4D046299" w14:textId="77777777" w:rsidTr="00EC5888">
        <w:trPr>
          <w:trHeight w:val="20"/>
        </w:trPr>
        <w:tc>
          <w:tcPr>
            <w:tcW w:w="1385" w:type="dxa"/>
            <w:vAlign w:val="center"/>
          </w:tcPr>
          <w:p w14:paraId="603D5ECA"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Ⅱ</w:t>
            </w:r>
          </w:p>
        </w:tc>
        <w:tc>
          <w:tcPr>
            <w:tcW w:w="1995" w:type="dxa"/>
            <w:vAlign w:val="center"/>
          </w:tcPr>
          <w:p w14:paraId="2D6A4CF1"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&gt; 5,0 et ≤ 50</w:t>
            </w:r>
          </w:p>
        </w:tc>
        <w:tc>
          <w:tcPr>
            <w:tcW w:w="1995" w:type="dxa"/>
            <w:vAlign w:val="center"/>
          </w:tcPr>
          <w:p w14:paraId="6216800E"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&gt; 50 et ≤ 200</w:t>
            </w:r>
          </w:p>
        </w:tc>
        <w:tc>
          <w:tcPr>
            <w:tcW w:w="1995" w:type="dxa"/>
            <w:vAlign w:val="center"/>
          </w:tcPr>
          <w:p w14:paraId="143B965E"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&gt; 0,2 et ≤ 2,0</w:t>
            </w:r>
          </w:p>
        </w:tc>
      </w:tr>
      <w:tr w:rsidR="00002F14" w:rsidRPr="00186BA8" w14:paraId="6D79DA72" w14:textId="77777777" w:rsidTr="00EC5888">
        <w:trPr>
          <w:trHeight w:val="20"/>
        </w:trPr>
        <w:tc>
          <w:tcPr>
            <w:tcW w:w="1385" w:type="dxa"/>
            <w:vAlign w:val="center"/>
          </w:tcPr>
          <w:p w14:paraId="3C47683D"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Ⅲ</w:t>
            </w:r>
          </w:p>
        </w:tc>
        <w:tc>
          <w:tcPr>
            <w:tcW w:w="1995" w:type="dxa"/>
            <w:vAlign w:val="center"/>
          </w:tcPr>
          <w:p w14:paraId="1A76D224"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&gt; 50 et ≤ 300</w:t>
            </w:r>
          </w:p>
        </w:tc>
        <w:tc>
          <w:tcPr>
            <w:tcW w:w="1995" w:type="dxa"/>
            <w:vAlign w:val="center"/>
          </w:tcPr>
          <w:p w14:paraId="5B686AB8"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&gt; 200 et ≤ 1 000</w:t>
            </w:r>
          </w:p>
        </w:tc>
        <w:tc>
          <w:tcPr>
            <w:tcW w:w="1995" w:type="dxa"/>
            <w:vAlign w:val="center"/>
          </w:tcPr>
          <w:p w14:paraId="4FD30529" w14:textId="77777777" w:rsidR="00002F14" w:rsidRPr="00186BA8" w:rsidRDefault="00002F14" w:rsidP="008F303A">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&gt; 2,0 et ≤ 4,0</w:t>
            </w:r>
          </w:p>
        </w:tc>
      </w:tr>
    </w:tbl>
    <w:p w14:paraId="76BE3E79" w14:textId="77777777" w:rsidR="00002F14" w:rsidRPr="003A0DD8" w:rsidRDefault="00002F14" w:rsidP="00002F14">
      <w:pPr>
        <w:pStyle w:val="SingleTxtG"/>
        <w:spacing w:before="240"/>
        <w:rPr>
          <w:rFonts w:eastAsia="Malgun Gothic"/>
          <w:lang w:val="fr-FR"/>
        </w:rPr>
      </w:pPr>
      <w:r>
        <w:rPr>
          <w:lang w:val="fr-FR"/>
        </w:rPr>
        <w:t>8.</w:t>
      </w:r>
      <w:r>
        <w:rPr>
          <w:lang w:val="fr-FR"/>
        </w:rPr>
        <w:tab/>
        <w:t xml:space="preserve">Les matières qui, d’après les profils de risque du GESAMP, remplissent les critères correspondant à une note égale ou supérieure à 2 dans les colonnes C1 et C2 du tableau 1 et qui ne sont pas classées dans la division 6.1 du Règlement </w:t>
      </w:r>
      <w:r w:rsidRPr="005668B4">
        <w:rPr>
          <w:lang w:val="fr-FR"/>
        </w:rPr>
        <w:t>type pourraient être considérées</w:t>
      </w:r>
      <w:r>
        <w:rPr>
          <w:lang w:val="fr-FR"/>
        </w:rPr>
        <w:t xml:space="preserve"> comme des matières toxiques selon les critères du paragraphe 2.6.2.2.4.1 du Règlement type, comme le montre le tableau 3 ci-dessous.</w:t>
      </w:r>
    </w:p>
    <w:p w14:paraId="7B6F99EB" w14:textId="77777777" w:rsidR="00002F14" w:rsidRPr="003A0DD8" w:rsidRDefault="00002F14" w:rsidP="005668B4">
      <w:pPr>
        <w:pStyle w:val="SingleTxtG"/>
        <w:keepNext/>
        <w:keepLines/>
        <w:jc w:val="left"/>
        <w:rPr>
          <w:rFonts w:eastAsia="Malgun Gothic"/>
          <w:b/>
          <w:bCs/>
          <w:lang w:val="fr-FR"/>
        </w:rPr>
      </w:pPr>
      <w:r>
        <w:rPr>
          <w:b/>
          <w:bCs/>
          <w:lang w:val="fr-FR"/>
        </w:rPr>
        <w:t>Tableau 3 </w:t>
      </w:r>
      <w:r w:rsidR="005668B4">
        <w:rPr>
          <w:b/>
          <w:bCs/>
          <w:lang w:val="fr-FR"/>
        </w:rPr>
        <w:br/>
      </w:r>
      <w:r>
        <w:rPr>
          <w:b/>
          <w:bCs/>
          <w:lang w:val="fr-FR"/>
        </w:rPr>
        <w:t xml:space="preserve">Comparaison des critères de classement par groupe des matières toxiques </w:t>
      </w:r>
      <w:r w:rsidR="005668B4">
        <w:rPr>
          <w:b/>
          <w:bCs/>
          <w:lang w:val="fr-FR"/>
        </w:rPr>
        <w:br/>
      </w:r>
      <w:r>
        <w:rPr>
          <w:b/>
          <w:bCs/>
          <w:lang w:val="fr-FR"/>
        </w:rPr>
        <w:t xml:space="preserve">dans la procédure d’évaluation des risques du GESAMP </w:t>
      </w:r>
      <w:r w:rsidR="005668B4">
        <w:rPr>
          <w:b/>
          <w:bCs/>
          <w:lang w:val="fr-FR"/>
        </w:rPr>
        <w:br/>
      </w:r>
      <w:r>
        <w:rPr>
          <w:b/>
          <w:bCs/>
          <w:lang w:val="fr-FR"/>
        </w:rPr>
        <w:t>et dans le Règlement type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7"/>
        <w:gridCol w:w="1998"/>
        <w:gridCol w:w="1998"/>
        <w:gridCol w:w="1998"/>
      </w:tblGrid>
      <w:tr w:rsidR="00002F14" w:rsidRPr="00650047" w14:paraId="261E3E63" w14:textId="77777777" w:rsidTr="00EC5888">
        <w:trPr>
          <w:trHeight w:val="533"/>
        </w:trPr>
        <w:tc>
          <w:tcPr>
            <w:tcW w:w="1377" w:type="dxa"/>
            <w:shd w:val="clear" w:color="auto" w:fill="auto"/>
            <w:vAlign w:val="bottom"/>
          </w:tcPr>
          <w:p w14:paraId="0370D738" w14:textId="77777777" w:rsidR="00002F14" w:rsidRPr="00186BA8" w:rsidRDefault="00002F14" w:rsidP="00B41E3C">
            <w:pPr>
              <w:pStyle w:val="Default"/>
              <w:keepNext/>
              <w:keepLines/>
              <w:spacing w:before="80" w:after="80"/>
              <w:ind w:left="57" w:right="57"/>
              <w:jc w:val="center"/>
              <w:rPr>
                <w:rFonts w:ascii="Times New Roman" w:hAnsi="Times New Roman" w:cs="Times New Roman"/>
                <w:b/>
                <w:color w:val="auto"/>
                <w:sz w:val="16"/>
                <w:szCs w:val="16"/>
              </w:rPr>
            </w:pPr>
            <w:r w:rsidRPr="00186BA8">
              <w:rPr>
                <w:rFonts w:ascii="Times New Roman" w:hAnsi="Times New Roman" w:cs="Times New Roman"/>
                <w:b/>
                <w:bCs/>
                <w:sz w:val="16"/>
                <w:szCs w:val="16"/>
                <w:lang w:val="fr-FR"/>
              </w:rPr>
              <w:t>Règlement type</w:t>
            </w:r>
          </w:p>
        </w:tc>
        <w:tc>
          <w:tcPr>
            <w:tcW w:w="1998" w:type="dxa"/>
            <w:vMerge w:val="restart"/>
            <w:shd w:val="clear" w:color="auto" w:fill="auto"/>
            <w:vAlign w:val="bottom"/>
          </w:tcPr>
          <w:p w14:paraId="1AFD22CA" w14:textId="77777777" w:rsidR="00002F14" w:rsidRPr="00363665" w:rsidRDefault="00002F14" w:rsidP="00B41E3C">
            <w:pPr>
              <w:pStyle w:val="Default"/>
              <w:keepNext/>
              <w:keepLines/>
              <w:spacing w:before="80" w:after="80"/>
              <w:ind w:left="57" w:right="57"/>
              <w:rPr>
                <w:rFonts w:ascii="Times New Roman" w:hAnsi="Times New Roman" w:cs="Times New Roman"/>
                <w:b/>
                <w:bCs/>
                <w:color w:val="auto"/>
                <w:sz w:val="16"/>
                <w:szCs w:val="16"/>
                <w:lang w:val="fr-FR"/>
              </w:rPr>
            </w:pPr>
            <w:r w:rsidRPr="00186BA8">
              <w:rPr>
                <w:rFonts w:ascii="Times New Roman" w:hAnsi="Times New Roman" w:cs="Times New Roman"/>
                <w:b/>
                <w:bCs/>
                <w:sz w:val="16"/>
                <w:szCs w:val="16"/>
                <w:lang w:val="fr-FR"/>
              </w:rPr>
              <w:t>Toxicité à l</w:t>
            </w:r>
            <w:r>
              <w:rPr>
                <w:rFonts w:ascii="Times New Roman" w:hAnsi="Times New Roman" w:cs="Times New Roman"/>
                <w:b/>
                <w:bCs/>
                <w:sz w:val="16"/>
                <w:szCs w:val="16"/>
                <w:lang w:val="fr-FR"/>
              </w:rPr>
              <w:t>’</w:t>
            </w:r>
            <w:r w:rsidRPr="00186BA8">
              <w:rPr>
                <w:rFonts w:ascii="Times New Roman" w:hAnsi="Times New Roman" w:cs="Times New Roman"/>
                <w:b/>
                <w:bCs/>
                <w:sz w:val="16"/>
                <w:szCs w:val="16"/>
                <w:lang w:val="fr-FR"/>
              </w:rPr>
              <w:t>ingestion</w:t>
            </w:r>
            <w:r w:rsidR="005668B4">
              <w:rPr>
                <w:rFonts w:ascii="Times New Roman" w:hAnsi="Times New Roman" w:cs="Times New Roman"/>
                <w:b/>
                <w:color w:val="auto"/>
                <w:sz w:val="16"/>
                <w:szCs w:val="16"/>
                <w:lang w:val="fr-FR"/>
              </w:rPr>
              <w:br/>
            </w:r>
            <w:r w:rsidRPr="00363665">
              <w:rPr>
                <w:rFonts w:ascii="Times New Roman" w:hAnsi="Times New Roman" w:cs="Times New Roman"/>
                <w:b/>
                <w:bCs/>
                <w:sz w:val="16"/>
                <w:szCs w:val="16"/>
                <w:lang w:val="fr-FR"/>
              </w:rPr>
              <w:t>DL</w:t>
            </w:r>
            <w:r w:rsidRPr="00363665">
              <w:rPr>
                <w:rFonts w:ascii="Times New Roman" w:hAnsi="Times New Roman" w:cs="Times New Roman"/>
                <w:b/>
                <w:bCs/>
                <w:sz w:val="16"/>
                <w:szCs w:val="16"/>
                <w:vertAlign w:val="subscript"/>
                <w:lang w:val="fr-FR"/>
              </w:rPr>
              <w:t>50</w:t>
            </w:r>
            <w:r w:rsidRPr="00363665">
              <w:rPr>
                <w:rFonts w:ascii="Times New Roman" w:hAnsi="Times New Roman" w:cs="Times New Roman"/>
                <w:b/>
                <w:bCs/>
                <w:sz w:val="16"/>
                <w:szCs w:val="16"/>
                <w:lang w:val="fr-FR"/>
              </w:rPr>
              <w:t xml:space="preserve"> (mg/kg)</w:t>
            </w:r>
          </w:p>
        </w:tc>
        <w:tc>
          <w:tcPr>
            <w:tcW w:w="1998" w:type="dxa"/>
            <w:vMerge w:val="restart"/>
            <w:shd w:val="clear" w:color="auto" w:fill="auto"/>
            <w:vAlign w:val="bottom"/>
          </w:tcPr>
          <w:p w14:paraId="7C2C4FA2" w14:textId="77777777" w:rsidR="00002F14" w:rsidRPr="00186BA8" w:rsidRDefault="00002F14" w:rsidP="00B41E3C">
            <w:pPr>
              <w:pStyle w:val="Default"/>
              <w:keepNext/>
              <w:keepLines/>
              <w:spacing w:before="80" w:after="80"/>
              <w:ind w:left="57" w:right="57"/>
              <w:rPr>
                <w:rFonts w:ascii="Times New Roman" w:hAnsi="Times New Roman" w:cs="Times New Roman"/>
                <w:b/>
                <w:color w:val="auto"/>
                <w:sz w:val="16"/>
                <w:szCs w:val="16"/>
                <w:lang w:val="fr-FR"/>
              </w:rPr>
            </w:pPr>
            <w:r w:rsidRPr="00186BA8">
              <w:rPr>
                <w:rFonts w:ascii="Times New Roman" w:hAnsi="Times New Roman" w:cs="Times New Roman"/>
                <w:b/>
                <w:bCs/>
                <w:sz w:val="16"/>
                <w:szCs w:val="16"/>
                <w:lang w:val="fr-FR"/>
              </w:rPr>
              <w:t>Toxicité à l</w:t>
            </w:r>
            <w:r>
              <w:rPr>
                <w:rFonts w:ascii="Times New Roman" w:hAnsi="Times New Roman" w:cs="Times New Roman"/>
                <w:b/>
                <w:bCs/>
                <w:sz w:val="16"/>
                <w:szCs w:val="16"/>
                <w:lang w:val="fr-FR"/>
              </w:rPr>
              <w:t>’</w:t>
            </w:r>
            <w:r w:rsidRPr="00186BA8">
              <w:rPr>
                <w:rFonts w:ascii="Times New Roman" w:hAnsi="Times New Roman" w:cs="Times New Roman"/>
                <w:b/>
                <w:bCs/>
                <w:sz w:val="16"/>
                <w:szCs w:val="16"/>
                <w:lang w:val="fr-FR"/>
              </w:rPr>
              <w:t>absorption cutanée</w:t>
            </w:r>
            <w:r w:rsidR="005668B4">
              <w:rPr>
                <w:rFonts w:ascii="Times New Roman" w:hAnsi="Times New Roman" w:cs="Times New Roman"/>
                <w:b/>
                <w:color w:val="auto"/>
                <w:sz w:val="16"/>
                <w:szCs w:val="16"/>
                <w:lang w:val="fr-FR"/>
              </w:rPr>
              <w:br/>
            </w:r>
            <w:r w:rsidRPr="00186BA8">
              <w:rPr>
                <w:rFonts w:ascii="Times New Roman" w:hAnsi="Times New Roman" w:cs="Times New Roman"/>
                <w:b/>
                <w:bCs/>
                <w:sz w:val="16"/>
                <w:szCs w:val="16"/>
                <w:lang w:val="fr-FR"/>
              </w:rPr>
              <w:t>DL</w:t>
            </w:r>
            <w:r w:rsidRPr="00186BA8">
              <w:rPr>
                <w:rFonts w:ascii="Times New Roman" w:hAnsi="Times New Roman" w:cs="Times New Roman"/>
                <w:b/>
                <w:bCs/>
                <w:sz w:val="16"/>
                <w:szCs w:val="16"/>
                <w:vertAlign w:val="subscript"/>
                <w:lang w:val="fr-FR"/>
              </w:rPr>
              <w:t>50</w:t>
            </w:r>
            <w:r w:rsidRPr="00186BA8">
              <w:rPr>
                <w:rFonts w:ascii="Times New Roman" w:hAnsi="Times New Roman" w:cs="Times New Roman"/>
                <w:b/>
                <w:bCs/>
                <w:sz w:val="16"/>
                <w:szCs w:val="16"/>
                <w:lang w:val="fr-FR"/>
              </w:rPr>
              <w:t xml:space="preserve"> (mg/kg)</w:t>
            </w:r>
          </w:p>
        </w:tc>
        <w:tc>
          <w:tcPr>
            <w:tcW w:w="1998" w:type="dxa"/>
            <w:shd w:val="clear" w:color="auto" w:fill="auto"/>
            <w:vAlign w:val="bottom"/>
          </w:tcPr>
          <w:p w14:paraId="4AF7F928" w14:textId="77777777" w:rsidR="00002F14" w:rsidRPr="00186BA8" w:rsidRDefault="00002F14" w:rsidP="00B41E3C">
            <w:pPr>
              <w:pStyle w:val="Default"/>
              <w:keepNext/>
              <w:keepLines/>
              <w:spacing w:before="80" w:after="80"/>
              <w:ind w:left="57" w:right="57"/>
              <w:jc w:val="center"/>
              <w:rPr>
                <w:rFonts w:ascii="Times New Roman" w:hAnsi="Times New Roman" w:cs="Times New Roman"/>
                <w:b/>
                <w:color w:val="auto"/>
                <w:sz w:val="16"/>
                <w:szCs w:val="16"/>
                <w:lang w:val="fr-FR"/>
              </w:rPr>
            </w:pPr>
            <w:r w:rsidRPr="00186BA8">
              <w:rPr>
                <w:rFonts w:ascii="Times New Roman" w:hAnsi="Times New Roman" w:cs="Times New Roman"/>
                <w:b/>
                <w:bCs/>
                <w:sz w:val="16"/>
                <w:szCs w:val="16"/>
                <w:lang w:val="fr-FR"/>
              </w:rPr>
              <w:t xml:space="preserve">Profils de risque </w:t>
            </w:r>
            <w:r w:rsidR="005668B4">
              <w:rPr>
                <w:rFonts w:ascii="Times New Roman" w:hAnsi="Times New Roman" w:cs="Times New Roman"/>
                <w:b/>
                <w:bCs/>
                <w:sz w:val="16"/>
                <w:szCs w:val="16"/>
                <w:lang w:val="fr-FR"/>
              </w:rPr>
              <w:br/>
            </w:r>
            <w:r w:rsidRPr="00186BA8">
              <w:rPr>
                <w:rFonts w:ascii="Times New Roman" w:hAnsi="Times New Roman" w:cs="Times New Roman"/>
                <w:b/>
                <w:bCs/>
                <w:sz w:val="16"/>
                <w:szCs w:val="16"/>
                <w:lang w:val="fr-FR"/>
              </w:rPr>
              <w:t>du</w:t>
            </w:r>
            <w:r w:rsidR="005668B4">
              <w:rPr>
                <w:rFonts w:ascii="Times New Roman" w:hAnsi="Times New Roman" w:cs="Times New Roman"/>
                <w:b/>
                <w:bCs/>
                <w:sz w:val="16"/>
                <w:szCs w:val="16"/>
                <w:lang w:val="fr-FR"/>
              </w:rPr>
              <w:t> </w:t>
            </w:r>
            <w:r w:rsidRPr="00186BA8">
              <w:rPr>
                <w:rFonts w:ascii="Times New Roman" w:hAnsi="Times New Roman" w:cs="Times New Roman"/>
                <w:b/>
                <w:bCs/>
                <w:sz w:val="16"/>
                <w:szCs w:val="16"/>
                <w:lang w:val="fr-FR"/>
              </w:rPr>
              <w:t>GESAMP</w:t>
            </w:r>
          </w:p>
        </w:tc>
      </w:tr>
      <w:tr w:rsidR="00002F14" w:rsidRPr="00186BA8" w14:paraId="7C2F7E8E" w14:textId="77777777" w:rsidTr="00EC5888">
        <w:trPr>
          <w:trHeight w:val="58"/>
        </w:trPr>
        <w:tc>
          <w:tcPr>
            <w:tcW w:w="1377" w:type="dxa"/>
            <w:shd w:val="clear" w:color="auto" w:fill="auto"/>
            <w:vAlign w:val="bottom"/>
          </w:tcPr>
          <w:p w14:paraId="714C210C" w14:textId="77777777" w:rsidR="00002F14" w:rsidRPr="00186BA8" w:rsidRDefault="00002F14" w:rsidP="00B41E3C">
            <w:pPr>
              <w:pStyle w:val="Default"/>
              <w:keepNext/>
              <w:keepLines/>
              <w:spacing w:before="80" w:after="80"/>
              <w:ind w:left="57" w:right="57"/>
              <w:rPr>
                <w:rFonts w:ascii="Times New Roman" w:hAnsi="Times New Roman" w:cs="Times New Roman"/>
                <w:b/>
                <w:color w:val="auto"/>
                <w:sz w:val="16"/>
                <w:szCs w:val="16"/>
              </w:rPr>
            </w:pPr>
            <w:r w:rsidRPr="00186BA8">
              <w:rPr>
                <w:rFonts w:ascii="Times New Roman" w:hAnsi="Times New Roman" w:cs="Times New Roman"/>
                <w:b/>
                <w:bCs/>
                <w:sz w:val="16"/>
                <w:szCs w:val="16"/>
                <w:lang w:val="fr-FR"/>
              </w:rPr>
              <w:t>Groupe d</w:t>
            </w:r>
            <w:r>
              <w:rPr>
                <w:rFonts w:ascii="Times New Roman" w:hAnsi="Times New Roman" w:cs="Times New Roman"/>
                <w:b/>
                <w:bCs/>
                <w:sz w:val="16"/>
                <w:szCs w:val="16"/>
                <w:lang w:val="fr-FR"/>
              </w:rPr>
              <w:t>’</w:t>
            </w:r>
            <w:r w:rsidRPr="00186BA8">
              <w:rPr>
                <w:rFonts w:ascii="Times New Roman" w:hAnsi="Times New Roman" w:cs="Times New Roman"/>
                <w:b/>
                <w:bCs/>
                <w:sz w:val="16"/>
                <w:szCs w:val="16"/>
                <w:lang w:val="fr-FR"/>
              </w:rPr>
              <w:t>emballage</w:t>
            </w:r>
          </w:p>
        </w:tc>
        <w:tc>
          <w:tcPr>
            <w:tcW w:w="1998" w:type="dxa"/>
            <w:vMerge/>
            <w:shd w:val="clear" w:color="auto" w:fill="auto"/>
            <w:vAlign w:val="bottom"/>
          </w:tcPr>
          <w:p w14:paraId="109CB556" w14:textId="77777777" w:rsidR="00002F14" w:rsidRPr="00186BA8" w:rsidRDefault="00002F14" w:rsidP="00B41E3C">
            <w:pPr>
              <w:pStyle w:val="Default"/>
              <w:keepNext/>
              <w:keepLines/>
              <w:spacing w:before="80" w:after="80"/>
              <w:ind w:left="57" w:right="57"/>
              <w:rPr>
                <w:rFonts w:ascii="Times New Roman" w:hAnsi="Times New Roman" w:cs="Times New Roman"/>
                <w:b/>
                <w:color w:val="auto"/>
                <w:sz w:val="16"/>
                <w:szCs w:val="16"/>
              </w:rPr>
            </w:pPr>
          </w:p>
        </w:tc>
        <w:tc>
          <w:tcPr>
            <w:tcW w:w="1998" w:type="dxa"/>
            <w:vMerge/>
            <w:shd w:val="clear" w:color="auto" w:fill="auto"/>
            <w:vAlign w:val="bottom"/>
          </w:tcPr>
          <w:p w14:paraId="66E54DFA" w14:textId="77777777" w:rsidR="00002F14" w:rsidRPr="00186BA8" w:rsidRDefault="00002F14" w:rsidP="00B41E3C">
            <w:pPr>
              <w:pStyle w:val="Default"/>
              <w:keepNext/>
              <w:keepLines/>
              <w:spacing w:before="80" w:after="80"/>
              <w:ind w:left="57" w:right="57"/>
              <w:rPr>
                <w:rFonts w:ascii="Times New Roman" w:hAnsi="Times New Roman" w:cs="Times New Roman"/>
                <w:b/>
                <w:color w:val="auto"/>
                <w:sz w:val="16"/>
                <w:szCs w:val="16"/>
              </w:rPr>
            </w:pPr>
          </w:p>
        </w:tc>
        <w:tc>
          <w:tcPr>
            <w:tcW w:w="1998" w:type="dxa"/>
            <w:shd w:val="clear" w:color="auto" w:fill="auto"/>
            <w:vAlign w:val="bottom"/>
          </w:tcPr>
          <w:p w14:paraId="05ED5055" w14:textId="77777777" w:rsidR="00002F14" w:rsidRPr="00186BA8" w:rsidRDefault="00002F14" w:rsidP="00B41E3C">
            <w:pPr>
              <w:pStyle w:val="Default"/>
              <w:keepNext/>
              <w:keepLines/>
              <w:spacing w:before="80" w:after="80"/>
              <w:ind w:left="57" w:right="57"/>
              <w:rPr>
                <w:rFonts w:ascii="Times New Roman" w:hAnsi="Times New Roman" w:cs="Times New Roman"/>
                <w:b/>
                <w:color w:val="auto"/>
                <w:sz w:val="16"/>
                <w:szCs w:val="16"/>
              </w:rPr>
            </w:pPr>
            <w:r>
              <w:rPr>
                <w:rFonts w:ascii="Times New Roman" w:hAnsi="Times New Roman" w:cs="Times New Roman"/>
                <w:b/>
                <w:bCs/>
                <w:sz w:val="16"/>
                <w:szCs w:val="16"/>
                <w:lang w:val="fr-FR"/>
              </w:rPr>
              <w:t xml:space="preserve">Classement </w:t>
            </w:r>
            <w:r w:rsidR="00B41E3C">
              <w:rPr>
                <w:rFonts w:ascii="Times New Roman" w:hAnsi="Times New Roman" w:cs="Times New Roman"/>
                <w:b/>
                <w:bCs/>
                <w:sz w:val="16"/>
                <w:szCs w:val="16"/>
                <w:lang w:val="fr-FR"/>
              </w:rPr>
              <w:br/>
            </w:r>
            <w:r>
              <w:rPr>
                <w:rFonts w:ascii="Times New Roman" w:hAnsi="Times New Roman" w:cs="Times New Roman"/>
                <w:b/>
                <w:bCs/>
                <w:sz w:val="16"/>
                <w:szCs w:val="16"/>
                <w:lang w:val="fr-FR"/>
              </w:rPr>
              <w:t>numérique</w:t>
            </w:r>
          </w:p>
        </w:tc>
      </w:tr>
      <w:tr w:rsidR="00002F14" w:rsidRPr="00186BA8" w14:paraId="4D74F7E7" w14:textId="77777777" w:rsidTr="00EC5888">
        <w:trPr>
          <w:trHeight w:val="20"/>
        </w:trPr>
        <w:tc>
          <w:tcPr>
            <w:tcW w:w="1377" w:type="dxa"/>
            <w:vAlign w:val="center"/>
          </w:tcPr>
          <w:p w14:paraId="4516F7D6" w14:textId="77777777" w:rsidR="00002F14" w:rsidRPr="00186BA8" w:rsidRDefault="00002F14" w:rsidP="00B41E3C">
            <w:pPr>
              <w:pStyle w:val="Default"/>
              <w:keepNext/>
              <w:keepLines/>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Ⅰ</w:t>
            </w:r>
          </w:p>
        </w:tc>
        <w:tc>
          <w:tcPr>
            <w:tcW w:w="1998" w:type="dxa"/>
            <w:vAlign w:val="center"/>
          </w:tcPr>
          <w:p w14:paraId="1D2E9619" w14:textId="77777777" w:rsidR="00002F14" w:rsidRPr="00186BA8" w:rsidRDefault="00002F14" w:rsidP="00B41E3C">
            <w:pPr>
              <w:pStyle w:val="Default"/>
              <w:keepNext/>
              <w:keepLines/>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 5,0</w:t>
            </w:r>
          </w:p>
        </w:tc>
        <w:tc>
          <w:tcPr>
            <w:tcW w:w="1998" w:type="dxa"/>
            <w:vAlign w:val="center"/>
          </w:tcPr>
          <w:p w14:paraId="1F411041" w14:textId="77777777" w:rsidR="00002F14" w:rsidRPr="00186BA8" w:rsidRDefault="00002F14" w:rsidP="00B41E3C">
            <w:pPr>
              <w:pStyle w:val="Default"/>
              <w:keepNext/>
              <w:keepLines/>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 50</w:t>
            </w:r>
          </w:p>
        </w:tc>
        <w:tc>
          <w:tcPr>
            <w:tcW w:w="1998" w:type="dxa"/>
            <w:shd w:val="clear" w:color="auto" w:fill="FFFFFF"/>
            <w:vAlign w:val="center"/>
          </w:tcPr>
          <w:p w14:paraId="1E1958EB" w14:textId="77777777" w:rsidR="00002F14" w:rsidRPr="00186BA8" w:rsidRDefault="00002F14" w:rsidP="00B41E3C">
            <w:pPr>
              <w:pStyle w:val="Default"/>
              <w:keepNext/>
              <w:keepLines/>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4</w:t>
            </w:r>
          </w:p>
        </w:tc>
      </w:tr>
      <w:tr w:rsidR="00002F14" w:rsidRPr="00186BA8" w14:paraId="29E9A48E" w14:textId="77777777" w:rsidTr="00EC5888">
        <w:trPr>
          <w:trHeight w:val="20"/>
        </w:trPr>
        <w:tc>
          <w:tcPr>
            <w:tcW w:w="1377" w:type="dxa"/>
            <w:vAlign w:val="center"/>
          </w:tcPr>
          <w:p w14:paraId="1B572C2A" w14:textId="77777777" w:rsidR="00002F14" w:rsidRPr="00186BA8" w:rsidRDefault="00002F14" w:rsidP="00B41E3C">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Ⅱ</w:t>
            </w:r>
          </w:p>
        </w:tc>
        <w:tc>
          <w:tcPr>
            <w:tcW w:w="1998" w:type="dxa"/>
            <w:vAlign w:val="center"/>
          </w:tcPr>
          <w:p w14:paraId="7A461987" w14:textId="77777777" w:rsidR="00002F14" w:rsidRPr="00186BA8" w:rsidRDefault="00002F14" w:rsidP="00B41E3C">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&gt; 5,0 et ≤ 50</w:t>
            </w:r>
          </w:p>
        </w:tc>
        <w:tc>
          <w:tcPr>
            <w:tcW w:w="1998" w:type="dxa"/>
            <w:vAlign w:val="center"/>
          </w:tcPr>
          <w:p w14:paraId="6E4E3AD0" w14:textId="77777777" w:rsidR="00002F14" w:rsidRPr="00186BA8" w:rsidRDefault="00002F14" w:rsidP="00B41E3C">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&gt; 50 et ≤ 200</w:t>
            </w:r>
          </w:p>
        </w:tc>
        <w:tc>
          <w:tcPr>
            <w:tcW w:w="1998" w:type="dxa"/>
            <w:shd w:val="clear" w:color="auto" w:fill="FFFFFF"/>
            <w:vAlign w:val="center"/>
          </w:tcPr>
          <w:p w14:paraId="4A33379F" w14:textId="77777777" w:rsidR="00002F14" w:rsidRPr="00186BA8" w:rsidRDefault="00002F14" w:rsidP="00B41E3C">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3</w:t>
            </w:r>
          </w:p>
        </w:tc>
      </w:tr>
      <w:tr w:rsidR="00002F14" w:rsidRPr="00186BA8" w14:paraId="2F9806A1" w14:textId="77777777" w:rsidTr="00EC5888">
        <w:trPr>
          <w:trHeight w:val="20"/>
        </w:trPr>
        <w:tc>
          <w:tcPr>
            <w:tcW w:w="1377" w:type="dxa"/>
            <w:vAlign w:val="center"/>
          </w:tcPr>
          <w:p w14:paraId="035AB49B" w14:textId="77777777" w:rsidR="00002F14" w:rsidRPr="00186BA8" w:rsidRDefault="00002F14" w:rsidP="00B41E3C">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Ⅲ</w:t>
            </w:r>
          </w:p>
        </w:tc>
        <w:tc>
          <w:tcPr>
            <w:tcW w:w="1998" w:type="dxa"/>
            <w:vAlign w:val="center"/>
          </w:tcPr>
          <w:p w14:paraId="49CF49B1" w14:textId="77777777" w:rsidR="00002F14" w:rsidRPr="00186BA8" w:rsidRDefault="00002F14" w:rsidP="00B41E3C">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&gt; 50 et ≤ 300</w:t>
            </w:r>
          </w:p>
        </w:tc>
        <w:tc>
          <w:tcPr>
            <w:tcW w:w="1998" w:type="dxa"/>
            <w:vAlign w:val="center"/>
          </w:tcPr>
          <w:p w14:paraId="304AEBA9" w14:textId="77777777" w:rsidR="00002F14" w:rsidRPr="00186BA8" w:rsidRDefault="00002F14" w:rsidP="00B41E3C">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&gt; 200 et ≤ 1 000</w:t>
            </w:r>
          </w:p>
        </w:tc>
        <w:tc>
          <w:tcPr>
            <w:tcW w:w="1998" w:type="dxa"/>
            <w:shd w:val="clear" w:color="auto" w:fill="FFFFFF"/>
            <w:vAlign w:val="center"/>
          </w:tcPr>
          <w:p w14:paraId="453F7C80" w14:textId="77777777" w:rsidR="00002F14" w:rsidRPr="00186BA8" w:rsidRDefault="00002F14" w:rsidP="00B41E3C">
            <w:pPr>
              <w:pStyle w:val="Default"/>
              <w:spacing w:before="60" w:after="60"/>
              <w:ind w:left="57" w:right="57"/>
              <w:rPr>
                <w:rFonts w:ascii="Times New Roman" w:hAnsi="Times New Roman" w:cs="Times New Roman"/>
                <w:color w:val="auto"/>
                <w:sz w:val="16"/>
                <w:szCs w:val="16"/>
              </w:rPr>
            </w:pPr>
            <w:r w:rsidRPr="00186BA8">
              <w:rPr>
                <w:rFonts w:ascii="Times New Roman" w:hAnsi="Times New Roman" w:cs="Times New Roman"/>
                <w:sz w:val="16"/>
                <w:szCs w:val="16"/>
                <w:lang w:val="fr-FR"/>
              </w:rPr>
              <w:t>2</w:t>
            </w:r>
          </w:p>
        </w:tc>
      </w:tr>
    </w:tbl>
    <w:p w14:paraId="764316F1" w14:textId="77777777" w:rsidR="00002F14" w:rsidRPr="003A0DD8" w:rsidRDefault="00002F14" w:rsidP="005668B4">
      <w:pPr>
        <w:pStyle w:val="SingleTxtG"/>
        <w:spacing w:before="240"/>
        <w:rPr>
          <w:rFonts w:eastAsia="Malgun Gothic"/>
          <w:lang w:val="fr-FR"/>
        </w:rPr>
      </w:pPr>
      <w:r>
        <w:rPr>
          <w:lang w:val="fr-FR"/>
        </w:rPr>
        <w:t>9.</w:t>
      </w:r>
      <w:r>
        <w:rPr>
          <w:lang w:val="fr-FR"/>
        </w:rPr>
        <w:tab/>
        <w:t>La République de Corée estime que la classe de danger d’une matière selon le Règlement type a d’importantes répercussions sur la sécurité du transport et que les informations sur les dangers devraient donc être indiquées en tenant compte des données les plus récentes et les plus fiables.</w:t>
      </w:r>
    </w:p>
    <w:p w14:paraId="06D40E32" w14:textId="77777777" w:rsidR="00002F14" w:rsidRPr="003A0DD8" w:rsidRDefault="00002F14" w:rsidP="005668B4">
      <w:pPr>
        <w:pStyle w:val="SingleTxtG"/>
        <w:rPr>
          <w:rFonts w:eastAsia="Malgun Gothic"/>
          <w:lang w:val="fr-FR"/>
        </w:rPr>
      </w:pPr>
      <w:r>
        <w:rPr>
          <w:lang w:val="fr-FR"/>
        </w:rPr>
        <w:t>10.</w:t>
      </w:r>
      <w:r>
        <w:rPr>
          <w:lang w:val="fr-FR"/>
        </w:rPr>
        <w:tab/>
        <w:t>Une comparaison entre la liste des marchandises dangereuses et les profils de risque du GESAMP a permis de déterminer que, parmi les matières pour lesquelles les données toxicologiques figurant dans le profil de risque du GESAMP étaient différentes des informations sur les dangers inscrites dans le Règlement type, trois matières présentaient une toxicité ou un danger reconnu, confirmés par un certain nombre de résultats d’essais. Ces trois matières sont présentées dans le tableau 4 ci-dessous.</w:t>
      </w:r>
    </w:p>
    <w:p w14:paraId="10314459" w14:textId="77777777" w:rsidR="00002F14" w:rsidRPr="003A0DD8" w:rsidRDefault="005668B4" w:rsidP="005668B4">
      <w:pPr>
        <w:pStyle w:val="H23G"/>
        <w:rPr>
          <w:rFonts w:eastAsia="Malgun Gothic"/>
          <w:lang w:val="fr-FR"/>
        </w:rPr>
      </w:pPr>
      <w:r>
        <w:rPr>
          <w:lang w:val="fr-FR"/>
        </w:rPr>
        <w:tab/>
      </w:r>
      <w:r>
        <w:rPr>
          <w:lang w:val="fr-FR"/>
        </w:rPr>
        <w:tab/>
      </w:r>
      <w:r w:rsidR="00002F14">
        <w:rPr>
          <w:lang w:val="fr-FR"/>
        </w:rPr>
        <w:t>Tableau 4 </w:t>
      </w:r>
      <w:r>
        <w:rPr>
          <w:lang w:val="fr-FR"/>
        </w:rPr>
        <w:br/>
      </w:r>
      <w:r w:rsidR="00002F14">
        <w:rPr>
          <w:lang w:val="fr-FR"/>
        </w:rPr>
        <w:t>Liste des substances qui pourraient être classées dans la division 6.1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8"/>
        <w:gridCol w:w="693"/>
        <w:gridCol w:w="2353"/>
        <w:gridCol w:w="2353"/>
        <w:gridCol w:w="692"/>
        <w:gridCol w:w="561"/>
      </w:tblGrid>
      <w:tr w:rsidR="00002F14" w:rsidRPr="00650047" w14:paraId="5229F8E1" w14:textId="77777777" w:rsidTr="00EC5888">
        <w:trPr>
          <w:trHeight w:val="20"/>
        </w:trPr>
        <w:tc>
          <w:tcPr>
            <w:tcW w:w="3854" w:type="dxa"/>
            <w:gridSpan w:val="3"/>
            <w:shd w:val="clear" w:color="auto" w:fill="EEECE1"/>
            <w:vAlign w:val="center"/>
          </w:tcPr>
          <w:p w14:paraId="4D17B5F1" w14:textId="77777777" w:rsidR="00002F14" w:rsidRPr="00186BA8" w:rsidRDefault="00002F14" w:rsidP="00EC5888">
            <w:pPr>
              <w:spacing w:before="60" w:after="60" w:line="240" w:lineRule="auto"/>
              <w:ind w:left="57" w:right="57"/>
              <w:jc w:val="center"/>
              <w:rPr>
                <w:b/>
                <w:sz w:val="16"/>
                <w:szCs w:val="16"/>
                <w:lang w:val="fr-FR"/>
              </w:rPr>
            </w:pPr>
            <w:r w:rsidRPr="00186BA8">
              <w:rPr>
                <w:b/>
                <w:bCs/>
                <w:sz w:val="16"/>
                <w:szCs w:val="16"/>
                <w:lang w:val="fr-FR"/>
              </w:rPr>
              <w:t xml:space="preserve">Liste des marchandises dangereuses </w:t>
            </w:r>
            <w:r>
              <w:rPr>
                <w:b/>
                <w:bCs/>
                <w:sz w:val="16"/>
                <w:szCs w:val="16"/>
                <w:lang w:val="fr-FR"/>
              </w:rPr>
              <w:br/>
            </w:r>
            <w:r w:rsidRPr="00186BA8">
              <w:rPr>
                <w:b/>
                <w:bCs/>
                <w:sz w:val="16"/>
                <w:szCs w:val="16"/>
                <w:lang w:val="fr-FR"/>
              </w:rPr>
              <w:t>du Règlement type</w:t>
            </w:r>
          </w:p>
        </w:tc>
        <w:tc>
          <w:tcPr>
            <w:tcW w:w="3692" w:type="dxa"/>
            <w:gridSpan w:val="3"/>
            <w:shd w:val="clear" w:color="auto" w:fill="D9D9D9"/>
            <w:vAlign w:val="center"/>
          </w:tcPr>
          <w:p w14:paraId="21ABAD74" w14:textId="77777777" w:rsidR="00002F14" w:rsidRPr="00186BA8" w:rsidRDefault="00002F14" w:rsidP="00EC5888">
            <w:pPr>
              <w:spacing w:before="60" w:after="60" w:line="240" w:lineRule="auto"/>
              <w:ind w:left="57" w:right="57"/>
              <w:jc w:val="center"/>
              <w:rPr>
                <w:b/>
                <w:sz w:val="16"/>
                <w:szCs w:val="16"/>
                <w:lang w:val="fr-FR"/>
              </w:rPr>
            </w:pPr>
            <w:r w:rsidRPr="00186BA8">
              <w:rPr>
                <w:b/>
                <w:bCs/>
                <w:sz w:val="16"/>
                <w:szCs w:val="16"/>
                <w:lang w:val="fr-FR"/>
              </w:rPr>
              <w:t xml:space="preserve">Profils de risque </w:t>
            </w:r>
            <w:r>
              <w:rPr>
                <w:b/>
                <w:bCs/>
                <w:sz w:val="16"/>
                <w:szCs w:val="16"/>
                <w:lang w:val="fr-FR"/>
              </w:rPr>
              <w:br/>
            </w:r>
            <w:r w:rsidRPr="00186BA8">
              <w:rPr>
                <w:b/>
                <w:bCs/>
                <w:sz w:val="16"/>
                <w:szCs w:val="16"/>
                <w:lang w:val="fr-FR"/>
              </w:rPr>
              <w:t>du GESAMP</w:t>
            </w:r>
          </w:p>
        </w:tc>
      </w:tr>
      <w:tr w:rsidR="00002F14" w:rsidRPr="00186BA8" w14:paraId="53B35D09" w14:textId="77777777" w:rsidTr="00EC5888">
        <w:trPr>
          <w:trHeight w:val="20"/>
        </w:trPr>
        <w:tc>
          <w:tcPr>
            <w:tcW w:w="735" w:type="dxa"/>
            <w:shd w:val="clear" w:color="auto" w:fill="EEECE1"/>
            <w:vAlign w:val="bottom"/>
          </w:tcPr>
          <w:p w14:paraId="2F3DC35B" w14:textId="77777777" w:rsidR="00002F14" w:rsidRPr="00186BA8" w:rsidRDefault="00002F14" w:rsidP="00EC5888">
            <w:pPr>
              <w:spacing w:before="60" w:after="60" w:line="240" w:lineRule="auto"/>
              <w:ind w:left="57" w:right="57"/>
              <w:rPr>
                <w:b/>
                <w:sz w:val="16"/>
                <w:szCs w:val="16"/>
              </w:rPr>
            </w:pPr>
            <w:r w:rsidRPr="00186BA8">
              <w:rPr>
                <w:b/>
                <w:bCs/>
                <w:sz w:val="16"/>
                <w:szCs w:val="16"/>
                <w:lang w:val="fr-FR"/>
              </w:rPr>
              <w:t>N</w:t>
            </w:r>
            <w:r w:rsidRPr="006B1A4E">
              <w:rPr>
                <w:b/>
                <w:bCs/>
                <w:sz w:val="16"/>
                <w:szCs w:val="16"/>
                <w:lang w:val="fr-FR"/>
              </w:rPr>
              <w:t>o</w:t>
            </w:r>
            <w:r w:rsidRPr="00186BA8">
              <w:rPr>
                <w:b/>
                <w:bCs/>
                <w:sz w:val="16"/>
                <w:szCs w:val="16"/>
                <w:lang w:val="fr-FR"/>
              </w:rPr>
              <w:t xml:space="preserve"> ONU</w:t>
            </w:r>
          </w:p>
        </w:tc>
        <w:tc>
          <w:tcPr>
            <w:tcW w:w="709" w:type="dxa"/>
            <w:shd w:val="clear" w:color="auto" w:fill="EEECE1"/>
            <w:vAlign w:val="bottom"/>
          </w:tcPr>
          <w:p w14:paraId="6F7C37F2" w14:textId="77777777" w:rsidR="00002F14" w:rsidRPr="00186BA8" w:rsidRDefault="00002F14" w:rsidP="00EC5888">
            <w:pPr>
              <w:spacing w:before="60" w:after="60" w:line="240" w:lineRule="auto"/>
              <w:ind w:left="57" w:right="57"/>
              <w:rPr>
                <w:b/>
                <w:sz w:val="16"/>
                <w:szCs w:val="16"/>
              </w:rPr>
            </w:pPr>
            <w:r w:rsidRPr="00186BA8">
              <w:rPr>
                <w:b/>
                <w:bCs/>
                <w:sz w:val="16"/>
                <w:szCs w:val="16"/>
                <w:lang w:val="fr-FR"/>
              </w:rPr>
              <w:t>Classe</w:t>
            </w:r>
          </w:p>
        </w:tc>
        <w:tc>
          <w:tcPr>
            <w:tcW w:w="2410" w:type="dxa"/>
            <w:shd w:val="clear" w:color="auto" w:fill="EEECE1"/>
            <w:vAlign w:val="bottom"/>
          </w:tcPr>
          <w:p w14:paraId="0B7B4078" w14:textId="77777777" w:rsidR="00002F14" w:rsidRPr="00186BA8" w:rsidRDefault="00002F14" w:rsidP="00EC5888">
            <w:pPr>
              <w:spacing w:before="60" w:after="60" w:line="240" w:lineRule="auto"/>
              <w:ind w:left="57" w:right="57"/>
              <w:rPr>
                <w:b/>
                <w:sz w:val="16"/>
                <w:szCs w:val="16"/>
              </w:rPr>
            </w:pPr>
            <w:r w:rsidRPr="00186BA8">
              <w:rPr>
                <w:b/>
                <w:bCs/>
                <w:sz w:val="16"/>
                <w:szCs w:val="16"/>
                <w:lang w:val="fr-FR"/>
              </w:rPr>
              <w:t xml:space="preserve">Désignation officielle </w:t>
            </w:r>
            <w:r>
              <w:rPr>
                <w:b/>
                <w:bCs/>
                <w:sz w:val="16"/>
                <w:szCs w:val="16"/>
                <w:lang w:val="fr-FR"/>
              </w:rPr>
              <w:br/>
            </w:r>
            <w:r w:rsidRPr="00186BA8">
              <w:rPr>
                <w:b/>
                <w:bCs/>
                <w:sz w:val="16"/>
                <w:szCs w:val="16"/>
                <w:lang w:val="fr-FR"/>
              </w:rPr>
              <w:t>de transport</w:t>
            </w:r>
          </w:p>
        </w:tc>
        <w:tc>
          <w:tcPr>
            <w:tcW w:w="2410" w:type="dxa"/>
            <w:shd w:val="clear" w:color="auto" w:fill="D9D9D9"/>
            <w:vAlign w:val="bottom"/>
          </w:tcPr>
          <w:p w14:paraId="1264F152" w14:textId="77777777" w:rsidR="00002F14" w:rsidRPr="00186BA8" w:rsidRDefault="00002F14" w:rsidP="00EC5888">
            <w:pPr>
              <w:spacing w:before="60" w:after="60" w:line="240" w:lineRule="auto"/>
              <w:ind w:left="57" w:right="57"/>
              <w:rPr>
                <w:b/>
                <w:bCs/>
                <w:sz w:val="16"/>
                <w:szCs w:val="16"/>
              </w:rPr>
            </w:pPr>
            <w:r w:rsidRPr="00186BA8">
              <w:rPr>
                <w:b/>
                <w:bCs/>
                <w:sz w:val="16"/>
                <w:szCs w:val="16"/>
                <w:lang w:val="fr-FR"/>
              </w:rPr>
              <w:t>Nom EHS</w:t>
            </w:r>
          </w:p>
        </w:tc>
        <w:tc>
          <w:tcPr>
            <w:tcW w:w="708" w:type="dxa"/>
            <w:shd w:val="clear" w:color="auto" w:fill="D9D9D9"/>
            <w:vAlign w:val="bottom"/>
          </w:tcPr>
          <w:p w14:paraId="458A9355" w14:textId="77777777" w:rsidR="00002F14" w:rsidRPr="00186BA8" w:rsidRDefault="00002F14" w:rsidP="00EC5888">
            <w:pPr>
              <w:spacing w:before="60" w:after="60" w:line="240" w:lineRule="auto"/>
              <w:ind w:left="57" w:right="57"/>
              <w:rPr>
                <w:b/>
                <w:sz w:val="16"/>
                <w:szCs w:val="16"/>
              </w:rPr>
            </w:pPr>
            <w:r w:rsidRPr="00186BA8">
              <w:rPr>
                <w:b/>
                <w:bCs/>
                <w:sz w:val="16"/>
                <w:szCs w:val="16"/>
                <w:lang w:val="fr-FR"/>
              </w:rPr>
              <w:t>C1</w:t>
            </w:r>
          </w:p>
        </w:tc>
        <w:tc>
          <w:tcPr>
            <w:tcW w:w="574" w:type="dxa"/>
            <w:shd w:val="clear" w:color="auto" w:fill="D9D9D9"/>
            <w:vAlign w:val="bottom"/>
          </w:tcPr>
          <w:p w14:paraId="7042F4B9" w14:textId="77777777" w:rsidR="00002F14" w:rsidRPr="00186BA8" w:rsidRDefault="00002F14" w:rsidP="00EC5888">
            <w:pPr>
              <w:spacing w:before="60" w:after="60" w:line="240" w:lineRule="auto"/>
              <w:ind w:left="57" w:right="57"/>
              <w:rPr>
                <w:b/>
                <w:sz w:val="16"/>
                <w:szCs w:val="16"/>
              </w:rPr>
            </w:pPr>
            <w:r w:rsidRPr="00186BA8">
              <w:rPr>
                <w:b/>
                <w:bCs/>
                <w:sz w:val="16"/>
                <w:szCs w:val="16"/>
                <w:lang w:val="fr-FR"/>
              </w:rPr>
              <w:t>C2</w:t>
            </w:r>
          </w:p>
        </w:tc>
      </w:tr>
      <w:tr w:rsidR="00002F14" w:rsidRPr="00186BA8" w14:paraId="15D55DB7" w14:textId="77777777" w:rsidTr="00EC5888">
        <w:trPr>
          <w:trHeight w:val="20"/>
        </w:trPr>
        <w:tc>
          <w:tcPr>
            <w:tcW w:w="735" w:type="dxa"/>
            <w:vAlign w:val="center"/>
          </w:tcPr>
          <w:p w14:paraId="2304F79D" w14:textId="77777777" w:rsidR="00002F14" w:rsidRPr="00186BA8" w:rsidRDefault="00002F14" w:rsidP="00CC5636">
            <w:pPr>
              <w:spacing w:before="60" w:after="60" w:line="240" w:lineRule="auto"/>
              <w:ind w:left="57" w:right="57"/>
              <w:rPr>
                <w:sz w:val="16"/>
                <w:szCs w:val="16"/>
              </w:rPr>
            </w:pPr>
            <w:r w:rsidRPr="00186BA8">
              <w:rPr>
                <w:sz w:val="16"/>
                <w:szCs w:val="16"/>
                <w:lang w:val="fr-FR"/>
              </w:rPr>
              <w:t>2248</w:t>
            </w:r>
          </w:p>
        </w:tc>
        <w:tc>
          <w:tcPr>
            <w:tcW w:w="709" w:type="dxa"/>
            <w:vAlign w:val="center"/>
          </w:tcPr>
          <w:p w14:paraId="109C179B" w14:textId="77777777" w:rsidR="00002F14" w:rsidRPr="00186BA8" w:rsidRDefault="00002F14" w:rsidP="00EC5888">
            <w:pPr>
              <w:spacing w:before="60" w:after="60" w:line="240" w:lineRule="auto"/>
              <w:ind w:left="57" w:right="57"/>
              <w:jc w:val="center"/>
              <w:rPr>
                <w:rFonts w:cs="Arial"/>
                <w:sz w:val="16"/>
                <w:szCs w:val="16"/>
              </w:rPr>
            </w:pPr>
            <w:r w:rsidRPr="00186BA8">
              <w:rPr>
                <w:sz w:val="16"/>
                <w:szCs w:val="16"/>
                <w:lang w:val="fr-FR"/>
              </w:rPr>
              <w:t>8 (3)</w:t>
            </w:r>
          </w:p>
        </w:tc>
        <w:tc>
          <w:tcPr>
            <w:tcW w:w="2410" w:type="dxa"/>
            <w:vAlign w:val="center"/>
          </w:tcPr>
          <w:p w14:paraId="4F42596B" w14:textId="77777777" w:rsidR="00002F14" w:rsidRPr="00186BA8" w:rsidRDefault="00002F14" w:rsidP="00EC5888">
            <w:pPr>
              <w:spacing w:before="60" w:after="60" w:line="240" w:lineRule="auto"/>
              <w:ind w:left="57" w:right="57"/>
              <w:rPr>
                <w:rFonts w:cs="Arial"/>
                <w:sz w:val="16"/>
                <w:szCs w:val="16"/>
              </w:rPr>
            </w:pPr>
            <w:r w:rsidRPr="00186BA8">
              <w:rPr>
                <w:sz w:val="16"/>
                <w:szCs w:val="16"/>
                <w:lang w:val="fr-FR"/>
              </w:rPr>
              <w:t>DI-n-BUTYLAMINE</w:t>
            </w:r>
          </w:p>
        </w:tc>
        <w:tc>
          <w:tcPr>
            <w:tcW w:w="2410" w:type="dxa"/>
            <w:vAlign w:val="center"/>
          </w:tcPr>
          <w:p w14:paraId="3F6D3BFB" w14:textId="77777777" w:rsidR="00002F14" w:rsidRPr="00186BA8" w:rsidRDefault="00002F14" w:rsidP="00EC5888">
            <w:pPr>
              <w:spacing w:before="60" w:after="60" w:line="240" w:lineRule="auto"/>
              <w:ind w:left="57" w:right="57"/>
              <w:rPr>
                <w:sz w:val="16"/>
                <w:szCs w:val="16"/>
              </w:rPr>
            </w:pPr>
            <w:r w:rsidRPr="00186BA8">
              <w:rPr>
                <w:sz w:val="16"/>
                <w:szCs w:val="16"/>
                <w:lang w:val="fr-FR"/>
              </w:rPr>
              <w:t>Di-n-butylamine</w:t>
            </w:r>
          </w:p>
        </w:tc>
        <w:tc>
          <w:tcPr>
            <w:tcW w:w="708" w:type="dxa"/>
            <w:vAlign w:val="center"/>
          </w:tcPr>
          <w:p w14:paraId="5CA2EB6B" w14:textId="77777777" w:rsidR="00002F14" w:rsidRPr="00186BA8" w:rsidRDefault="00002F14" w:rsidP="00EC5888">
            <w:pPr>
              <w:spacing w:before="60" w:after="60" w:line="240" w:lineRule="auto"/>
              <w:ind w:left="57" w:right="57"/>
              <w:jc w:val="center"/>
              <w:rPr>
                <w:sz w:val="16"/>
                <w:szCs w:val="16"/>
              </w:rPr>
            </w:pPr>
            <w:r w:rsidRPr="00186BA8">
              <w:rPr>
                <w:sz w:val="16"/>
                <w:szCs w:val="16"/>
                <w:lang w:val="fr-FR"/>
              </w:rPr>
              <w:t>2</w:t>
            </w:r>
          </w:p>
        </w:tc>
        <w:tc>
          <w:tcPr>
            <w:tcW w:w="574" w:type="dxa"/>
            <w:vAlign w:val="center"/>
          </w:tcPr>
          <w:p w14:paraId="712E3C8A" w14:textId="77777777" w:rsidR="00002F14" w:rsidRPr="00186BA8" w:rsidRDefault="00002F14" w:rsidP="00EC5888">
            <w:pPr>
              <w:spacing w:before="60" w:after="60" w:line="240" w:lineRule="auto"/>
              <w:ind w:left="57" w:right="57"/>
              <w:jc w:val="center"/>
              <w:rPr>
                <w:sz w:val="16"/>
                <w:szCs w:val="16"/>
              </w:rPr>
            </w:pPr>
            <w:r w:rsidRPr="00186BA8">
              <w:rPr>
                <w:sz w:val="16"/>
                <w:szCs w:val="16"/>
                <w:lang w:val="fr-FR"/>
              </w:rPr>
              <w:t>2</w:t>
            </w:r>
          </w:p>
        </w:tc>
      </w:tr>
      <w:tr w:rsidR="00002F14" w:rsidRPr="00186BA8" w14:paraId="733687EE" w14:textId="77777777" w:rsidTr="00EC5888">
        <w:trPr>
          <w:trHeight w:val="20"/>
        </w:trPr>
        <w:tc>
          <w:tcPr>
            <w:tcW w:w="735" w:type="dxa"/>
            <w:vAlign w:val="center"/>
          </w:tcPr>
          <w:p w14:paraId="3578F864" w14:textId="77777777" w:rsidR="00002F14" w:rsidRPr="00186BA8" w:rsidRDefault="00002F14" w:rsidP="00CC5636">
            <w:pPr>
              <w:spacing w:before="60" w:after="60" w:line="240" w:lineRule="auto"/>
              <w:ind w:left="57" w:right="57"/>
              <w:rPr>
                <w:sz w:val="16"/>
                <w:szCs w:val="16"/>
              </w:rPr>
            </w:pPr>
            <w:r w:rsidRPr="00186BA8">
              <w:rPr>
                <w:sz w:val="16"/>
                <w:szCs w:val="16"/>
                <w:lang w:val="fr-FR"/>
              </w:rPr>
              <w:t>2264</w:t>
            </w:r>
          </w:p>
        </w:tc>
        <w:tc>
          <w:tcPr>
            <w:tcW w:w="709" w:type="dxa"/>
            <w:vAlign w:val="center"/>
          </w:tcPr>
          <w:p w14:paraId="7CDDF608" w14:textId="77777777" w:rsidR="00002F14" w:rsidRPr="00186BA8" w:rsidRDefault="00002F14" w:rsidP="00EC5888">
            <w:pPr>
              <w:spacing w:before="60" w:after="60" w:line="240" w:lineRule="auto"/>
              <w:ind w:left="57" w:right="57"/>
              <w:jc w:val="center"/>
              <w:rPr>
                <w:rFonts w:cs="Arial"/>
                <w:sz w:val="16"/>
                <w:szCs w:val="16"/>
              </w:rPr>
            </w:pPr>
            <w:r w:rsidRPr="00186BA8">
              <w:rPr>
                <w:sz w:val="16"/>
                <w:szCs w:val="16"/>
                <w:lang w:val="fr-FR"/>
              </w:rPr>
              <w:t>8 (3)</w:t>
            </w:r>
          </w:p>
        </w:tc>
        <w:tc>
          <w:tcPr>
            <w:tcW w:w="2410" w:type="dxa"/>
            <w:vAlign w:val="center"/>
          </w:tcPr>
          <w:p w14:paraId="6A348BB6" w14:textId="77777777" w:rsidR="00002F14" w:rsidRPr="00186BA8" w:rsidRDefault="00002F14" w:rsidP="00EC5888">
            <w:pPr>
              <w:spacing w:before="60" w:after="60" w:line="240" w:lineRule="auto"/>
              <w:ind w:left="57" w:right="57"/>
              <w:rPr>
                <w:rFonts w:cs="Arial"/>
                <w:sz w:val="16"/>
                <w:szCs w:val="16"/>
              </w:rPr>
            </w:pPr>
            <w:r w:rsidRPr="00186BA8">
              <w:rPr>
                <w:sz w:val="16"/>
                <w:szCs w:val="16"/>
                <w:lang w:val="fr-FR"/>
              </w:rPr>
              <w:t>N,N-DIMÉTHYL</w:t>
            </w:r>
            <w:r>
              <w:rPr>
                <w:sz w:val="16"/>
                <w:szCs w:val="16"/>
                <w:lang w:val="fr-FR"/>
              </w:rPr>
              <w:t>-</w:t>
            </w:r>
            <w:r w:rsidRPr="00186BA8">
              <w:rPr>
                <w:sz w:val="16"/>
                <w:szCs w:val="16"/>
                <w:lang w:val="fr-FR"/>
              </w:rPr>
              <w:t>CYCLOHEXYLAMINE</w:t>
            </w:r>
          </w:p>
        </w:tc>
        <w:tc>
          <w:tcPr>
            <w:tcW w:w="2410" w:type="dxa"/>
            <w:vAlign w:val="center"/>
          </w:tcPr>
          <w:p w14:paraId="7CE0BA3A" w14:textId="77777777" w:rsidR="00002F14" w:rsidRPr="00186BA8" w:rsidRDefault="00002F14" w:rsidP="00EC5888">
            <w:pPr>
              <w:spacing w:before="60" w:after="60" w:line="240" w:lineRule="auto"/>
              <w:ind w:left="57" w:right="57"/>
              <w:rPr>
                <w:sz w:val="16"/>
                <w:szCs w:val="16"/>
              </w:rPr>
            </w:pPr>
            <w:r w:rsidRPr="00186BA8">
              <w:rPr>
                <w:sz w:val="16"/>
                <w:szCs w:val="16"/>
                <w:lang w:val="fr-FR"/>
              </w:rPr>
              <w:t>N,N-Diméthylcyclohexylamine</w:t>
            </w:r>
          </w:p>
        </w:tc>
        <w:tc>
          <w:tcPr>
            <w:tcW w:w="708" w:type="dxa"/>
            <w:vAlign w:val="center"/>
          </w:tcPr>
          <w:p w14:paraId="54553F9A" w14:textId="77777777" w:rsidR="00002F14" w:rsidRPr="00186BA8" w:rsidRDefault="00002F14" w:rsidP="00EC5888">
            <w:pPr>
              <w:spacing w:before="60" w:after="60" w:line="240" w:lineRule="auto"/>
              <w:ind w:left="57" w:right="57"/>
              <w:jc w:val="center"/>
              <w:rPr>
                <w:sz w:val="16"/>
                <w:szCs w:val="16"/>
              </w:rPr>
            </w:pPr>
            <w:r w:rsidRPr="00186BA8">
              <w:rPr>
                <w:sz w:val="16"/>
                <w:szCs w:val="16"/>
                <w:lang w:val="fr-FR"/>
              </w:rPr>
              <w:t>1</w:t>
            </w:r>
          </w:p>
        </w:tc>
        <w:tc>
          <w:tcPr>
            <w:tcW w:w="574" w:type="dxa"/>
            <w:vAlign w:val="center"/>
          </w:tcPr>
          <w:p w14:paraId="6575CC96" w14:textId="77777777" w:rsidR="00002F14" w:rsidRPr="00186BA8" w:rsidRDefault="00002F14" w:rsidP="00EC5888">
            <w:pPr>
              <w:spacing w:before="60" w:after="60" w:line="240" w:lineRule="auto"/>
              <w:ind w:left="57" w:right="57"/>
              <w:jc w:val="center"/>
              <w:rPr>
                <w:sz w:val="16"/>
                <w:szCs w:val="16"/>
              </w:rPr>
            </w:pPr>
            <w:r w:rsidRPr="00186BA8">
              <w:rPr>
                <w:sz w:val="16"/>
                <w:szCs w:val="16"/>
                <w:lang w:val="fr-FR"/>
              </w:rPr>
              <w:t>2</w:t>
            </w:r>
          </w:p>
        </w:tc>
      </w:tr>
      <w:tr w:rsidR="00002F14" w:rsidRPr="00186BA8" w14:paraId="0641A911" w14:textId="77777777" w:rsidTr="00EC5888">
        <w:trPr>
          <w:trHeight w:val="20"/>
        </w:trPr>
        <w:tc>
          <w:tcPr>
            <w:tcW w:w="735" w:type="dxa"/>
            <w:vAlign w:val="center"/>
          </w:tcPr>
          <w:p w14:paraId="0E09B5D1" w14:textId="77777777" w:rsidR="00002F14" w:rsidRPr="00186BA8" w:rsidRDefault="00002F14" w:rsidP="00CC5636">
            <w:pPr>
              <w:spacing w:before="60" w:after="60" w:line="240" w:lineRule="auto"/>
              <w:ind w:left="57" w:right="57"/>
              <w:rPr>
                <w:sz w:val="16"/>
                <w:szCs w:val="16"/>
              </w:rPr>
            </w:pPr>
            <w:r w:rsidRPr="00186BA8">
              <w:rPr>
                <w:sz w:val="16"/>
                <w:szCs w:val="16"/>
                <w:lang w:val="fr-FR"/>
              </w:rPr>
              <w:t>2357</w:t>
            </w:r>
          </w:p>
        </w:tc>
        <w:tc>
          <w:tcPr>
            <w:tcW w:w="709" w:type="dxa"/>
            <w:vAlign w:val="center"/>
          </w:tcPr>
          <w:p w14:paraId="2590CC3F" w14:textId="77777777" w:rsidR="00002F14" w:rsidRPr="00186BA8" w:rsidRDefault="00002F14" w:rsidP="00EC5888">
            <w:pPr>
              <w:spacing w:before="60" w:after="60" w:line="240" w:lineRule="auto"/>
              <w:ind w:left="57" w:right="57"/>
              <w:jc w:val="center"/>
              <w:rPr>
                <w:rFonts w:cs="Arial"/>
                <w:sz w:val="16"/>
                <w:szCs w:val="16"/>
              </w:rPr>
            </w:pPr>
            <w:r w:rsidRPr="00186BA8">
              <w:rPr>
                <w:sz w:val="16"/>
                <w:szCs w:val="16"/>
                <w:lang w:val="fr-FR"/>
              </w:rPr>
              <w:t>8 (3)</w:t>
            </w:r>
          </w:p>
        </w:tc>
        <w:tc>
          <w:tcPr>
            <w:tcW w:w="2410" w:type="dxa"/>
            <w:vAlign w:val="center"/>
          </w:tcPr>
          <w:p w14:paraId="3EF86501" w14:textId="77777777" w:rsidR="00002F14" w:rsidRPr="00186BA8" w:rsidRDefault="00002F14" w:rsidP="00EC5888">
            <w:pPr>
              <w:spacing w:before="60" w:after="60" w:line="240" w:lineRule="auto"/>
              <w:ind w:left="57" w:right="57"/>
              <w:rPr>
                <w:rFonts w:cs="Arial"/>
                <w:sz w:val="16"/>
                <w:szCs w:val="16"/>
              </w:rPr>
            </w:pPr>
            <w:r w:rsidRPr="00186BA8">
              <w:rPr>
                <w:sz w:val="16"/>
                <w:szCs w:val="16"/>
                <w:lang w:val="fr-FR"/>
              </w:rPr>
              <w:t>CYCLOHEXYLAMINE</w:t>
            </w:r>
          </w:p>
        </w:tc>
        <w:tc>
          <w:tcPr>
            <w:tcW w:w="2410" w:type="dxa"/>
            <w:vAlign w:val="center"/>
          </w:tcPr>
          <w:p w14:paraId="5A47A237" w14:textId="77777777" w:rsidR="00002F14" w:rsidRPr="00186BA8" w:rsidRDefault="00002F14" w:rsidP="00EC5888">
            <w:pPr>
              <w:spacing w:before="60" w:after="60" w:line="240" w:lineRule="auto"/>
              <w:ind w:left="57" w:right="57"/>
              <w:rPr>
                <w:sz w:val="16"/>
                <w:szCs w:val="16"/>
              </w:rPr>
            </w:pPr>
            <w:r w:rsidRPr="00186BA8">
              <w:rPr>
                <w:sz w:val="16"/>
                <w:szCs w:val="16"/>
                <w:lang w:val="fr-FR"/>
              </w:rPr>
              <w:t>Cyclohexylamine</w:t>
            </w:r>
          </w:p>
        </w:tc>
        <w:tc>
          <w:tcPr>
            <w:tcW w:w="708" w:type="dxa"/>
            <w:vAlign w:val="center"/>
          </w:tcPr>
          <w:p w14:paraId="0927036E" w14:textId="77777777" w:rsidR="00002F14" w:rsidRPr="00186BA8" w:rsidRDefault="00002F14" w:rsidP="00EC5888">
            <w:pPr>
              <w:spacing w:before="60" w:after="60" w:line="240" w:lineRule="auto"/>
              <w:ind w:left="57" w:right="57"/>
              <w:jc w:val="center"/>
              <w:rPr>
                <w:sz w:val="16"/>
                <w:szCs w:val="16"/>
              </w:rPr>
            </w:pPr>
            <w:r w:rsidRPr="00186BA8">
              <w:rPr>
                <w:sz w:val="16"/>
                <w:szCs w:val="16"/>
                <w:lang w:val="fr-FR"/>
              </w:rPr>
              <w:t>2</w:t>
            </w:r>
          </w:p>
        </w:tc>
        <w:tc>
          <w:tcPr>
            <w:tcW w:w="574" w:type="dxa"/>
            <w:vAlign w:val="center"/>
          </w:tcPr>
          <w:p w14:paraId="38BB5892" w14:textId="77777777" w:rsidR="00002F14" w:rsidRPr="00186BA8" w:rsidRDefault="00002F14" w:rsidP="00EC5888">
            <w:pPr>
              <w:spacing w:before="60" w:after="60" w:line="240" w:lineRule="auto"/>
              <w:ind w:left="57" w:right="57"/>
              <w:jc w:val="center"/>
              <w:rPr>
                <w:sz w:val="16"/>
                <w:szCs w:val="16"/>
              </w:rPr>
            </w:pPr>
            <w:r w:rsidRPr="00186BA8">
              <w:rPr>
                <w:sz w:val="16"/>
                <w:szCs w:val="16"/>
                <w:lang w:val="fr-FR"/>
              </w:rPr>
              <w:t>2</w:t>
            </w:r>
          </w:p>
        </w:tc>
      </w:tr>
    </w:tbl>
    <w:p w14:paraId="1FFFA45B" w14:textId="77777777" w:rsidR="00002F14" w:rsidRPr="003A0DD8" w:rsidRDefault="00002F14" w:rsidP="00002F14">
      <w:pPr>
        <w:pStyle w:val="SingleTxtG"/>
        <w:spacing w:before="240"/>
        <w:rPr>
          <w:rFonts w:eastAsia="Malgun Gothic"/>
          <w:lang w:val="fr-FR"/>
        </w:rPr>
      </w:pPr>
      <w:r>
        <w:rPr>
          <w:lang w:val="fr-FR"/>
        </w:rPr>
        <w:t>11.</w:t>
      </w:r>
      <w:r>
        <w:rPr>
          <w:lang w:val="fr-FR"/>
        </w:rPr>
        <w:tab/>
        <w:t>Le GESAMP est un groupe d’experts issus de l’OMI et d’autres organisations internationales, qui compile des données sur les risques présentés par les matières dangereuses afin de protéger l’environnement marin.</w:t>
      </w:r>
    </w:p>
    <w:p w14:paraId="2D50ECDC" w14:textId="77777777" w:rsidR="00002F14" w:rsidRPr="00A2793A" w:rsidRDefault="00002F14" w:rsidP="00002F14">
      <w:pPr>
        <w:pStyle w:val="SingleTxtG"/>
        <w:rPr>
          <w:rFonts w:eastAsia="Malgun Gothic"/>
          <w:lang w:val="fr-FR"/>
        </w:rPr>
      </w:pPr>
      <w:r>
        <w:rPr>
          <w:lang w:val="fr-FR"/>
        </w:rPr>
        <w:lastRenderedPageBreak/>
        <w:t>12.</w:t>
      </w:r>
      <w:r>
        <w:rPr>
          <w:lang w:val="fr-FR"/>
        </w:rPr>
        <w:tab/>
        <w:t>La République de Corée fournit, en plus de l’annexe I, des données détaillées sur la toxicité des Nos ONU 2248, 2264 et 2357. L’annexe I contient un tableau récapitulatif des données sur la toxicité aiguë de ces trois substances, ainsi que des précisions expliquant pourquoi certaines données ont servi de base aux amendements proposés.</w:t>
      </w:r>
    </w:p>
    <w:p w14:paraId="149B776F" w14:textId="77777777" w:rsidR="00002F14" w:rsidRPr="003A0DD8" w:rsidRDefault="00002F14" w:rsidP="00002F14">
      <w:pPr>
        <w:pStyle w:val="SingleTxtG"/>
        <w:rPr>
          <w:rFonts w:eastAsia="Malgun Gothic"/>
          <w:lang w:val="fr-FR"/>
        </w:rPr>
      </w:pPr>
      <w:r>
        <w:rPr>
          <w:lang w:val="fr-FR"/>
        </w:rPr>
        <w:t>13.</w:t>
      </w:r>
      <w:r>
        <w:rPr>
          <w:lang w:val="fr-FR"/>
        </w:rPr>
        <w:tab/>
        <w:t>Par conséquent, il est proposé d’apporter à la classification des Nos ONU 2248, 2264 et 2357 les amendements présentés ci-dessous, en tenant compte des données fournies et des opinions exprimées par des experts du transport de marchandises dangereuses au cours des précédents débats.</w:t>
      </w:r>
    </w:p>
    <w:p w14:paraId="2B41AA0D" w14:textId="77777777" w:rsidR="00002F14" w:rsidRPr="003A0DD8" w:rsidRDefault="00002F14" w:rsidP="00002F14">
      <w:pPr>
        <w:pStyle w:val="HChG"/>
        <w:rPr>
          <w:lang w:val="fr-FR"/>
        </w:rPr>
      </w:pPr>
      <w:r>
        <w:rPr>
          <w:lang w:val="fr-FR"/>
        </w:rPr>
        <w:tab/>
      </w:r>
      <w:r>
        <w:rPr>
          <w:lang w:val="fr-FR"/>
        </w:rPr>
        <w:tab/>
      </w:r>
      <w:r>
        <w:rPr>
          <w:bCs/>
          <w:lang w:val="fr-FR"/>
        </w:rPr>
        <w:t>Amendements concernant le No ONU 2248</w:t>
      </w:r>
    </w:p>
    <w:p w14:paraId="11258E91" w14:textId="77777777" w:rsidR="00002F14" w:rsidRPr="003A0DD8" w:rsidRDefault="00002F14" w:rsidP="00002F14">
      <w:pPr>
        <w:pStyle w:val="H1G"/>
        <w:rPr>
          <w:lang w:val="fr-FR"/>
        </w:rPr>
      </w:pPr>
      <w:r>
        <w:rPr>
          <w:lang w:val="fr-FR"/>
        </w:rPr>
        <w:tab/>
      </w:r>
      <w:r>
        <w:rPr>
          <w:lang w:val="fr-FR"/>
        </w:rPr>
        <w:tab/>
      </w:r>
      <w:r>
        <w:rPr>
          <w:bCs/>
          <w:lang w:val="fr-FR"/>
        </w:rPr>
        <w:t>Justification</w:t>
      </w:r>
    </w:p>
    <w:p w14:paraId="68DAFBFB" w14:textId="77777777" w:rsidR="00002F14" w:rsidRPr="003A0DD8" w:rsidRDefault="00002F14" w:rsidP="00002F14">
      <w:pPr>
        <w:pStyle w:val="SingleTxtG"/>
        <w:rPr>
          <w:lang w:val="fr-FR"/>
        </w:rPr>
      </w:pPr>
      <w:r>
        <w:rPr>
          <w:lang w:val="fr-FR"/>
        </w:rPr>
        <w:t>14.</w:t>
      </w:r>
      <w:r>
        <w:rPr>
          <w:lang w:val="fr-FR"/>
        </w:rPr>
        <w:tab/>
        <w:t>D’après les données fournies (pour plus de précisions, se reporter à l’annexe II), le No ONU 2248 présente une toxicité à l’ingestion (DL</w:t>
      </w:r>
      <w:r>
        <w:rPr>
          <w:vertAlign w:val="subscript"/>
          <w:lang w:val="fr-FR"/>
        </w:rPr>
        <w:t>50</w:t>
      </w:r>
      <w:r>
        <w:rPr>
          <w:lang w:val="fr-FR"/>
        </w:rPr>
        <w:t>) de 220 mg/kg et une toxicité à l’absorption cutanée (DL</w:t>
      </w:r>
      <w:r>
        <w:rPr>
          <w:vertAlign w:val="subscript"/>
          <w:lang w:val="fr-FR"/>
        </w:rPr>
        <w:t>50</w:t>
      </w:r>
      <w:r>
        <w:rPr>
          <w:lang w:val="fr-FR"/>
        </w:rPr>
        <w:t>) de 768 mg/kg.</w:t>
      </w:r>
    </w:p>
    <w:p w14:paraId="3401CBF0" w14:textId="77777777" w:rsidR="00002F14" w:rsidRPr="003A0DD8" w:rsidRDefault="00002F14" w:rsidP="00002F14">
      <w:pPr>
        <w:pStyle w:val="SingleTxtG"/>
        <w:rPr>
          <w:rFonts w:eastAsia="Malgun Gothic"/>
          <w:lang w:val="fr-FR"/>
        </w:rPr>
      </w:pPr>
      <w:r>
        <w:rPr>
          <w:lang w:val="fr-FR"/>
        </w:rPr>
        <w:t>15.</w:t>
      </w:r>
      <w:r>
        <w:rPr>
          <w:lang w:val="fr-FR"/>
        </w:rPr>
        <w:tab/>
        <w:t>La valeur de la toxicité à l’inhalation est de 218 ppm pour les vapeurs (pour une exposition de quatre heures). Le Règlement type précise que les valeurs de CL</w:t>
      </w:r>
      <w:r>
        <w:rPr>
          <w:vertAlign w:val="subscript"/>
          <w:lang w:val="fr-FR"/>
        </w:rPr>
        <w:t>50</w:t>
      </w:r>
      <w:r>
        <w:rPr>
          <w:lang w:val="fr-FR"/>
        </w:rPr>
        <w:t xml:space="preserve"> doivent correspondre à une exposition d’une heure. Il convient donc de convertir la valeur de la CL</w:t>
      </w:r>
      <w:r>
        <w:rPr>
          <w:vertAlign w:val="subscript"/>
          <w:lang w:val="fr-FR"/>
        </w:rPr>
        <w:t>50</w:t>
      </w:r>
      <w:r>
        <w:rPr>
          <w:lang w:val="fr-FR"/>
        </w:rPr>
        <w:t xml:space="preserve"> pour une exposition de 4 heures aux vapeurs en la multipliant par 2 (voir le paragraphe 2.6.2.2.4.5 du Règlement type), ce qui donne une valeur de 436 ppm pour une exposition d’une heure. Étant donné que cette valeur correspond à la toxicité à l’inhalation de vapeurs, le groupe d’emballage devrait être déterminé en fonction de la concentration de vapeur saturée (SVC), conformément au paragraphe 2.6.2.2.4.3 du Règlement type. La</w:t>
      </w:r>
      <w:r w:rsidR="00B41E3C">
        <w:rPr>
          <w:lang w:val="fr-FR"/>
        </w:rPr>
        <w:t> </w:t>
      </w:r>
      <w:r>
        <w:rPr>
          <w:lang w:val="fr-FR"/>
        </w:rPr>
        <w:t xml:space="preserve">concentration de vapeur saturée a été calculée à l’aide de l’équation présentée dans le rapport de l’Institut national de la santé publique et de l’environnement des Pays-Bas (RIVM) qui a été </w:t>
      </w:r>
      <w:r w:rsidRPr="00944F45">
        <w:rPr>
          <w:lang w:val="fr-FR"/>
        </w:rPr>
        <w:t>diffusé en tant que</w:t>
      </w:r>
      <w:r>
        <w:rPr>
          <w:lang w:val="fr-FR"/>
        </w:rPr>
        <w:t xml:space="preserve"> document informel INF.8 à la trente-troisième session du Sous-Comité</w:t>
      </w:r>
      <w:r w:rsidRPr="00650047">
        <w:rPr>
          <w:rStyle w:val="FootnoteReference"/>
        </w:rPr>
        <w:footnoteReference w:id="3"/>
      </w:r>
      <w:r>
        <w:rPr>
          <w:lang w:val="fr-FR"/>
        </w:rPr>
        <w:t xml:space="preserve"> : </w:t>
      </w:r>
    </w:p>
    <w:p w14:paraId="43F9846A" w14:textId="77777777" w:rsidR="00002F14" w:rsidRPr="00A2793A" w:rsidRDefault="00B41E3C" w:rsidP="00B41E3C">
      <w:pPr>
        <w:pStyle w:val="SingleTxtG"/>
        <w:adjustRightInd/>
        <w:ind w:left="1701" w:hanging="567"/>
        <w:jc w:val="left"/>
        <w:rPr>
          <w:rFonts w:eastAsia="Malgun Gothic"/>
          <w:bCs/>
          <w:lang w:val="fr-FR"/>
        </w:rPr>
      </w:pPr>
      <w:r>
        <w:rPr>
          <w:lang w:val="fr-FR"/>
        </w:rPr>
        <w:tab/>
      </w:r>
      <w:r w:rsidR="00002F14">
        <w:rPr>
          <w:lang w:val="fr-FR"/>
        </w:rPr>
        <w:t>SVC (ml/m</w:t>
      </w:r>
      <w:r w:rsidR="00002F14">
        <w:rPr>
          <w:vertAlign w:val="superscript"/>
          <w:lang w:val="fr-FR"/>
        </w:rPr>
        <w:t>3</w:t>
      </w:r>
      <w:r w:rsidR="00002F14">
        <w:rPr>
          <w:lang w:val="fr-FR"/>
        </w:rPr>
        <w:t>) = VP/(R × T) × v</w:t>
      </w:r>
      <w:r w:rsidR="00002F14">
        <w:rPr>
          <w:vertAlign w:val="subscript"/>
          <w:lang w:val="fr-FR"/>
        </w:rPr>
        <w:t>m</w:t>
      </w:r>
      <w:r w:rsidR="00002F14">
        <w:rPr>
          <w:lang w:val="fr-FR"/>
        </w:rPr>
        <w:t> × 1 000</w:t>
      </w:r>
    </w:p>
    <w:p w14:paraId="5659A242" w14:textId="77777777" w:rsidR="00002F14" w:rsidRPr="003A0DD8" w:rsidRDefault="00002F14" w:rsidP="00002F14">
      <w:pPr>
        <w:pStyle w:val="SingleTxtG"/>
        <w:tabs>
          <w:tab w:val="left" w:pos="2552"/>
        </w:tabs>
        <w:adjustRightInd/>
        <w:spacing w:line="240" w:lineRule="auto"/>
        <w:ind w:left="1701"/>
        <w:rPr>
          <w:rFonts w:asciiTheme="majorBidi" w:eastAsia="Malgun Gothic" w:hAnsiTheme="majorBidi" w:cstheme="majorBidi"/>
          <w:bCs/>
          <w:lang w:val="fr-FR"/>
        </w:rPr>
      </w:pPr>
      <w:r>
        <w:rPr>
          <w:lang w:val="fr-FR"/>
        </w:rPr>
        <w:t>où :</w:t>
      </w:r>
      <w:r>
        <w:rPr>
          <w:lang w:val="fr-FR"/>
        </w:rPr>
        <w:tab/>
        <w:t>VP est la pression de vapeur à 20 °C (en Pa) ;</w:t>
      </w:r>
    </w:p>
    <w:p w14:paraId="47B2B051" w14:textId="77777777" w:rsidR="00002F14" w:rsidRPr="003A0DD8" w:rsidRDefault="00002F14" w:rsidP="00002F14">
      <w:pPr>
        <w:pStyle w:val="SingleTxtG"/>
        <w:tabs>
          <w:tab w:val="left" w:pos="2552"/>
        </w:tabs>
        <w:adjustRightInd/>
        <w:spacing w:line="240" w:lineRule="auto"/>
        <w:ind w:left="1701"/>
        <w:rPr>
          <w:rFonts w:asciiTheme="majorBidi" w:eastAsia="Malgun Gothic" w:hAnsiTheme="majorBidi" w:cstheme="majorBidi"/>
          <w:bCs/>
          <w:lang w:val="fr-FR"/>
        </w:rPr>
      </w:pPr>
      <w:r>
        <w:rPr>
          <w:lang w:val="fr-FR"/>
        </w:rPr>
        <w:tab/>
        <w:t>R est la constante des gaz (8,314 Pa.m</w:t>
      </w:r>
      <w:r>
        <w:rPr>
          <w:vertAlign w:val="superscript"/>
          <w:lang w:val="fr-FR"/>
        </w:rPr>
        <w:t>3</w:t>
      </w:r>
      <w:r>
        <w:rPr>
          <w:lang w:val="fr-FR"/>
        </w:rPr>
        <w:t>/K.mol) ;</w:t>
      </w:r>
    </w:p>
    <w:p w14:paraId="2D22F44F" w14:textId="77777777" w:rsidR="00002F14" w:rsidRPr="003A0DD8" w:rsidRDefault="00002F14" w:rsidP="00002F14">
      <w:pPr>
        <w:pStyle w:val="SingleTxtG"/>
        <w:tabs>
          <w:tab w:val="left" w:pos="2552"/>
        </w:tabs>
        <w:adjustRightInd/>
        <w:spacing w:line="240" w:lineRule="auto"/>
        <w:ind w:left="1701"/>
        <w:rPr>
          <w:rFonts w:asciiTheme="majorBidi" w:eastAsia="Malgun Gothic" w:hAnsiTheme="majorBidi" w:cstheme="majorBidi"/>
          <w:bCs/>
          <w:lang w:val="fr-FR"/>
        </w:rPr>
      </w:pPr>
      <w:r>
        <w:rPr>
          <w:lang w:val="fr-FR"/>
        </w:rPr>
        <w:tab/>
        <w:t>T est la température (293 K, équivalant à 20 °C) ;</w:t>
      </w:r>
    </w:p>
    <w:p w14:paraId="31034F38" w14:textId="77777777" w:rsidR="00002F14" w:rsidRPr="003A0DD8" w:rsidRDefault="00002F14" w:rsidP="00002F14">
      <w:pPr>
        <w:pStyle w:val="SingleTxtG"/>
        <w:tabs>
          <w:tab w:val="left" w:pos="2552"/>
        </w:tabs>
        <w:adjustRightInd/>
        <w:spacing w:line="240" w:lineRule="auto"/>
        <w:ind w:left="1701"/>
        <w:rPr>
          <w:rFonts w:asciiTheme="majorBidi" w:eastAsia="Malgun Gothic" w:hAnsiTheme="majorBidi" w:cstheme="majorBidi"/>
          <w:bCs/>
          <w:lang w:val="fr-FR"/>
        </w:rPr>
      </w:pPr>
      <w:r>
        <w:rPr>
          <w:lang w:val="fr-FR"/>
        </w:rPr>
        <w:tab/>
        <w:t>v</w:t>
      </w:r>
      <w:r>
        <w:rPr>
          <w:vertAlign w:val="subscript"/>
          <w:lang w:val="fr-FR"/>
        </w:rPr>
        <w:t>m</w:t>
      </w:r>
      <w:r>
        <w:rPr>
          <w:lang w:val="fr-FR"/>
        </w:rPr>
        <w:t xml:space="preserve"> est le volume molaire d’un gaz parfait (24,1 l/mol à 20 °C) ;</w:t>
      </w:r>
    </w:p>
    <w:p w14:paraId="6702ECFC" w14:textId="77777777" w:rsidR="00002F14" w:rsidRPr="003A0DD8" w:rsidRDefault="00002F14" w:rsidP="00002F14">
      <w:pPr>
        <w:pStyle w:val="SingleTxtG"/>
        <w:tabs>
          <w:tab w:val="left" w:pos="2552"/>
        </w:tabs>
        <w:adjustRightInd/>
        <w:spacing w:line="240" w:lineRule="auto"/>
        <w:ind w:left="1701"/>
        <w:rPr>
          <w:rFonts w:asciiTheme="majorBidi" w:eastAsia="Malgun Gothic" w:hAnsiTheme="majorBidi" w:cstheme="majorBidi"/>
          <w:bCs/>
          <w:lang w:val="fr-FR"/>
        </w:rPr>
      </w:pPr>
      <w:r>
        <w:rPr>
          <w:lang w:val="fr-FR"/>
        </w:rPr>
        <w:tab/>
        <w:t>1 000 est le facteur de conversion entre millilitres et litres (1 000 ml/l).</w:t>
      </w:r>
    </w:p>
    <w:p w14:paraId="764A70FC" w14:textId="77777777" w:rsidR="00002F14" w:rsidRPr="003A0DD8" w:rsidRDefault="00002F14" w:rsidP="00002F14">
      <w:pPr>
        <w:pStyle w:val="SingleTxtG"/>
        <w:rPr>
          <w:lang w:val="fr-FR"/>
        </w:rPr>
      </w:pPr>
      <w:r>
        <w:rPr>
          <w:lang w:val="fr-FR"/>
        </w:rPr>
        <w:t>16.</w:t>
      </w:r>
      <w:r>
        <w:rPr>
          <w:lang w:val="fr-FR"/>
        </w:rPr>
        <w:tab/>
        <w:t>Il a été confirmé que la pression de vapeur de la di-n-butylamine est de 0,27 kPa (= 270 Pa) à 20 °C. Cette valeur provient des Fiches internationales sur la sécurité des substances chimiques de l’Organisation internationale du Travail (</w:t>
      </w:r>
      <w:hyperlink r:id="rId8" w:anchor="section=Vapor-Pressure" w:history="1">
        <w:r w:rsidRPr="00B41E3C">
          <w:rPr>
            <w:rStyle w:val="Hyperlink"/>
            <w:lang w:val="fr-FR"/>
          </w:rPr>
          <w:t>https://pubchem.ncbi.nlm.nih.gov/compound/8148#section=Vapor-Pressure</w:t>
        </w:r>
      </w:hyperlink>
      <w:r>
        <w:rPr>
          <w:lang w:val="fr-FR"/>
        </w:rPr>
        <w:t>).</w:t>
      </w:r>
    </w:p>
    <w:p w14:paraId="20DD73E7" w14:textId="77777777" w:rsidR="00002F14" w:rsidRPr="003A0DD8" w:rsidRDefault="00002F14" w:rsidP="00002F14">
      <w:pPr>
        <w:pStyle w:val="SingleTxtG"/>
        <w:rPr>
          <w:lang w:val="fr-FR"/>
        </w:rPr>
      </w:pPr>
      <w:r>
        <w:rPr>
          <w:lang w:val="fr-FR"/>
        </w:rPr>
        <w:t>17.</w:t>
      </w:r>
      <w:r>
        <w:rPr>
          <w:lang w:val="fr-FR"/>
        </w:rPr>
        <w:tab/>
        <w:t>D’après le résultat du calcul, la concentration de vapeur saturée de la di-n-butylamine est de 2 671 ml/m</w:t>
      </w:r>
      <w:r>
        <w:rPr>
          <w:vertAlign w:val="superscript"/>
          <w:lang w:val="fr-FR"/>
        </w:rPr>
        <w:t>3</w:t>
      </w:r>
      <w:r>
        <w:rPr>
          <w:lang w:val="fr-FR"/>
        </w:rPr>
        <w:t>.</w:t>
      </w:r>
    </w:p>
    <w:p w14:paraId="6AB41E3C" w14:textId="77777777" w:rsidR="00002F14" w:rsidRPr="003A0DD8" w:rsidRDefault="00002F14" w:rsidP="00002F14">
      <w:pPr>
        <w:pStyle w:val="SingleTxtG"/>
        <w:rPr>
          <w:lang w:val="fr-FR"/>
        </w:rPr>
      </w:pPr>
      <w:r>
        <w:rPr>
          <w:lang w:val="fr-FR"/>
        </w:rPr>
        <w:t>18.</w:t>
      </w:r>
      <w:r>
        <w:rPr>
          <w:lang w:val="fr-FR"/>
        </w:rPr>
        <w:tab/>
        <w:t>Comme cela a été mentionné plus haut, la CL</w:t>
      </w:r>
      <w:r>
        <w:rPr>
          <w:vertAlign w:val="subscript"/>
          <w:lang w:val="fr-FR"/>
        </w:rPr>
        <w:t>50</w:t>
      </w:r>
      <w:r>
        <w:rPr>
          <w:lang w:val="fr-FR"/>
        </w:rPr>
        <w:t xml:space="preserve"> du No ONU 2248 est de 436 ppm pour une exposition d’une heure, et on considère que les unités (ml/m</w:t>
      </w:r>
      <w:r>
        <w:rPr>
          <w:vertAlign w:val="superscript"/>
          <w:lang w:val="fr-FR"/>
        </w:rPr>
        <w:t>3</w:t>
      </w:r>
      <w:r>
        <w:rPr>
          <w:lang w:val="fr-FR"/>
        </w:rPr>
        <w:t xml:space="preserve"> et ppm) sont équivalentes.</w:t>
      </w:r>
    </w:p>
    <w:p w14:paraId="1AF8E247" w14:textId="77777777" w:rsidR="00002F14" w:rsidRPr="003A0DD8" w:rsidRDefault="00002F14" w:rsidP="00002F14">
      <w:pPr>
        <w:pStyle w:val="SingleTxtG"/>
        <w:rPr>
          <w:lang w:val="fr-FR"/>
        </w:rPr>
      </w:pPr>
      <w:r>
        <w:rPr>
          <w:lang w:val="fr-FR"/>
        </w:rPr>
        <w:t>19.</w:t>
      </w:r>
      <w:r>
        <w:rPr>
          <w:lang w:val="fr-FR"/>
        </w:rPr>
        <w:tab/>
        <w:t>Le Règlement type établit à l’alinéa b) du paragraphe 2.6.2.2.4.3 que les liquides dégageant des vapeurs toxiques doivent être classés dans le groupe d’emballage II si SVC ≥ CL</w:t>
      </w:r>
      <w:r>
        <w:rPr>
          <w:vertAlign w:val="subscript"/>
          <w:lang w:val="fr-FR"/>
        </w:rPr>
        <w:t>50</w:t>
      </w:r>
      <w:r>
        <w:rPr>
          <w:lang w:val="fr-FR"/>
        </w:rPr>
        <w:t xml:space="preserve"> et CL</w:t>
      </w:r>
      <w:r>
        <w:rPr>
          <w:vertAlign w:val="subscript"/>
          <w:lang w:val="fr-FR"/>
        </w:rPr>
        <w:t>50</w:t>
      </w:r>
      <w:r>
        <w:rPr>
          <w:lang w:val="fr-FR"/>
        </w:rPr>
        <w:t> ≤ 3 000 ml/m</w:t>
      </w:r>
      <w:r>
        <w:rPr>
          <w:vertAlign w:val="superscript"/>
          <w:lang w:val="fr-FR"/>
        </w:rPr>
        <w:t>3</w:t>
      </w:r>
      <w:r>
        <w:rPr>
          <w:lang w:val="fr-FR"/>
        </w:rPr>
        <w:t xml:space="preserve"> et si la matière ne répond pas aux critères du groupe d’emballage I énoncés à l’alinéa a).</w:t>
      </w:r>
    </w:p>
    <w:p w14:paraId="590D88A5" w14:textId="77777777" w:rsidR="00002F14" w:rsidRPr="003A0DD8" w:rsidRDefault="00002F14" w:rsidP="00002F14">
      <w:pPr>
        <w:pStyle w:val="SingleTxtG"/>
        <w:rPr>
          <w:lang w:val="fr-FR"/>
        </w:rPr>
      </w:pPr>
      <w:r>
        <w:rPr>
          <w:lang w:val="fr-FR"/>
        </w:rPr>
        <w:t>20.</w:t>
      </w:r>
      <w:r>
        <w:rPr>
          <w:lang w:val="fr-FR"/>
        </w:rPr>
        <w:tab/>
        <w:t xml:space="preserve">Au début de l’élaboration de l’amendement, seules les toxicités aiguës à l’ingestion et à l’absorption cutanée ont été prises en considération dans la comparaison avec les profils de </w:t>
      </w:r>
      <w:r>
        <w:rPr>
          <w:lang w:val="fr-FR"/>
        </w:rPr>
        <w:lastRenderedPageBreak/>
        <w:t>risque du GESAMP ; cependant, il convient de tenir compte également de la toxicité à l’inhalation dans la proposition visant à rectifier la classification du No ONU</w:t>
      </w:r>
      <w:r w:rsidR="00B41E3C">
        <w:rPr>
          <w:lang w:val="fr-FR"/>
        </w:rPr>
        <w:t> </w:t>
      </w:r>
      <w:r>
        <w:rPr>
          <w:lang w:val="fr-FR"/>
        </w:rPr>
        <w:t>2248.</w:t>
      </w:r>
    </w:p>
    <w:p w14:paraId="77400D63" w14:textId="77777777" w:rsidR="00002F14" w:rsidRPr="003A0DD8" w:rsidRDefault="00002F14" w:rsidP="00002F14">
      <w:pPr>
        <w:pStyle w:val="SingleTxtG"/>
        <w:rPr>
          <w:lang w:val="fr-FR"/>
        </w:rPr>
      </w:pPr>
      <w:r>
        <w:rPr>
          <w:lang w:val="fr-FR"/>
        </w:rPr>
        <w:t>21.</w:t>
      </w:r>
      <w:r>
        <w:rPr>
          <w:lang w:val="fr-FR"/>
        </w:rPr>
        <w:tab/>
        <w:t>Le No ONU 2248 devrait donc être classé dans la division 6.1, groupe d’emballage II.</w:t>
      </w:r>
    </w:p>
    <w:p w14:paraId="6F4E7AEF" w14:textId="77777777" w:rsidR="00002F14" w:rsidRPr="003A0DD8" w:rsidRDefault="00002F14" w:rsidP="00002F14">
      <w:pPr>
        <w:pStyle w:val="SingleTxtG"/>
        <w:rPr>
          <w:lang w:val="fr-FR"/>
        </w:rPr>
      </w:pPr>
      <w:r>
        <w:rPr>
          <w:lang w:val="fr-FR"/>
        </w:rPr>
        <w:t>22.</w:t>
      </w:r>
      <w:r>
        <w:rPr>
          <w:lang w:val="fr-FR"/>
        </w:rPr>
        <w:tab/>
        <w:t>En conséquence, il convient de remplacer la classe de danger principale du No ONU 2248 par la division 6.1 et d’ajouter la classe 8 en tant que risque subsidiaire, conformément au tableau de l’ordre de prépondérance des caractéristiques de dangers figurant au paragraphe 2.0.3.3 du Règlement type.</w:t>
      </w:r>
    </w:p>
    <w:p w14:paraId="30CF1949" w14:textId="77777777" w:rsidR="00002F14" w:rsidRPr="003A0DD8" w:rsidRDefault="00002F14" w:rsidP="00002F14">
      <w:pPr>
        <w:pStyle w:val="SingleTxtG"/>
        <w:rPr>
          <w:lang w:val="fr-FR"/>
        </w:rPr>
      </w:pPr>
      <w:r>
        <w:rPr>
          <w:lang w:val="fr-FR"/>
        </w:rPr>
        <w:t>23.</w:t>
      </w:r>
      <w:r>
        <w:rPr>
          <w:lang w:val="fr-FR"/>
        </w:rPr>
        <w:tab/>
        <w:t>Les codes relatifs aux quantités limitées et aux quantités exceptées ainsi que les instructions de transport en citernes mobiles devraient également être révisés conformément aux Principes directeurs, après la révision de la classe de danger principale. Il n’est pas nécessaire de modifier d’autres conditions de transport, notamment les instructions d’emballage.</w:t>
      </w:r>
    </w:p>
    <w:p w14:paraId="1409E61B" w14:textId="77777777" w:rsidR="00002F14" w:rsidRPr="003A0DD8" w:rsidRDefault="00002F14" w:rsidP="00002F14">
      <w:pPr>
        <w:pStyle w:val="H1G"/>
        <w:rPr>
          <w:rFonts w:eastAsia="Malgun Gothic"/>
          <w:lang w:val="fr-FR"/>
        </w:rPr>
      </w:pPr>
      <w:r>
        <w:rPr>
          <w:lang w:val="fr-FR"/>
        </w:rPr>
        <w:tab/>
      </w:r>
      <w:r>
        <w:rPr>
          <w:lang w:val="fr-FR"/>
        </w:rPr>
        <w:tab/>
      </w:r>
      <w:r>
        <w:rPr>
          <w:bCs/>
          <w:lang w:val="fr-FR"/>
        </w:rPr>
        <w:t>Proposition</w:t>
      </w:r>
    </w:p>
    <w:p w14:paraId="5ACD5274" w14:textId="77777777" w:rsidR="00002F14" w:rsidRPr="00A2793A" w:rsidRDefault="00002F14" w:rsidP="00002F14">
      <w:pPr>
        <w:pStyle w:val="SingleTxtG"/>
        <w:rPr>
          <w:rFonts w:eastAsia="Batang"/>
          <w:lang w:val="fr-FR"/>
        </w:rPr>
      </w:pPr>
      <w:r>
        <w:rPr>
          <w:lang w:val="fr-FR"/>
        </w:rPr>
        <w:t>24.</w:t>
      </w:r>
      <w:r>
        <w:rPr>
          <w:lang w:val="fr-FR"/>
        </w:rPr>
        <w:tab/>
        <w:t xml:space="preserve">Modifier la ligne du No ONU 2248 dans la liste des marchandises dangereuses comme suit (le texte à ajouter apparaît en caractères </w:t>
      </w:r>
      <w:r w:rsidRPr="00A25142">
        <w:rPr>
          <w:b/>
          <w:bCs/>
          <w:color w:val="FF0000"/>
          <w:u w:val="single"/>
          <w:lang w:val="fr-FR"/>
        </w:rPr>
        <w:t>rouges, gras</w:t>
      </w:r>
      <w:r>
        <w:rPr>
          <w:b/>
          <w:bCs/>
          <w:color w:val="FF0000"/>
          <w:u w:val="single"/>
          <w:lang w:val="fr-FR"/>
        </w:rPr>
        <w:t xml:space="preserve"> et</w:t>
      </w:r>
      <w:r w:rsidRPr="00A25142">
        <w:rPr>
          <w:b/>
          <w:bCs/>
          <w:color w:val="FF0000"/>
          <w:u w:val="single"/>
          <w:lang w:val="fr-FR"/>
        </w:rPr>
        <w:t xml:space="preserve"> soulignés</w:t>
      </w:r>
      <w:r w:rsidRPr="00A25142">
        <w:rPr>
          <w:lang w:val="fr-FR"/>
        </w:rPr>
        <w:t xml:space="preserve"> </w:t>
      </w:r>
      <w:r>
        <w:rPr>
          <w:lang w:val="fr-FR"/>
        </w:rPr>
        <w:t xml:space="preserve">et le texte à supprimer en caractères </w:t>
      </w:r>
      <w:r>
        <w:rPr>
          <w:strike/>
          <w:lang w:val="fr-FR"/>
        </w:rPr>
        <w:t>biffés</w:t>
      </w:r>
      <w:r>
        <w:rPr>
          <w:lang w:val="fr-FR"/>
        </w:rPr>
        <w:t>)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3"/>
        <w:gridCol w:w="1597"/>
        <w:gridCol w:w="7"/>
        <w:gridCol w:w="703"/>
        <w:gridCol w:w="10"/>
        <w:gridCol w:w="700"/>
        <w:gridCol w:w="13"/>
        <w:gridCol w:w="764"/>
        <w:gridCol w:w="784"/>
        <w:gridCol w:w="657"/>
        <w:gridCol w:w="714"/>
        <w:gridCol w:w="763"/>
        <w:gridCol w:w="805"/>
        <w:gridCol w:w="778"/>
        <w:gridCol w:w="837"/>
      </w:tblGrid>
      <w:tr w:rsidR="00C97EE1" w:rsidRPr="00B41E3C" w14:paraId="0B43D5CB" w14:textId="77777777" w:rsidTr="00CC5636">
        <w:trPr>
          <w:trHeight w:val="463"/>
        </w:trPr>
        <w:tc>
          <w:tcPr>
            <w:tcW w:w="523" w:type="dxa"/>
            <w:vMerge w:val="restart"/>
            <w:shd w:val="clear" w:color="auto" w:fill="auto"/>
            <w:vAlign w:val="bottom"/>
          </w:tcPr>
          <w:p w14:paraId="11E11245" w14:textId="77777777" w:rsidR="00002F14" w:rsidRPr="00B41E3C" w:rsidRDefault="00002F14" w:rsidP="00C97EE1">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No ONU</w:t>
            </w:r>
          </w:p>
        </w:tc>
        <w:tc>
          <w:tcPr>
            <w:tcW w:w="1597" w:type="dxa"/>
            <w:tcBorders>
              <w:bottom w:val="nil"/>
            </w:tcBorders>
            <w:shd w:val="clear" w:color="auto" w:fill="auto"/>
            <w:vAlign w:val="bottom"/>
          </w:tcPr>
          <w:p w14:paraId="0286AAA6" w14:textId="77777777" w:rsidR="00002F14" w:rsidRPr="00B41E3C" w:rsidRDefault="00002F14" w:rsidP="00C97EE1">
            <w:pPr>
              <w:spacing w:before="80" w:after="80" w:line="160" w:lineRule="exact"/>
              <w:ind w:left="57" w:right="57"/>
              <w:rPr>
                <w:rFonts w:asciiTheme="majorBidi" w:hAnsiTheme="majorBidi" w:cstheme="majorBidi"/>
                <w:b/>
                <w:bCs/>
                <w:w w:val="90"/>
                <w:sz w:val="12"/>
                <w:szCs w:val="12"/>
              </w:rPr>
            </w:pPr>
          </w:p>
        </w:tc>
        <w:tc>
          <w:tcPr>
            <w:tcW w:w="710" w:type="dxa"/>
            <w:gridSpan w:val="2"/>
            <w:tcBorders>
              <w:bottom w:val="nil"/>
            </w:tcBorders>
            <w:shd w:val="clear" w:color="auto" w:fill="auto"/>
            <w:vAlign w:val="bottom"/>
          </w:tcPr>
          <w:p w14:paraId="034D6405" w14:textId="77777777" w:rsidR="00002F14" w:rsidRPr="00B41E3C" w:rsidRDefault="00002F14" w:rsidP="00C97EE1">
            <w:pPr>
              <w:spacing w:before="80" w:after="80" w:line="160" w:lineRule="exact"/>
              <w:ind w:left="57" w:right="57"/>
              <w:rPr>
                <w:rFonts w:asciiTheme="majorBidi" w:hAnsiTheme="majorBidi" w:cstheme="majorBidi"/>
                <w:b/>
                <w:bCs/>
                <w:w w:val="90"/>
                <w:sz w:val="12"/>
                <w:szCs w:val="12"/>
              </w:rPr>
            </w:pPr>
          </w:p>
        </w:tc>
        <w:tc>
          <w:tcPr>
            <w:tcW w:w="710" w:type="dxa"/>
            <w:gridSpan w:val="2"/>
            <w:tcBorders>
              <w:bottom w:val="nil"/>
            </w:tcBorders>
            <w:shd w:val="clear" w:color="auto" w:fill="auto"/>
            <w:vAlign w:val="bottom"/>
          </w:tcPr>
          <w:p w14:paraId="4B02D2C2" w14:textId="77777777" w:rsidR="00002F14" w:rsidRPr="00B41E3C" w:rsidRDefault="00002F14" w:rsidP="00C97EE1">
            <w:pPr>
              <w:spacing w:before="80" w:after="80" w:line="160" w:lineRule="exact"/>
              <w:ind w:left="57" w:right="57"/>
              <w:rPr>
                <w:rFonts w:asciiTheme="majorBidi" w:hAnsiTheme="majorBidi" w:cstheme="majorBidi"/>
                <w:b/>
                <w:bCs/>
                <w:w w:val="90"/>
                <w:sz w:val="12"/>
                <w:szCs w:val="12"/>
              </w:rPr>
            </w:pPr>
          </w:p>
        </w:tc>
        <w:tc>
          <w:tcPr>
            <w:tcW w:w="777" w:type="dxa"/>
            <w:gridSpan w:val="2"/>
            <w:tcBorders>
              <w:bottom w:val="nil"/>
            </w:tcBorders>
            <w:shd w:val="clear" w:color="auto" w:fill="auto"/>
            <w:vAlign w:val="bottom"/>
          </w:tcPr>
          <w:p w14:paraId="465C3D21" w14:textId="77777777" w:rsidR="00002F14" w:rsidRPr="00B41E3C" w:rsidRDefault="00002F14" w:rsidP="00C97EE1">
            <w:pPr>
              <w:spacing w:before="80" w:after="80" w:line="160" w:lineRule="exact"/>
              <w:ind w:left="57" w:right="57"/>
              <w:rPr>
                <w:rFonts w:asciiTheme="majorBidi" w:hAnsiTheme="majorBidi" w:cstheme="majorBidi"/>
                <w:b/>
                <w:bCs/>
                <w:w w:val="90"/>
                <w:sz w:val="12"/>
                <w:szCs w:val="12"/>
              </w:rPr>
            </w:pPr>
          </w:p>
        </w:tc>
        <w:tc>
          <w:tcPr>
            <w:tcW w:w="784" w:type="dxa"/>
            <w:tcBorders>
              <w:bottom w:val="nil"/>
            </w:tcBorders>
            <w:shd w:val="clear" w:color="auto" w:fill="auto"/>
            <w:vAlign w:val="bottom"/>
          </w:tcPr>
          <w:p w14:paraId="5BA1F952" w14:textId="77777777" w:rsidR="00002F14" w:rsidRPr="00B41E3C" w:rsidRDefault="00002F14" w:rsidP="00C97EE1">
            <w:pPr>
              <w:spacing w:before="80" w:after="80" w:line="160" w:lineRule="exact"/>
              <w:ind w:left="57" w:right="57"/>
              <w:rPr>
                <w:rFonts w:asciiTheme="majorBidi" w:hAnsiTheme="majorBidi" w:cstheme="majorBidi"/>
                <w:b/>
                <w:bCs/>
                <w:w w:val="90"/>
                <w:sz w:val="12"/>
                <w:szCs w:val="12"/>
              </w:rPr>
            </w:pPr>
          </w:p>
        </w:tc>
        <w:tc>
          <w:tcPr>
            <w:tcW w:w="1371" w:type="dxa"/>
            <w:gridSpan w:val="2"/>
            <w:tcBorders>
              <w:bottom w:val="nil"/>
            </w:tcBorders>
            <w:shd w:val="clear" w:color="auto" w:fill="auto"/>
            <w:vAlign w:val="bottom"/>
          </w:tcPr>
          <w:p w14:paraId="6FE6B2ED" w14:textId="77777777" w:rsidR="00002F14" w:rsidRPr="00B41E3C" w:rsidRDefault="00002F14" w:rsidP="00C97EE1">
            <w:pPr>
              <w:spacing w:before="80" w:after="80" w:line="160" w:lineRule="exact"/>
              <w:ind w:left="57" w:right="57"/>
              <w:rPr>
                <w:rFonts w:asciiTheme="majorBidi" w:hAnsiTheme="majorBidi" w:cstheme="majorBidi"/>
                <w:b/>
                <w:bCs/>
                <w:w w:val="90"/>
                <w:sz w:val="12"/>
                <w:szCs w:val="12"/>
                <w:lang w:val="fr-FR"/>
              </w:rPr>
            </w:pPr>
          </w:p>
        </w:tc>
        <w:tc>
          <w:tcPr>
            <w:tcW w:w="1568" w:type="dxa"/>
            <w:gridSpan w:val="2"/>
            <w:shd w:val="clear" w:color="auto" w:fill="auto"/>
            <w:vAlign w:val="bottom"/>
          </w:tcPr>
          <w:p w14:paraId="006B1CC5" w14:textId="77777777" w:rsidR="00002F14" w:rsidRPr="00B41E3C" w:rsidRDefault="00002F14" w:rsidP="00C97EE1">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 xml:space="preserve">Emballages </w:t>
            </w:r>
            <w:r w:rsidR="00136EED">
              <w:rPr>
                <w:b/>
                <w:bCs/>
                <w:sz w:val="12"/>
                <w:szCs w:val="12"/>
                <w:lang w:val="fr-FR"/>
              </w:rPr>
              <w:br/>
            </w:r>
            <w:r w:rsidRPr="00B41E3C">
              <w:rPr>
                <w:b/>
                <w:bCs/>
                <w:sz w:val="12"/>
                <w:szCs w:val="12"/>
                <w:lang w:val="fr-FR"/>
              </w:rPr>
              <w:t>et GRV</w:t>
            </w:r>
          </w:p>
        </w:tc>
        <w:tc>
          <w:tcPr>
            <w:tcW w:w="1615" w:type="dxa"/>
            <w:gridSpan w:val="2"/>
            <w:shd w:val="clear" w:color="auto" w:fill="auto"/>
            <w:vAlign w:val="bottom"/>
          </w:tcPr>
          <w:p w14:paraId="283B6FFC" w14:textId="77777777" w:rsidR="00002F14" w:rsidRPr="00B41E3C" w:rsidRDefault="00002F14" w:rsidP="00C97EE1">
            <w:pPr>
              <w:spacing w:before="80" w:after="80" w:line="160" w:lineRule="exact"/>
              <w:ind w:left="57" w:right="57"/>
              <w:jc w:val="center"/>
              <w:rPr>
                <w:rFonts w:asciiTheme="majorBidi" w:hAnsiTheme="majorBidi" w:cstheme="majorBidi"/>
                <w:b/>
                <w:bCs/>
                <w:w w:val="90"/>
                <w:sz w:val="12"/>
                <w:szCs w:val="12"/>
                <w:lang w:val="fr-FR"/>
              </w:rPr>
            </w:pPr>
            <w:r w:rsidRPr="00B41E3C">
              <w:rPr>
                <w:b/>
                <w:bCs/>
                <w:sz w:val="12"/>
                <w:szCs w:val="12"/>
                <w:lang w:val="fr-FR"/>
              </w:rPr>
              <w:t xml:space="preserve">Citernes mobiles </w:t>
            </w:r>
            <w:r w:rsidR="00136EED">
              <w:rPr>
                <w:b/>
                <w:bCs/>
                <w:sz w:val="12"/>
                <w:szCs w:val="12"/>
                <w:lang w:val="fr-FR"/>
              </w:rPr>
              <w:br/>
            </w:r>
            <w:r w:rsidRPr="00B41E3C">
              <w:rPr>
                <w:b/>
                <w:bCs/>
                <w:sz w:val="12"/>
                <w:szCs w:val="12"/>
                <w:lang w:val="fr-FR"/>
              </w:rPr>
              <w:t xml:space="preserve">et conteneurs </w:t>
            </w:r>
            <w:r w:rsidR="00136EED">
              <w:rPr>
                <w:b/>
                <w:bCs/>
                <w:sz w:val="12"/>
                <w:szCs w:val="12"/>
                <w:lang w:val="fr-FR"/>
              </w:rPr>
              <w:br/>
            </w:r>
            <w:r w:rsidRPr="00B41E3C">
              <w:rPr>
                <w:b/>
                <w:bCs/>
                <w:sz w:val="12"/>
                <w:szCs w:val="12"/>
                <w:lang w:val="fr-FR"/>
              </w:rPr>
              <w:t>pour vrac</w:t>
            </w:r>
          </w:p>
        </w:tc>
      </w:tr>
      <w:tr w:rsidR="00CC5636" w:rsidRPr="00B41E3C" w14:paraId="53E7FAEF" w14:textId="77777777" w:rsidTr="00CC5636">
        <w:trPr>
          <w:trHeight w:val="204"/>
        </w:trPr>
        <w:tc>
          <w:tcPr>
            <w:tcW w:w="523" w:type="dxa"/>
            <w:vMerge/>
            <w:shd w:val="clear" w:color="auto" w:fill="auto"/>
            <w:vAlign w:val="bottom"/>
          </w:tcPr>
          <w:p w14:paraId="446D710D" w14:textId="77777777" w:rsidR="00CC5636" w:rsidRPr="00B41E3C" w:rsidRDefault="00CC5636" w:rsidP="00CC5636">
            <w:pPr>
              <w:spacing w:before="80" w:after="80" w:line="160" w:lineRule="exact"/>
              <w:ind w:left="57" w:right="57"/>
              <w:rPr>
                <w:rFonts w:asciiTheme="majorBidi" w:hAnsiTheme="majorBidi" w:cstheme="majorBidi"/>
                <w:b/>
                <w:bCs/>
                <w:sz w:val="12"/>
                <w:szCs w:val="12"/>
                <w:lang w:val="fr-FR" w:eastAsia="ko-KR"/>
              </w:rPr>
            </w:pPr>
          </w:p>
        </w:tc>
        <w:tc>
          <w:tcPr>
            <w:tcW w:w="1604" w:type="dxa"/>
            <w:gridSpan w:val="2"/>
            <w:tcBorders>
              <w:top w:val="nil"/>
            </w:tcBorders>
            <w:shd w:val="clear" w:color="auto" w:fill="auto"/>
            <w:vAlign w:val="bottom"/>
          </w:tcPr>
          <w:p w14:paraId="3596C691" w14:textId="77777777" w:rsidR="00CC5636" w:rsidRPr="00B41E3C" w:rsidRDefault="00CC5636" w:rsidP="00CC5636">
            <w:pPr>
              <w:spacing w:before="80" w:after="80" w:line="160" w:lineRule="exact"/>
              <w:ind w:left="57" w:right="57"/>
              <w:rPr>
                <w:rFonts w:asciiTheme="majorBidi" w:hAnsiTheme="majorBidi" w:cstheme="majorBidi"/>
                <w:b/>
                <w:bCs/>
                <w:sz w:val="12"/>
                <w:szCs w:val="12"/>
                <w:lang w:val="fr-FR" w:eastAsia="ko-KR"/>
              </w:rPr>
            </w:pPr>
            <w:r w:rsidRPr="00B41E3C">
              <w:rPr>
                <w:b/>
                <w:bCs/>
                <w:sz w:val="12"/>
                <w:szCs w:val="12"/>
                <w:lang w:val="fr-FR"/>
              </w:rPr>
              <w:t>Nom et description</w:t>
            </w:r>
          </w:p>
        </w:tc>
        <w:tc>
          <w:tcPr>
            <w:tcW w:w="713" w:type="dxa"/>
            <w:gridSpan w:val="2"/>
            <w:tcBorders>
              <w:top w:val="nil"/>
            </w:tcBorders>
            <w:shd w:val="clear" w:color="auto" w:fill="auto"/>
            <w:vAlign w:val="bottom"/>
          </w:tcPr>
          <w:p w14:paraId="744C8BBA" w14:textId="77777777" w:rsidR="00CC5636" w:rsidRPr="00B41E3C" w:rsidRDefault="00CC5636" w:rsidP="00CC5636">
            <w:pPr>
              <w:spacing w:before="80" w:after="80" w:line="160" w:lineRule="exact"/>
              <w:ind w:left="57" w:right="57"/>
              <w:rPr>
                <w:rFonts w:asciiTheme="majorBidi" w:hAnsiTheme="majorBidi" w:cstheme="majorBidi"/>
                <w:b/>
                <w:bCs/>
                <w:sz w:val="12"/>
                <w:szCs w:val="12"/>
                <w:lang w:val="fr-FR" w:eastAsia="ko-KR"/>
              </w:rPr>
            </w:pPr>
            <w:r w:rsidRPr="00B41E3C">
              <w:rPr>
                <w:b/>
                <w:bCs/>
                <w:sz w:val="12"/>
                <w:szCs w:val="12"/>
                <w:lang w:val="fr-FR"/>
              </w:rPr>
              <w:t>Classe ou division</w:t>
            </w:r>
          </w:p>
        </w:tc>
        <w:tc>
          <w:tcPr>
            <w:tcW w:w="713" w:type="dxa"/>
            <w:gridSpan w:val="2"/>
            <w:tcBorders>
              <w:top w:val="nil"/>
            </w:tcBorders>
            <w:shd w:val="clear" w:color="auto" w:fill="auto"/>
            <w:vAlign w:val="bottom"/>
          </w:tcPr>
          <w:p w14:paraId="379963B8" w14:textId="77777777" w:rsidR="00CC5636" w:rsidRPr="00B41E3C" w:rsidRDefault="00CC5636" w:rsidP="00CC5636">
            <w:pPr>
              <w:spacing w:before="80" w:after="80" w:line="160" w:lineRule="exact"/>
              <w:ind w:left="57" w:right="57"/>
              <w:rPr>
                <w:rFonts w:asciiTheme="majorBidi" w:hAnsiTheme="majorBidi" w:cstheme="majorBidi"/>
                <w:b/>
                <w:bCs/>
                <w:w w:val="90"/>
                <w:sz w:val="12"/>
                <w:szCs w:val="12"/>
              </w:rPr>
            </w:pPr>
            <w:r w:rsidRPr="00B41E3C">
              <w:rPr>
                <w:b/>
                <w:bCs/>
                <w:sz w:val="12"/>
                <w:szCs w:val="12"/>
                <w:lang w:val="fr-FR"/>
              </w:rPr>
              <w:t>Risque subsidiaire</w:t>
            </w:r>
          </w:p>
        </w:tc>
        <w:tc>
          <w:tcPr>
            <w:tcW w:w="764" w:type="dxa"/>
            <w:tcBorders>
              <w:top w:val="nil"/>
            </w:tcBorders>
            <w:shd w:val="clear" w:color="auto" w:fill="auto"/>
            <w:vAlign w:val="bottom"/>
          </w:tcPr>
          <w:p w14:paraId="12935B25" w14:textId="77777777" w:rsidR="00CC5636" w:rsidRPr="00B41E3C" w:rsidRDefault="00CC5636" w:rsidP="00CC5636">
            <w:pPr>
              <w:spacing w:before="80" w:after="80" w:line="160" w:lineRule="exact"/>
              <w:ind w:left="57" w:right="57"/>
              <w:rPr>
                <w:rFonts w:asciiTheme="majorBidi" w:hAnsiTheme="majorBidi" w:cstheme="majorBidi"/>
                <w:b/>
                <w:bCs/>
                <w:sz w:val="12"/>
                <w:szCs w:val="12"/>
                <w:lang w:val="fr-FR" w:eastAsia="ko-KR"/>
              </w:rPr>
            </w:pPr>
            <w:r w:rsidRPr="00B41E3C">
              <w:rPr>
                <w:b/>
                <w:bCs/>
                <w:sz w:val="12"/>
                <w:szCs w:val="12"/>
                <w:lang w:val="fr-FR"/>
              </w:rPr>
              <w:t>Groupe d’emballage</w:t>
            </w:r>
          </w:p>
        </w:tc>
        <w:tc>
          <w:tcPr>
            <w:tcW w:w="784" w:type="dxa"/>
            <w:tcBorders>
              <w:top w:val="nil"/>
            </w:tcBorders>
            <w:shd w:val="clear" w:color="auto" w:fill="auto"/>
            <w:vAlign w:val="bottom"/>
          </w:tcPr>
          <w:p w14:paraId="3A1C50FD" w14:textId="77777777" w:rsidR="00CC5636" w:rsidRPr="00B41E3C" w:rsidRDefault="00CC5636" w:rsidP="00CC5636">
            <w:pPr>
              <w:spacing w:before="80" w:after="80" w:line="160" w:lineRule="exact"/>
              <w:ind w:left="57" w:right="57"/>
              <w:rPr>
                <w:rFonts w:asciiTheme="majorBidi" w:hAnsiTheme="majorBidi" w:cstheme="majorBidi"/>
                <w:b/>
                <w:bCs/>
                <w:sz w:val="12"/>
                <w:szCs w:val="12"/>
                <w:lang w:val="fr-FR" w:eastAsia="ko-KR"/>
              </w:rPr>
            </w:pPr>
            <w:r w:rsidRPr="00B41E3C">
              <w:rPr>
                <w:b/>
                <w:bCs/>
                <w:sz w:val="12"/>
                <w:szCs w:val="12"/>
                <w:lang w:val="fr-FR"/>
              </w:rPr>
              <w:t>Dispositions spéciales</w:t>
            </w:r>
          </w:p>
        </w:tc>
        <w:tc>
          <w:tcPr>
            <w:tcW w:w="1371" w:type="dxa"/>
            <w:gridSpan w:val="2"/>
            <w:tcBorders>
              <w:top w:val="nil"/>
            </w:tcBorders>
            <w:shd w:val="clear" w:color="auto" w:fill="auto"/>
            <w:vAlign w:val="bottom"/>
          </w:tcPr>
          <w:p w14:paraId="6B5BDCBD" w14:textId="77777777" w:rsidR="00CC5636" w:rsidRPr="00B41E3C" w:rsidRDefault="00CC5636" w:rsidP="00CC5636">
            <w:pPr>
              <w:spacing w:before="80" w:after="80" w:line="160" w:lineRule="exact"/>
              <w:ind w:left="57" w:right="57"/>
              <w:rPr>
                <w:rFonts w:asciiTheme="majorBidi" w:hAnsiTheme="majorBidi" w:cstheme="majorBidi"/>
                <w:b/>
                <w:bCs/>
                <w:sz w:val="12"/>
                <w:szCs w:val="12"/>
                <w:lang w:val="fr-FR" w:eastAsia="ko-KR"/>
              </w:rPr>
            </w:pPr>
            <w:r w:rsidRPr="00B41E3C">
              <w:rPr>
                <w:b/>
                <w:bCs/>
                <w:sz w:val="12"/>
                <w:szCs w:val="12"/>
                <w:lang w:val="fr-FR"/>
              </w:rPr>
              <w:t>Quantités limitées et quantités exceptées</w:t>
            </w:r>
          </w:p>
        </w:tc>
        <w:tc>
          <w:tcPr>
            <w:tcW w:w="763" w:type="dxa"/>
            <w:shd w:val="clear" w:color="auto" w:fill="auto"/>
            <w:vAlign w:val="bottom"/>
          </w:tcPr>
          <w:p w14:paraId="3E302EE7" w14:textId="77777777" w:rsidR="00CC5636" w:rsidRPr="00B41E3C" w:rsidRDefault="00CC5636" w:rsidP="00CC5636">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Instructions d’emballage</w:t>
            </w:r>
          </w:p>
        </w:tc>
        <w:tc>
          <w:tcPr>
            <w:tcW w:w="805" w:type="dxa"/>
            <w:shd w:val="clear" w:color="auto" w:fill="auto"/>
            <w:vAlign w:val="bottom"/>
          </w:tcPr>
          <w:p w14:paraId="598431A7" w14:textId="77777777" w:rsidR="00CC5636" w:rsidRPr="00B41E3C" w:rsidRDefault="00CC5636" w:rsidP="00CC5636">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 xml:space="preserve">Dispositions </w:t>
            </w:r>
            <w:r>
              <w:rPr>
                <w:b/>
                <w:bCs/>
                <w:sz w:val="12"/>
                <w:szCs w:val="12"/>
                <w:lang w:val="fr-FR"/>
              </w:rPr>
              <w:br/>
            </w:r>
            <w:r w:rsidRPr="00B41E3C">
              <w:rPr>
                <w:b/>
                <w:bCs/>
                <w:sz w:val="12"/>
                <w:szCs w:val="12"/>
                <w:lang w:val="fr-FR"/>
              </w:rPr>
              <w:t>spéciales</w:t>
            </w:r>
          </w:p>
        </w:tc>
        <w:tc>
          <w:tcPr>
            <w:tcW w:w="778" w:type="dxa"/>
            <w:shd w:val="clear" w:color="auto" w:fill="auto"/>
            <w:vAlign w:val="bottom"/>
          </w:tcPr>
          <w:p w14:paraId="3F71B66C" w14:textId="77777777" w:rsidR="00CC5636" w:rsidRPr="00B41E3C" w:rsidRDefault="00CC5636" w:rsidP="00CC5636">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 xml:space="preserve">Instructions </w:t>
            </w:r>
            <w:r>
              <w:rPr>
                <w:b/>
                <w:bCs/>
                <w:sz w:val="12"/>
                <w:szCs w:val="12"/>
                <w:lang w:val="fr-FR"/>
              </w:rPr>
              <w:br/>
            </w:r>
            <w:r w:rsidRPr="00B41E3C">
              <w:rPr>
                <w:b/>
                <w:bCs/>
                <w:sz w:val="12"/>
                <w:szCs w:val="12"/>
                <w:lang w:val="fr-FR"/>
              </w:rPr>
              <w:t>de transport</w:t>
            </w:r>
          </w:p>
        </w:tc>
        <w:tc>
          <w:tcPr>
            <w:tcW w:w="837" w:type="dxa"/>
            <w:shd w:val="clear" w:color="auto" w:fill="auto"/>
            <w:vAlign w:val="bottom"/>
          </w:tcPr>
          <w:p w14:paraId="08703683" w14:textId="77777777" w:rsidR="00CC5636" w:rsidRPr="00B41E3C" w:rsidRDefault="00CC5636" w:rsidP="00CC5636">
            <w:pPr>
              <w:spacing w:before="80" w:after="80" w:line="160" w:lineRule="exact"/>
              <w:ind w:left="57" w:right="57"/>
              <w:jc w:val="center"/>
              <w:rPr>
                <w:rFonts w:asciiTheme="majorBidi" w:hAnsiTheme="majorBidi" w:cstheme="majorBidi"/>
                <w:b/>
                <w:bCs/>
                <w:w w:val="90"/>
                <w:sz w:val="12"/>
                <w:szCs w:val="12"/>
              </w:rPr>
            </w:pPr>
            <w:r w:rsidRPr="00B41E3C">
              <w:rPr>
                <w:b/>
                <w:bCs/>
                <w:sz w:val="12"/>
                <w:szCs w:val="12"/>
                <w:lang w:val="fr-FR"/>
              </w:rPr>
              <w:t>Dispositions spéciales</w:t>
            </w:r>
          </w:p>
        </w:tc>
      </w:tr>
      <w:tr w:rsidR="00CC5636" w:rsidRPr="00136EED" w14:paraId="0A089F8F" w14:textId="77777777" w:rsidTr="00C97EE1">
        <w:trPr>
          <w:trHeight w:val="217"/>
        </w:trPr>
        <w:tc>
          <w:tcPr>
            <w:tcW w:w="523" w:type="dxa"/>
            <w:shd w:val="clear" w:color="auto" w:fill="auto"/>
          </w:tcPr>
          <w:p w14:paraId="05927746"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(1)</w:t>
            </w:r>
          </w:p>
        </w:tc>
        <w:tc>
          <w:tcPr>
            <w:tcW w:w="1604" w:type="dxa"/>
            <w:gridSpan w:val="2"/>
            <w:shd w:val="clear" w:color="auto" w:fill="auto"/>
          </w:tcPr>
          <w:p w14:paraId="5EF660BD"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(2)</w:t>
            </w:r>
          </w:p>
        </w:tc>
        <w:tc>
          <w:tcPr>
            <w:tcW w:w="713" w:type="dxa"/>
            <w:gridSpan w:val="2"/>
            <w:shd w:val="clear" w:color="auto" w:fill="auto"/>
          </w:tcPr>
          <w:p w14:paraId="2CEA2839"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(3)</w:t>
            </w:r>
          </w:p>
        </w:tc>
        <w:tc>
          <w:tcPr>
            <w:tcW w:w="713" w:type="dxa"/>
            <w:gridSpan w:val="2"/>
            <w:shd w:val="clear" w:color="auto" w:fill="auto"/>
          </w:tcPr>
          <w:p w14:paraId="2E15EC53"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(4)</w:t>
            </w:r>
          </w:p>
        </w:tc>
        <w:tc>
          <w:tcPr>
            <w:tcW w:w="764" w:type="dxa"/>
            <w:shd w:val="clear" w:color="auto" w:fill="auto"/>
          </w:tcPr>
          <w:p w14:paraId="1A17E8EC"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(5)</w:t>
            </w:r>
          </w:p>
        </w:tc>
        <w:tc>
          <w:tcPr>
            <w:tcW w:w="784" w:type="dxa"/>
            <w:shd w:val="clear" w:color="auto" w:fill="auto"/>
          </w:tcPr>
          <w:p w14:paraId="224F6520"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(6)</w:t>
            </w:r>
          </w:p>
        </w:tc>
        <w:tc>
          <w:tcPr>
            <w:tcW w:w="657" w:type="dxa"/>
            <w:shd w:val="clear" w:color="auto" w:fill="auto"/>
          </w:tcPr>
          <w:p w14:paraId="5AE749BA"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(7a)</w:t>
            </w:r>
          </w:p>
        </w:tc>
        <w:tc>
          <w:tcPr>
            <w:tcW w:w="714" w:type="dxa"/>
            <w:shd w:val="clear" w:color="auto" w:fill="auto"/>
          </w:tcPr>
          <w:p w14:paraId="76043AE2"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(7b)</w:t>
            </w:r>
          </w:p>
        </w:tc>
        <w:tc>
          <w:tcPr>
            <w:tcW w:w="763" w:type="dxa"/>
            <w:shd w:val="clear" w:color="auto" w:fill="auto"/>
          </w:tcPr>
          <w:p w14:paraId="1B53F9E6"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(8)</w:t>
            </w:r>
          </w:p>
        </w:tc>
        <w:tc>
          <w:tcPr>
            <w:tcW w:w="805" w:type="dxa"/>
            <w:shd w:val="clear" w:color="auto" w:fill="auto"/>
          </w:tcPr>
          <w:p w14:paraId="7FA6A187"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(9)</w:t>
            </w:r>
          </w:p>
        </w:tc>
        <w:tc>
          <w:tcPr>
            <w:tcW w:w="778" w:type="dxa"/>
            <w:shd w:val="clear" w:color="auto" w:fill="auto"/>
          </w:tcPr>
          <w:p w14:paraId="368FA1FE"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(10)</w:t>
            </w:r>
          </w:p>
        </w:tc>
        <w:tc>
          <w:tcPr>
            <w:tcW w:w="837" w:type="dxa"/>
            <w:shd w:val="clear" w:color="auto" w:fill="auto"/>
          </w:tcPr>
          <w:p w14:paraId="3F46611E" w14:textId="77777777" w:rsidR="00CC5636" w:rsidRPr="00136EED" w:rsidRDefault="00CC5636" w:rsidP="00CC5636">
            <w:pPr>
              <w:spacing w:before="80" w:after="80"/>
              <w:ind w:left="57" w:right="57"/>
              <w:rPr>
                <w:rFonts w:asciiTheme="majorBidi" w:hAnsiTheme="majorBidi" w:cstheme="majorBidi"/>
                <w:b/>
                <w:bCs/>
                <w:sz w:val="12"/>
                <w:szCs w:val="12"/>
              </w:rPr>
            </w:pPr>
            <w:r w:rsidRPr="00136EED">
              <w:rPr>
                <w:b/>
                <w:bCs/>
                <w:sz w:val="12"/>
                <w:szCs w:val="12"/>
                <w:lang w:val="fr-FR"/>
              </w:rPr>
              <w:t>(11)</w:t>
            </w:r>
          </w:p>
        </w:tc>
      </w:tr>
      <w:tr w:rsidR="00CC5636" w:rsidRPr="00186BA8" w14:paraId="6418B584" w14:textId="77777777" w:rsidTr="00C97EE1">
        <w:trPr>
          <w:trHeight w:val="603"/>
        </w:trPr>
        <w:tc>
          <w:tcPr>
            <w:tcW w:w="523" w:type="dxa"/>
            <w:shd w:val="clear" w:color="auto" w:fill="auto"/>
          </w:tcPr>
          <w:p w14:paraId="07DDD465" w14:textId="77777777" w:rsidR="00CC5636" w:rsidRPr="00186BA8" w:rsidRDefault="00CC5636" w:rsidP="00CC5636">
            <w:pPr>
              <w:ind w:left="57" w:right="57"/>
              <w:rPr>
                <w:rFonts w:asciiTheme="majorBidi" w:hAnsiTheme="majorBidi" w:cstheme="majorBidi"/>
                <w:sz w:val="16"/>
                <w:szCs w:val="16"/>
              </w:rPr>
            </w:pPr>
            <w:r w:rsidRPr="00186BA8">
              <w:rPr>
                <w:sz w:val="16"/>
                <w:szCs w:val="16"/>
                <w:lang w:val="fr-FR"/>
              </w:rPr>
              <w:t>2248</w:t>
            </w:r>
          </w:p>
        </w:tc>
        <w:tc>
          <w:tcPr>
            <w:tcW w:w="1604" w:type="dxa"/>
            <w:gridSpan w:val="2"/>
            <w:shd w:val="clear" w:color="auto" w:fill="auto"/>
          </w:tcPr>
          <w:p w14:paraId="6429D6F1" w14:textId="77777777" w:rsidR="00CC5636" w:rsidRPr="00186BA8" w:rsidRDefault="00CC5636" w:rsidP="00CC5636">
            <w:pPr>
              <w:ind w:left="57" w:right="57"/>
              <w:rPr>
                <w:rFonts w:asciiTheme="majorBidi" w:hAnsiTheme="majorBidi" w:cstheme="majorBidi"/>
                <w:sz w:val="16"/>
                <w:szCs w:val="16"/>
              </w:rPr>
            </w:pPr>
            <w:r w:rsidRPr="00186BA8">
              <w:rPr>
                <w:sz w:val="16"/>
                <w:szCs w:val="16"/>
                <w:lang w:val="fr-FR"/>
              </w:rPr>
              <w:t>DI-n-BUTYLAMINE</w:t>
            </w:r>
          </w:p>
        </w:tc>
        <w:tc>
          <w:tcPr>
            <w:tcW w:w="713" w:type="dxa"/>
            <w:gridSpan w:val="2"/>
            <w:shd w:val="clear" w:color="auto" w:fill="auto"/>
          </w:tcPr>
          <w:p w14:paraId="3427DADB" w14:textId="77777777" w:rsidR="00CC5636" w:rsidRPr="00B840C7" w:rsidRDefault="00CC5636" w:rsidP="00CC5636">
            <w:pPr>
              <w:ind w:left="57" w:right="57"/>
              <w:rPr>
                <w:rFonts w:asciiTheme="majorBidi" w:hAnsiTheme="majorBidi" w:cstheme="majorBidi"/>
                <w:bCs/>
                <w:strike/>
                <w:sz w:val="16"/>
                <w:szCs w:val="16"/>
              </w:rPr>
            </w:pPr>
            <w:r w:rsidRPr="00B840C7">
              <w:rPr>
                <w:strike/>
                <w:sz w:val="16"/>
                <w:szCs w:val="16"/>
                <w:lang w:val="fr-FR"/>
              </w:rPr>
              <w:t>8</w:t>
            </w:r>
          </w:p>
          <w:p w14:paraId="7803CE55" w14:textId="77777777" w:rsidR="00CC5636" w:rsidRPr="00186BA8" w:rsidRDefault="00CC5636" w:rsidP="00CC5636">
            <w:pPr>
              <w:ind w:left="57" w:right="57"/>
              <w:rPr>
                <w:rFonts w:asciiTheme="majorBidi" w:hAnsiTheme="majorBidi" w:cstheme="majorBidi"/>
                <w:b/>
                <w:bCs/>
                <w:sz w:val="16"/>
                <w:szCs w:val="16"/>
                <w:u w:val="single"/>
              </w:rPr>
            </w:pPr>
            <w:r w:rsidRPr="00186BA8">
              <w:rPr>
                <w:b/>
                <w:bCs/>
                <w:color w:val="FF0000"/>
                <w:sz w:val="16"/>
                <w:szCs w:val="16"/>
                <w:u w:val="single"/>
                <w:lang w:val="fr-FR"/>
              </w:rPr>
              <w:t>6.1</w:t>
            </w:r>
          </w:p>
        </w:tc>
        <w:tc>
          <w:tcPr>
            <w:tcW w:w="713" w:type="dxa"/>
            <w:gridSpan w:val="2"/>
            <w:shd w:val="clear" w:color="auto" w:fill="auto"/>
          </w:tcPr>
          <w:p w14:paraId="450F9DB9" w14:textId="77777777" w:rsidR="00CC5636" w:rsidRPr="00186BA8" w:rsidRDefault="00CC5636" w:rsidP="00CC5636">
            <w:pPr>
              <w:ind w:left="57" w:right="57"/>
              <w:rPr>
                <w:rFonts w:asciiTheme="majorBidi" w:hAnsiTheme="majorBidi" w:cstheme="majorBidi"/>
                <w:sz w:val="16"/>
                <w:szCs w:val="16"/>
              </w:rPr>
            </w:pPr>
            <w:r w:rsidRPr="00186BA8">
              <w:rPr>
                <w:sz w:val="16"/>
                <w:szCs w:val="16"/>
                <w:lang w:val="fr-FR"/>
              </w:rPr>
              <w:t>3</w:t>
            </w:r>
          </w:p>
          <w:p w14:paraId="03228C04" w14:textId="77777777" w:rsidR="00CC5636" w:rsidRPr="00186BA8" w:rsidRDefault="00CC5636" w:rsidP="00CC5636">
            <w:pPr>
              <w:ind w:left="57" w:right="57"/>
              <w:rPr>
                <w:rFonts w:asciiTheme="majorBidi" w:hAnsiTheme="majorBidi" w:cstheme="majorBidi"/>
                <w:b/>
                <w:color w:val="FF0000"/>
                <w:sz w:val="16"/>
                <w:szCs w:val="16"/>
                <w:u w:val="single"/>
              </w:rPr>
            </w:pPr>
            <w:r w:rsidRPr="00186BA8">
              <w:rPr>
                <w:b/>
                <w:bCs/>
                <w:color w:val="FF0000"/>
                <w:sz w:val="16"/>
                <w:szCs w:val="16"/>
                <w:u w:val="single"/>
                <w:lang w:val="fr-FR"/>
              </w:rPr>
              <w:t>8</w:t>
            </w:r>
          </w:p>
        </w:tc>
        <w:tc>
          <w:tcPr>
            <w:tcW w:w="764" w:type="dxa"/>
            <w:shd w:val="clear" w:color="auto" w:fill="auto"/>
          </w:tcPr>
          <w:p w14:paraId="5F6225B5" w14:textId="77777777" w:rsidR="00CC5636" w:rsidRPr="00186BA8" w:rsidRDefault="00CC5636" w:rsidP="00CC5636">
            <w:pPr>
              <w:ind w:left="57" w:right="57"/>
              <w:rPr>
                <w:rFonts w:asciiTheme="majorBidi" w:hAnsiTheme="majorBidi" w:cstheme="majorBidi"/>
                <w:sz w:val="16"/>
                <w:szCs w:val="16"/>
              </w:rPr>
            </w:pPr>
            <w:r w:rsidRPr="00186BA8">
              <w:rPr>
                <w:sz w:val="16"/>
                <w:szCs w:val="16"/>
                <w:lang w:val="fr-FR"/>
              </w:rPr>
              <w:t>II</w:t>
            </w:r>
          </w:p>
        </w:tc>
        <w:tc>
          <w:tcPr>
            <w:tcW w:w="784" w:type="dxa"/>
            <w:shd w:val="clear" w:color="auto" w:fill="auto"/>
          </w:tcPr>
          <w:p w14:paraId="534D69B2" w14:textId="77777777" w:rsidR="00CC5636" w:rsidRPr="00186BA8" w:rsidRDefault="00CC5636" w:rsidP="00CC5636">
            <w:pPr>
              <w:ind w:left="57" w:right="57"/>
              <w:rPr>
                <w:rFonts w:asciiTheme="majorBidi" w:hAnsiTheme="majorBidi" w:cstheme="majorBidi"/>
                <w:sz w:val="16"/>
                <w:szCs w:val="16"/>
              </w:rPr>
            </w:pPr>
            <w:r w:rsidRPr="00186BA8">
              <w:rPr>
                <w:sz w:val="16"/>
                <w:szCs w:val="16"/>
                <w:lang w:val="fr-FR"/>
              </w:rPr>
              <w:t>-</w:t>
            </w:r>
          </w:p>
        </w:tc>
        <w:tc>
          <w:tcPr>
            <w:tcW w:w="657" w:type="dxa"/>
            <w:shd w:val="clear" w:color="auto" w:fill="auto"/>
          </w:tcPr>
          <w:p w14:paraId="5BDCB372" w14:textId="77777777" w:rsidR="00CC5636" w:rsidRPr="00186BA8" w:rsidRDefault="00CC5636" w:rsidP="00CC5636">
            <w:pPr>
              <w:ind w:left="57" w:right="57"/>
              <w:rPr>
                <w:rFonts w:asciiTheme="majorBidi" w:hAnsiTheme="majorBidi" w:cstheme="majorBidi"/>
                <w:bCs/>
                <w:strike/>
                <w:sz w:val="16"/>
                <w:szCs w:val="16"/>
              </w:rPr>
            </w:pPr>
            <w:r w:rsidRPr="00186BA8">
              <w:rPr>
                <w:strike/>
                <w:sz w:val="16"/>
                <w:szCs w:val="16"/>
                <w:lang w:val="fr-FR"/>
              </w:rPr>
              <w:t>1 L</w:t>
            </w:r>
          </w:p>
          <w:p w14:paraId="3CDCF7D4" w14:textId="77777777" w:rsidR="00CC5636" w:rsidRPr="00186BA8" w:rsidRDefault="00CC5636" w:rsidP="00CC5636">
            <w:pPr>
              <w:ind w:left="57" w:right="57"/>
              <w:rPr>
                <w:rFonts w:asciiTheme="majorBidi" w:hAnsiTheme="majorBidi" w:cstheme="majorBidi"/>
                <w:b/>
                <w:color w:val="FF0000"/>
                <w:sz w:val="16"/>
                <w:szCs w:val="16"/>
                <w:u w:val="single"/>
              </w:rPr>
            </w:pPr>
            <w:r w:rsidRPr="00186BA8">
              <w:rPr>
                <w:b/>
                <w:bCs/>
                <w:color w:val="FF0000"/>
                <w:sz w:val="16"/>
                <w:szCs w:val="16"/>
                <w:u w:val="single"/>
                <w:lang w:val="fr-FR"/>
              </w:rPr>
              <w:t>100 ml</w:t>
            </w:r>
          </w:p>
        </w:tc>
        <w:tc>
          <w:tcPr>
            <w:tcW w:w="714" w:type="dxa"/>
            <w:shd w:val="clear" w:color="auto" w:fill="auto"/>
          </w:tcPr>
          <w:p w14:paraId="041C4A93" w14:textId="77777777" w:rsidR="00CC5636" w:rsidRPr="00186BA8" w:rsidRDefault="00CC5636" w:rsidP="00CC5636">
            <w:pPr>
              <w:ind w:left="57" w:right="57"/>
              <w:rPr>
                <w:rFonts w:asciiTheme="majorBidi" w:hAnsiTheme="majorBidi" w:cstheme="majorBidi"/>
                <w:bCs/>
                <w:strike/>
                <w:sz w:val="16"/>
                <w:szCs w:val="16"/>
              </w:rPr>
            </w:pPr>
            <w:r w:rsidRPr="00186BA8">
              <w:rPr>
                <w:strike/>
                <w:sz w:val="16"/>
                <w:szCs w:val="16"/>
                <w:lang w:val="fr-FR"/>
              </w:rPr>
              <w:t>E2</w:t>
            </w:r>
          </w:p>
          <w:p w14:paraId="4C65929D" w14:textId="77777777" w:rsidR="00CC5636" w:rsidRPr="00186BA8" w:rsidRDefault="00CC5636" w:rsidP="00CC5636">
            <w:pPr>
              <w:ind w:left="57" w:right="57"/>
              <w:rPr>
                <w:rFonts w:asciiTheme="majorBidi" w:hAnsiTheme="majorBidi" w:cstheme="majorBidi"/>
                <w:b/>
                <w:color w:val="FF0000"/>
                <w:sz w:val="16"/>
                <w:szCs w:val="16"/>
                <w:u w:val="single"/>
              </w:rPr>
            </w:pPr>
            <w:r w:rsidRPr="00186BA8">
              <w:rPr>
                <w:b/>
                <w:bCs/>
                <w:color w:val="FF0000"/>
                <w:sz w:val="16"/>
                <w:szCs w:val="16"/>
                <w:u w:val="single"/>
                <w:lang w:val="fr-FR"/>
              </w:rPr>
              <w:t>E4</w:t>
            </w:r>
          </w:p>
        </w:tc>
        <w:tc>
          <w:tcPr>
            <w:tcW w:w="763" w:type="dxa"/>
            <w:shd w:val="clear" w:color="auto" w:fill="auto"/>
          </w:tcPr>
          <w:p w14:paraId="6FB66720" w14:textId="77777777" w:rsidR="00CC5636" w:rsidRPr="00186BA8" w:rsidRDefault="00CC5636" w:rsidP="00CC5636">
            <w:pPr>
              <w:ind w:left="57" w:right="57"/>
              <w:rPr>
                <w:rFonts w:asciiTheme="majorBidi" w:hAnsiTheme="majorBidi" w:cstheme="majorBidi"/>
                <w:sz w:val="16"/>
                <w:szCs w:val="16"/>
              </w:rPr>
            </w:pPr>
            <w:r w:rsidRPr="00186BA8">
              <w:rPr>
                <w:sz w:val="16"/>
                <w:szCs w:val="16"/>
                <w:lang w:val="fr-FR"/>
              </w:rPr>
              <w:t>P001</w:t>
            </w:r>
          </w:p>
          <w:p w14:paraId="439F2B83" w14:textId="77777777" w:rsidR="00CC5636" w:rsidRPr="00186BA8" w:rsidRDefault="00CC5636" w:rsidP="00CC5636">
            <w:pPr>
              <w:ind w:left="57" w:right="57"/>
              <w:rPr>
                <w:rFonts w:asciiTheme="majorBidi" w:hAnsiTheme="majorBidi" w:cstheme="majorBidi"/>
                <w:sz w:val="16"/>
                <w:szCs w:val="16"/>
              </w:rPr>
            </w:pPr>
            <w:r w:rsidRPr="00186BA8">
              <w:rPr>
                <w:sz w:val="16"/>
                <w:szCs w:val="16"/>
                <w:lang w:val="fr-FR"/>
              </w:rPr>
              <w:t>IBC02</w:t>
            </w:r>
          </w:p>
        </w:tc>
        <w:tc>
          <w:tcPr>
            <w:tcW w:w="805" w:type="dxa"/>
            <w:shd w:val="clear" w:color="auto" w:fill="auto"/>
          </w:tcPr>
          <w:p w14:paraId="4C552837" w14:textId="77777777" w:rsidR="00CC5636" w:rsidRPr="00186BA8" w:rsidRDefault="00CC5636" w:rsidP="00CC5636">
            <w:pPr>
              <w:ind w:left="57" w:right="57"/>
              <w:rPr>
                <w:rFonts w:asciiTheme="majorBidi" w:hAnsiTheme="majorBidi" w:cstheme="majorBidi"/>
                <w:sz w:val="16"/>
                <w:szCs w:val="16"/>
              </w:rPr>
            </w:pPr>
            <w:r w:rsidRPr="00186BA8">
              <w:rPr>
                <w:sz w:val="16"/>
                <w:szCs w:val="16"/>
                <w:lang w:val="fr-FR"/>
              </w:rPr>
              <w:t>-</w:t>
            </w:r>
          </w:p>
        </w:tc>
        <w:tc>
          <w:tcPr>
            <w:tcW w:w="778" w:type="dxa"/>
            <w:shd w:val="clear" w:color="auto" w:fill="auto"/>
          </w:tcPr>
          <w:p w14:paraId="79F4A7D5" w14:textId="77777777" w:rsidR="00CC5636" w:rsidRPr="00186BA8" w:rsidRDefault="00CC5636" w:rsidP="00CC5636">
            <w:pPr>
              <w:ind w:left="57" w:right="57"/>
              <w:rPr>
                <w:rFonts w:asciiTheme="majorBidi" w:hAnsiTheme="majorBidi" w:cstheme="majorBidi"/>
                <w:bCs/>
                <w:strike/>
                <w:sz w:val="16"/>
                <w:szCs w:val="16"/>
              </w:rPr>
            </w:pPr>
            <w:r w:rsidRPr="00186BA8">
              <w:rPr>
                <w:strike/>
                <w:sz w:val="16"/>
                <w:szCs w:val="16"/>
                <w:lang w:val="fr-FR"/>
              </w:rPr>
              <w:t>T7</w:t>
            </w:r>
          </w:p>
          <w:p w14:paraId="39D79F20" w14:textId="77777777" w:rsidR="00CC5636" w:rsidRPr="00186BA8" w:rsidRDefault="00CC5636" w:rsidP="00CC5636">
            <w:pPr>
              <w:ind w:left="57" w:right="57"/>
              <w:rPr>
                <w:rFonts w:asciiTheme="majorBidi" w:hAnsiTheme="majorBidi" w:cstheme="majorBidi"/>
                <w:b/>
                <w:sz w:val="16"/>
                <w:szCs w:val="16"/>
                <w:u w:val="single"/>
              </w:rPr>
            </w:pPr>
            <w:r w:rsidRPr="00186BA8">
              <w:rPr>
                <w:b/>
                <w:bCs/>
                <w:color w:val="FF0000"/>
                <w:sz w:val="16"/>
                <w:szCs w:val="16"/>
                <w:u w:val="single"/>
                <w:lang w:val="fr-FR"/>
              </w:rPr>
              <w:t>T20</w:t>
            </w:r>
          </w:p>
        </w:tc>
        <w:tc>
          <w:tcPr>
            <w:tcW w:w="837" w:type="dxa"/>
            <w:shd w:val="clear" w:color="auto" w:fill="auto"/>
          </w:tcPr>
          <w:p w14:paraId="20005523" w14:textId="77777777" w:rsidR="00CC5636" w:rsidRPr="00186BA8" w:rsidRDefault="00CC5636" w:rsidP="00CC5636">
            <w:pPr>
              <w:ind w:left="57" w:right="57"/>
              <w:rPr>
                <w:rFonts w:asciiTheme="majorBidi" w:hAnsiTheme="majorBidi" w:cstheme="majorBidi"/>
                <w:sz w:val="16"/>
                <w:szCs w:val="16"/>
              </w:rPr>
            </w:pPr>
            <w:r w:rsidRPr="00186BA8">
              <w:rPr>
                <w:sz w:val="16"/>
                <w:szCs w:val="16"/>
                <w:lang w:val="fr-FR"/>
              </w:rPr>
              <w:t>TP2</w:t>
            </w:r>
          </w:p>
          <w:p w14:paraId="47CED045" w14:textId="77777777" w:rsidR="00CC5636" w:rsidRPr="00186BA8" w:rsidRDefault="00CC5636" w:rsidP="00CC5636">
            <w:pPr>
              <w:ind w:left="57" w:right="57"/>
              <w:rPr>
                <w:rFonts w:asciiTheme="majorBidi" w:hAnsiTheme="majorBidi" w:cstheme="majorBidi"/>
                <w:b/>
                <w:sz w:val="16"/>
                <w:szCs w:val="16"/>
                <w:u w:val="single"/>
              </w:rPr>
            </w:pPr>
            <w:r w:rsidRPr="00186BA8">
              <w:rPr>
                <w:b/>
                <w:bCs/>
                <w:color w:val="FF0000"/>
                <w:sz w:val="16"/>
                <w:szCs w:val="16"/>
                <w:u w:val="single"/>
                <w:lang w:val="fr-FR"/>
              </w:rPr>
              <w:t>TP13</w:t>
            </w:r>
          </w:p>
        </w:tc>
      </w:tr>
    </w:tbl>
    <w:p w14:paraId="22F8699D" w14:textId="77777777" w:rsidR="00002F14" w:rsidRPr="003A0DD8" w:rsidRDefault="00002F14" w:rsidP="00173C29">
      <w:pPr>
        <w:pStyle w:val="HChG"/>
        <w:rPr>
          <w:lang w:val="fr-FR"/>
        </w:rPr>
      </w:pPr>
      <w:r>
        <w:rPr>
          <w:lang w:val="fr-FR"/>
        </w:rPr>
        <w:tab/>
      </w:r>
      <w:r>
        <w:rPr>
          <w:lang w:val="fr-FR"/>
        </w:rPr>
        <w:tab/>
        <w:t>Amendements concernant le No ONU 2264</w:t>
      </w:r>
    </w:p>
    <w:p w14:paraId="2EF86BA7" w14:textId="77777777" w:rsidR="00002F14" w:rsidRPr="00B840C7" w:rsidRDefault="00002F14" w:rsidP="00002F14">
      <w:pPr>
        <w:pStyle w:val="H1G"/>
        <w:rPr>
          <w:lang w:val="fr-FR"/>
        </w:rPr>
      </w:pPr>
      <w:r>
        <w:rPr>
          <w:lang w:val="fr-FR"/>
        </w:rPr>
        <w:tab/>
      </w:r>
      <w:r>
        <w:rPr>
          <w:lang w:val="fr-FR"/>
        </w:rPr>
        <w:tab/>
      </w:r>
      <w:r>
        <w:rPr>
          <w:bCs/>
          <w:lang w:val="fr-FR"/>
        </w:rPr>
        <w:t>Justification</w:t>
      </w:r>
    </w:p>
    <w:p w14:paraId="0B46A150" w14:textId="77777777" w:rsidR="00002F14" w:rsidRPr="003A0DD8" w:rsidRDefault="00002F14" w:rsidP="00002F14">
      <w:pPr>
        <w:pStyle w:val="SingleTxtG"/>
        <w:rPr>
          <w:lang w:val="fr-FR"/>
        </w:rPr>
      </w:pPr>
      <w:r>
        <w:rPr>
          <w:lang w:val="fr-FR"/>
        </w:rPr>
        <w:t>25.</w:t>
      </w:r>
      <w:r>
        <w:rPr>
          <w:lang w:val="fr-FR"/>
        </w:rPr>
        <w:tab/>
        <w:t>D’après les données fournies (pour plus de précisions, se reporter à l’annexe</w:t>
      </w:r>
      <w:r w:rsidR="00173C29">
        <w:rPr>
          <w:lang w:val="fr-FR"/>
        </w:rPr>
        <w:t> </w:t>
      </w:r>
      <w:r>
        <w:rPr>
          <w:lang w:val="fr-FR"/>
        </w:rPr>
        <w:t>III), le</w:t>
      </w:r>
      <w:r w:rsidR="00173C29">
        <w:rPr>
          <w:lang w:val="fr-FR"/>
        </w:rPr>
        <w:t> </w:t>
      </w:r>
      <w:r>
        <w:rPr>
          <w:lang w:val="fr-FR"/>
        </w:rPr>
        <w:t>No ONU 2264 présente une toxicité à l’ingestion (DL</w:t>
      </w:r>
      <w:r>
        <w:rPr>
          <w:vertAlign w:val="subscript"/>
          <w:lang w:val="fr-FR"/>
        </w:rPr>
        <w:t>50</w:t>
      </w:r>
      <w:r>
        <w:rPr>
          <w:lang w:val="fr-FR"/>
        </w:rPr>
        <w:t>) de 272 mg/kg et une toxicité aiguë à l’absorption cutanée (DL</w:t>
      </w:r>
      <w:r>
        <w:rPr>
          <w:vertAlign w:val="subscript"/>
          <w:lang w:val="fr-FR"/>
        </w:rPr>
        <w:t>50</w:t>
      </w:r>
      <w:r>
        <w:rPr>
          <w:lang w:val="fr-FR"/>
        </w:rPr>
        <w:t>) de 380 mg/kg.</w:t>
      </w:r>
    </w:p>
    <w:p w14:paraId="2FA74405" w14:textId="77777777" w:rsidR="00002F14" w:rsidRPr="003A0DD8" w:rsidRDefault="00002F14" w:rsidP="00002F14">
      <w:pPr>
        <w:pStyle w:val="SingleTxtG"/>
        <w:rPr>
          <w:lang w:val="fr-FR"/>
        </w:rPr>
      </w:pPr>
      <w:r>
        <w:rPr>
          <w:lang w:val="fr-FR"/>
        </w:rPr>
        <w:t>26.</w:t>
      </w:r>
      <w:r>
        <w:rPr>
          <w:lang w:val="fr-FR"/>
        </w:rPr>
        <w:tab/>
        <w:t>Par conséquent, selon le tableau 2, le No ONU 2264 devrait être classé dans la division 6.1, groupe d’emballage III.</w:t>
      </w:r>
    </w:p>
    <w:p w14:paraId="3EE93202" w14:textId="77777777" w:rsidR="00002F14" w:rsidRPr="003A0DD8" w:rsidRDefault="00002F14" w:rsidP="00002F14">
      <w:pPr>
        <w:pStyle w:val="SingleTxtG"/>
        <w:rPr>
          <w:lang w:val="fr-FR"/>
        </w:rPr>
      </w:pPr>
      <w:r>
        <w:rPr>
          <w:lang w:val="fr-FR"/>
        </w:rPr>
        <w:t>27.</w:t>
      </w:r>
      <w:r>
        <w:rPr>
          <w:lang w:val="fr-FR"/>
        </w:rPr>
        <w:tab/>
        <w:t>La classe de danger principale du No ONU 2264 devrait rester la classe 8 et la division 6.1 devrait être ajoutée comme risque subsidiaire, conformément au tableau de l’ordre de prépondérance des caractéristiques de danger figurant au paragraphe 2.0.3.3 du Règlement type.</w:t>
      </w:r>
    </w:p>
    <w:p w14:paraId="1330476D" w14:textId="77777777" w:rsidR="00002F14" w:rsidRPr="003A0DD8" w:rsidRDefault="00002F14" w:rsidP="00002F14">
      <w:pPr>
        <w:pStyle w:val="SingleTxtG"/>
        <w:rPr>
          <w:lang w:val="fr-FR"/>
        </w:rPr>
      </w:pPr>
      <w:r>
        <w:rPr>
          <w:lang w:val="fr-FR"/>
        </w:rPr>
        <w:t>28.</w:t>
      </w:r>
      <w:r>
        <w:rPr>
          <w:lang w:val="fr-FR"/>
        </w:rPr>
        <w:tab/>
        <w:t>Il n’est pas nécessaire de modifier d’autres conditions de transport, notamment les instructions d’emballage ou les quantités limitées et quantités exceptées, comme cela a été confirmé.</w:t>
      </w:r>
    </w:p>
    <w:p w14:paraId="3E30EC20" w14:textId="77777777" w:rsidR="00002F14" w:rsidRPr="003A0DD8" w:rsidRDefault="00002F14" w:rsidP="00002F14">
      <w:pPr>
        <w:pStyle w:val="SingleTxtG"/>
        <w:rPr>
          <w:lang w:val="fr-FR"/>
        </w:rPr>
      </w:pPr>
      <w:r>
        <w:rPr>
          <w:lang w:val="fr-FR"/>
        </w:rPr>
        <w:t>29.</w:t>
      </w:r>
      <w:r>
        <w:rPr>
          <w:lang w:val="fr-FR"/>
        </w:rPr>
        <w:tab/>
        <w:t xml:space="preserve">La toxicité à l’inhalation de vapeurs est comprise entre 1,7 et 5,8 mg/l (320 à 1 120 ppm) pour une exposition de 6 heures. Le Règlement type ne prévoit pas de méthode pour obtenir une valeur limite pour une exposition d’une heure à partir de la valeur pour une exposition de 6 heures. Si l’on pouvait appliquer arbitrairement la méthode de conversion pour les vapeurs par analogie avec celle indiquée pour une exposition de 4 heures, c’est-à-dire en multipliant par 3 au lieu de 2 la valeur pour une exposition de 6 heures, on obtiendrait une valeur de toxicité comprise entre 5,1 et 17,4 mg/l pour une exposition d’une heure. Étant donné, d’une part, que cette plage de valeurs est trop large et, d’autre part, qu’il n’existe pas </w:t>
      </w:r>
      <w:r>
        <w:rPr>
          <w:lang w:val="fr-FR"/>
        </w:rPr>
        <w:lastRenderedPageBreak/>
        <w:t>de méthode de conversion attestée à partir d’une valeur pour une exposition de 6 heures, la toxicité à l’inhalation du No ONU 2264 n’a pas été prise en compte dans la proposition.</w:t>
      </w:r>
    </w:p>
    <w:p w14:paraId="75DF650F" w14:textId="77777777" w:rsidR="00002F14" w:rsidRPr="003A0DD8" w:rsidRDefault="00002F14" w:rsidP="00002F14">
      <w:pPr>
        <w:pStyle w:val="H1G"/>
        <w:rPr>
          <w:lang w:val="fr-FR"/>
        </w:rPr>
      </w:pPr>
      <w:r>
        <w:rPr>
          <w:lang w:val="fr-FR"/>
        </w:rPr>
        <w:tab/>
      </w:r>
      <w:r>
        <w:rPr>
          <w:lang w:val="fr-FR"/>
        </w:rPr>
        <w:tab/>
      </w:r>
      <w:r>
        <w:rPr>
          <w:bCs/>
          <w:lang w:val="fr-FR"/>
        </w:rPr>
        <w:t>Proposition</w:t>
      </w:r>
    </w:p>
    <w:p w14:paraId="1634DDB3" w14:textId="77777777" w:rsidR="00002F14" w:rsidRPr="003A0DD8" w:rsidRDefault="00002F14" w:rsidP="00002F14">
      <w:pPr>
        <w:pStyle w:val="SingleTxtG"/>
        <w:rPr>
          <w:lang w:val="fr-FR"/>
        </w:rPr>
      </w:pPr>
      <w:r>
        <w:rPr>
          <w:lang w:val="fr-FR"/>
        </w:rPr>
        <w:t>30.</w:t>
      </w:r>
      <w:r>
        <w:rPr>
          <w:lang w:val="fr-FR"/>
        </w:rPr>
        <w:tab/>
        <w:t xml:space="preserve">Modifier la ligne du No ONU 2264 dans la liste des marchandises dangereuses comme suit (le texte à ajouter apparaît en caractères </w:t>
      </w:r>
      <w:r w:rsidRPr="00B840C7">
        <w:rPr>
          <w:b/>
          <w:bCs/>
          <w:color w:val="FF0000"/>
          <w:u w:val="single"/>
          <w:lang w:val="fr-FR"/>
        </w:rPr>
        <w:t>rouges, gras</w:t>
      </w:r>
      <w:r>
        <w:rPr>
          <w:b/>
          <w:bCs/>
          <w:color w:val="FF0000"/>
          <w:u w:val="single"/>
          <w:lang w:val="fr-FR"/>
        </w:rPr>
        <w:t xml:space="preserve"> et</w:t>
      </w:r>
      <w:r w:rsidRPr="00B840C7">
        <w:rPr>
          <w:b/>
          <w:bCs/>
          <w:color w:val="FF0000"/>
          <w:u w:val="single"/>
          <w:lang w:val="fr-FR"/>
        </w:rPr>
        <w:t xml:space="preserve"> soulignés</w:t>
      </w:r>
      <w:r>
        <w:rPr>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2"/>
        <w:gridCol w:w="1577"/>
        <w:gridCol w:w="672"/>
        <w:gridCol w:w="770"/>
        <w:gridCol w:w="769"/>
        <w:gridCol w:w="850"/>
        <w:gridCol w:w="567"/>
        <w:gridCol w:w="567"/>
        <w:gridCol w:w="788"/>
        <w:gridCol w:w="771"/>
        <w:gridCol w:w="851"/>
        <w:gridCol w:w="843"/>
      </w:tblGrid>
      <w:tr w:rsidR="005F4DF7" w:rsidRPr="00173C29" w14:paraId="06E926CF" w14:textId="77777777" w:rsidTr="005F4DF7">
        <w:trPr>
          <w:trHeight w:val="463"/>
        </w:trPr>
        <w:tc>
          <w:tcPr>
            <w:tcW w:w="612" w:type="dxa"/>
            <w:vMerge w:val="restart"/>
            <w:shd w:val="clear" w:color="auto" w:fill="auto"/>
            <w:vAlign w:val="bottom"/>
          </w:tcPr>
          <w:p w14:paraId="0529C937" w14:textId="77777777" w:rsidR="00002F14" w:rsidRPr="00173C29" w:rsidRDefault="00002F14" w:rsidP="005F4DF7">
            <w:pPr>
              <w:spacing w:before="80" w:after="80" w:line="160" w:lineRule="exact"/>
              <w:ind w:left="57" w:right="57"/>
              <w:rPr>
                <w:rFonts w:asciiTheme="majorBidi" w:hAnsiTheme="majorBidi" w:cstheme="majorBidi"/>
                <w:b/>
                <w:bCs/>
                <w:w w:val="90"/>
                <w:sz w:val="12"/>
                <w:szCs w:val="12"/>
              </w:rPr>
            </w:pPr>
            <w:r w:rsidRPr="00173C29">
              <w:rPr>
                <w:b/>
                <w:bCs/>
                <w:sz w:val="12"/>
                <w:szCs w:val="12"/>
                <w:lang w:val="fr-FR"/>
              </w:rPr>
              <w:t>No</w:t>
            </w:r>
            <w:r w:rsidRPr="00173C29">
              <w:rPr>
                <w:b/>
                <w:bCs/>
                <w:sz w:val="12"/>
                <w:szCs w:val="12"/>
                <w:vertAlign w:val="superscript"/>
                <w:lang w:val="fr-FR"/>
              </w:rPr>
              <w:t xml:space="preserve"> </w:t>
            </w:r>
            <w:r w:rsidRPr="00173C29">
              <w:rPr>
                <w:b/>
                <w:bCs/>
                <w:sz w:val="12"/>
                <w:szCs w:val="12"/>
                <w:lang w:val="fr-FR"/>
              </w:rPr>
              <w:t>ONU</w:t>
            </w:r>
          </w:p>
        </w:tc>
        <w:tc>
          <w:tcPr>
            <w:tcW w:w="1577" w:type="dxa"/>
            <w:vMerge w:val="restart"/>
            <w:shd w:val="clear" w:color="auto" w:fill="auto"/>
            <w:vAlign w:val="bottom"/>
          </w:tcPr>
          <w:p w14:paraId="2F18E466" w14:textId="77777777" w:rsidR="00002F14" w:rsidRPr="00173C29" w:rsidRDefault="00002F14" w:rsidP="005F4DF7">
            <w:pPr>
              <w:spacing w:before="80" w:after="80" w:line="160" w:lineRule="exact"/>
              <w:ind w:left="57" w:right="57"/>
              <w:rPr>
                <w:rFonts w:asciiTheme="majorBidi" w:hAnsiTheme="majorBidi" w:cstheme="majorBidi"/>
                <w:b/>
                <w:bCs/>
                <w:w w:val="90"/>
                <w:sz w:val="12"/>
                <w:szCs w:val="12"/>
              </w:rPr>
            </w:pPr>
            <w:r w:rsidRPr="00173C29">
              <w:rPr>
                <w:b/>
                <w:bCs/>
                <w:sz w:val="12"/>
                <w:szCs w:val="12"/>
                <w:lang w:val="fr-FR"/>
              </w:rPr>
              <w:t>Nom et description</w:t>
            </w:r>
          </w:p>
        </w:tc>
        <w:tc>
          <w:tcPr>
            <w:tcW w:w="672" w:type="dxa"/>
            <w:vMerge w:val="restart"/>
            <w:shd w:val="clear" w:color="auto" w:fill="auto"/>
            <w:vAlign w:val="bottom"/>
          </w:tcPr>
          <w:p w14:paraId="68FEF757" w14:textId="77777777" w:rsidR="00002F14" w:rsidRPr="00173C29" w:rsidRDefault="00002F14" w:rsidP="005F4DF7">
            <w:pPr>
              <w:spacing w:before="80" w:after="80" w:line="160" w:lineRule="exact"/>
              <w:ind w:left="57" w:right="57"/>
              <w:rPr>
                <w:rFonts w:asciiTheme="majorBidi" w:hAnsiTheme="majorBidi" w:cstheme="majorBidi"/>
                <w:b/>
                <w:bCs/>
                <w:w w:val="90"/>
                <w:sz w:val="12"/>
                <w:szCs w:val="12"/>
              </w:rPr>
            </w:pPr>
            <w:r w:rsidRPr="00173C29">
              <w:rPr>
                <w:b/>
                <w:bCs/>
                <w:sz w:val="12"/>
                <w:szCs w:val="12"/>
                <w:lang w:val="fr-FR"/>
              </w:rPr>
              <w:t>Classe ou division</w:t>
            </w:r>
          </w:p>
        </w:tc>
        <w:tc>
          <w:tcPr>
            <w:tcW w:w="770" w:type="dxa"/>
            <w:vMerge w:val="restart"/>
            <w:shd w:val="clear" w:color="auto" w:fill="auto"/>
            <w:vAlign w:val="bottom"/>
          </w:tcPr>
          <w:p w14:paraId="1863C017" w14:textId="77777777" w:rsidR="00002F14" w:rsidRPr="00173C29" w:rsidRDefault="00002F14" w:rsidP="005F4DF7">
            <w:pPr>
              <w:spacing w:before="80" w:after="80" w:line="160" w:lineRule="exact"/>
              <w:ind w:left="57" w:right="57"/>
              <w:rPr>
                <w:rFonts w:asciiTheme="majorBidi" w:hAnsiTheme="majorBidi" w:cstheme="majorBidi"/>
                <w:b/>
                <w:bCs/>
                <w:w w:val="90"/>
                <w:sz w:val="12"/>
                <w:szCs w:val="12"/>
              </w:rPr>
            </w:pPr>
            <w:r w:rsidRPr="00173C29">
              <w:rPr>
                <w:b/>
                <w:bCs/>
                <w:sz w:val="12"/>
                <w:szCs w:val="12"/>
                <w:lang w:val="fr-FR"/>
              </w:rPr>
              <w:t xml:space="preserve">Risque </w:t>
            </w:r>
            <w:r w:rsidR="00173C29">
              <w:rPr>
                <w:b/>
                <w:bCs/>
                <w:sz w:val="12"/>
                <w:szCs w:val="12"/>
                <w:lang w:val="fr-FR"/>
              </w:rPr>
              <w:br/>
            </w:r>
            <w:r w:rsidRPr="00173C29">
              <w:rPr>
                <w:b/>
                <w:bCs/>
                <w:sz w:val="12"/>
                <w:szCs w:val="12"/>
                <w:lang w:val="fr-FR"/>
              </w:rPr>
              <w:t>subsidiaire</w:t>
            </w:r>
          </w:p>
        </w:tc>
        <w:tc>
          <w:tcPr>
            <w:tcW w:w="769" w:type="dxa"/>
            <w:vMerge w:val="restart"/>
            <w:shd w:val="clear" w:color="auto" w:fill="auto"/>
            <w:vAlign w:val="bottom"/>
          </w:tcPr>
          <w:p w14:paraId="45CCF305" w14:textId="77777777" w:rsidR="00002F14" w:rsidRPr="00173C29" w:rsidRDefault="00002F14" w:rsidP="005F4DF7">
            <w:pPr>
              <w:spacing w:before="80" w:after="80" w:line="160" w:lineRule="exact"/>
              <w:ind w:left="57" w:right="57"/>
              <w:rPr>
                <w:rFonts w:asciiTheme="majorBidi" w:hAnsiTheme="majorBidi" w:cstheme="majorBidi"/>
                <w:b/>
                <w:bCs/>
                <w:w w:val="90"/>
                <w:sz w:val="12"/>
                <w:szCs w:val="12"/>
              </w:rPr>
            </w:pPr>
            <w:r w:rsidRPr="00173C29">
              <w:rPr>
                <w:b/>
                <w:bCs/>
                <w:sz w:val="12"/>
                <w:szCs w:val="12"/>
                <w:lang w:val="fr-FR"/>
              </w:rPr>
              <w:t>Groupe d’emballage</w:t>
            </w:r>
          </w:p>
        </w:tc>
        <w:tc>
          <w:tcPr>
            <w:tcW w:w="850" w:type="dxa"/>
            <w:vMerge w:val="restart"/>
            <w:shd w:val="clear" w:color="auto" w:fill="auto"/>
            <w:vAlign w:val="bottom"/>
          </w:tcPr>
          <w:p w14:paraId="6293D74A" w14:textId="77777777" w:rsidR="00002F14" w:rsidRPr="00173C29" w:rsidRDefault="00002F14" w:rsidP="005F4DF7">
            <w:pPr>
              <w:spacing w:before="80" w:after="80" w:line="160" w:lineRule="exact"/>
              <w:ind w:left="57" w:right="57"/>
              <w:rPr>
                <w:rFonts w:asciiTheme="majorBidi" w:hAnsiTheme="majorBidi" w:cstheme="majorBidi"/>
                <w:b/>
                <w:bCs/>
                <w:w w:val="90"/>
                <w:sz w:val="12"/>
                <w:szCs w:val="12"/>
              </w:rPr>
            </w:pPr>
            <w:r w:rsidRPr="00173C29">
              <w:rPr>
                <w:b/>
                <w:bCs/>
                <w:sz w:val="12"/>
                <w:szCs w:val="12"/>
                <w:lang w:val="fr-FR"/>
              </w:rPr>
              <w:t>Dispositions spéciales</w:t>
            </w:r>
          </w:p>
        </w:tc>
        <w:tc>
          <w:tcPr>
            <w:tcW w:w="1134" w:type="dxa"/>
            <w:gridSpan w:val="2"/>
            <w:vMerge w:val="restart"/>
            <w:shd w:val="clear" w:color="auto" w:fill="auto"/>
            <w:vAlign w:val="bottom"/>
          </w:tcPr>
          <w:p w14:paraId="5CB70EDE" w14:textId="77777777" w:rsidR="00002F14" w:rsidRPr="00173C29" w:rsidRDefault="00002F14" w:rsidP="00173C29">
            <w:pPr>
              <w:spacing w:before="80" w:after="80" w:line="160" w:lineRule="exact"/>
              <w:rPr>
                <w:rFonts w:asciiTheme="majorBidi" w:hAnsiTheme="majorBidi" w:cstheme="majorBidi"/>
                <w:b/>
                <w:bCs/>
                <w:w w:val="90"/>
                <w:sz w:val="12"/>
                <w:szCs w:val="12"/>
                <w:lang w:val="fr-FR"/>
              </w:rPr>
            </w:pPr>
            <w:r w:rsidRPr="00173C29">
              <w:rPr>
                <w:b/>
                <w:bCs/>
                <w:sz w:val="12"/>
                <w:szCs w:val="12"/>
                <w:lang w:val="fr-FR"/>
              </w:rPr>
              <w:t>Quantités limitées et quantités exceptées</w:t>
            </w:r>
          </w:p>
        </w:tc>
        <w:tc>
          <w:tcPr>
            <w:tcW w:w="1559" w:type="dxa"/>
            <w:gridSpan w:val="2"/>
            <w:shd w:val="clear" w:color="auto" w:fill="auto"/>
            <w:vAlign w:val="bottom"/>
          </w:tcPr>
          <w:p w14:paraId="75C24472" w14:textId="77777777" w:rsidR="00002F14" w:rsidRPr="00173C29" w:rsidRDefault="00002F14" w:rsidP="005F4DF7">
            <w:pPr>
              <w:spacing w:before="80" w:after="80" w:line="160" w:lineRule="exact"/>
              <w:jc w:val="center"/>
              <w:rPr>
                <w:rFonts w:asciiTheme="majorBidi" w:hAnsiTheme="majorBidi" w:cstheme="majorBidi"/>
                <w:b/>
                <w:bCs/>
                <w:w w:val="90"/>
                <w:sz w:val="12"/>
                <w:szCs w:val="12"/>
              </w:rPr>
            </w:pPr>
            <w:r w:rsidRPr="00173C29">
              <w:rPr>
                <w:b/>
                <w:bCs/>
                <w:sz w:val="12"/>
                <w:szCs w:val="12"/>
                <w:lang w:val="fr-FR"/>
              </w:rPr>
              <w:t>Emballages et GRV</w:t>
            </w:r>
          </w:p>
        </w:tc>
        <w:tc>
          <w:tcPr>
            <w:tcW w:w="1694" w:type="dxa"/>
            <w:gridSpan w:val="2"/>
            <w:shd w:val="clear" w:color="auto" w:fill="auto"/>
            <w:vAlign w:val="bottom"/>
          </w:tcPr>
          <w:p w14:paraId="38C8B589" w14:textId="77777777" w:rsidR="00002F14" w:rsidRPr="00173C29" w:rsidRDefault="00002F14" w:rsidP="005F4DF7">
            <w:pPr>
              <w:spacing w:before="80" w:after="80" w:line="160" w:lineRule="exact"/>
              <w:jc w:val="center"/>
              <w:rPr>
                <w:rFonts w:asciiTheme="majorBidi" w:hAnsiTheme="majorBidi" w:cstheme="majorBidi"/>
                <w:b/>
                <w:bCs/>
                <w:w w:val="90"/>
                <w:sz w:val="12"/>
                <w:szCs w:val="12"/>
                <w:lang w:val="fr-FR"/>
              </w:rPr>
            </w:pPr>
            <w:r w:rsidRPr="00173C29">
              <w:rPr>
                <w:b/>
                <w:bCs/>
                <w:sz w:val="12"/>
                <w:szCs w:val="12"/>
                <w:lang w:val="fr-FR"/>
              </w:rPr>
              <w:t xml:space="preserve">Citernes mobiles </w:t>
            </w:r>
            <w:r w:rsidR="00173C29">
              <w:rPr>
                <w:b/>
                <w:bCs/>
                <w:sz w:val="12"/>
                <w:szCs w:val="12"/>
                <w:lang w:val="fr-FR"/>
              </w:rPr>
              <w:br/>
            </w:r>
            <w:r w:rsidRPr="00173C29">
              <w:rPr>
                <w:b/>
                <w:bCs/>
                <w:sz w:val="12"/>
                <w:szCs w:val="12"/>
                <w:lang w:val="fr-FR"/>
              </w:rPr>
              <w:t>et conteneurs pour vrac</w:t>
            </w:r>
          </w:p>
        </w:tc>
      </w:tr>
      <w:tr w:rsidR="005F4DF7" w:rsidRPr="00173C29" w14:paraId="1A135FD7" w14:textId="77777777" w:rsidTr="00BF0FAE">
        <w:trPr>
          <w:trHeight w:val="204"/>
        </w:trPr>
        <w:tc>
          <w:tcPr>
            <w:tcW w:w="612" w:type="dxa"/>
            <w:vMerge/>
            <w:shd w:val="clear" w:color="auto" w:fill="auto"/>
            <w:vAlign w:val="bottom"/>
          </w:tcPr>
          <w:p w14:paraId="3982851A" w14:textId="77777777" w:rsidR="00002F14" w:rsidRPr="00173C29" w:rsidRDefault="00002F14" w:rsidP="00173C29">
            <w:pPr>
              <w:spacing w:before="80" w:after="80" w:line="160" w:lineRule="exact"/>
              <w:rPr>
                <w:rFonts w:asciiTheme="majorBidi" w:hAnsiTheme="majorBidi" w:cstheme="majorBidi"/>
                <w:sz w:val="12"/>
                <w:szCs w:val="12"/>
                <w:lang w:val="fr-FR" w:eastAsia="ko-KR"/>
              </w:rPr>
            </w:pPr>
          </w:p>
        </w:tc>
        <w:tc>
          <w:tcPr>
            <w:tcW w:w="1577" w:type="dxa"/>
            <w:vMerge/>
            <w:shd w:val="clear" w:color="auto" w:fill="auto"/>
            <w:vAlign w:val="bottom"/>
          </w:tcPr>
          <w:p w14:paraId="5F390F3C" w14:textId="77777777" w:rsidR="00002F14" w:rsidRPr="00173C29" w:rsidRDefault="00002F14" w:rsidP="00173C29">
            <w:pPr>
              <w:spacing w:before="80" w:after="80" w:line="160" w:lineRule="exact"/>
              <w:rPr>
                <w:rFonts w:asciiTheme="majorBidi" w:hAnsiTheme="majorBidi" w:cstheme="majorBidi"/>
                <w:sz w:val="12"/>
                <w:szCs w:val="12"/>
                <w:lang w:val="fr-FR" w:eastAsia="ko-KR"/>
              </w:rPr>
            </w:pPr>
          </w:p>
        </w:tc>
        <w:tc>
          <w:tcPr>
            <w:tcW w:w="672" w:type="dxa"/>
            <w:vMerge/>
            <w:shd w:val="clear" w:color="auto" w:fill="auto"/>
            <w:vAlign w:val="bottom"/>
          </w:tcPr>
          <w:p w14:paraId="2B0A5401" w14:textId="77777777" w:rsidR="00002F14" w:rsidRPr="00173C29" w:rsidRDefault="00002F14" w:rsidP="00173C29">
            <w:pPr>
              <w:spacing w:before="80" w:after="80" w:line="160" w:lineRule="exact"/>
              <w:rPr>
                <w:rFonts w:asciiTheme="majorBidi" w:hAnsiTheme="majorBidi" w:cstheme="majorBidi"/>
                <w:sz w:val="12"/>
                <w:szCs w:val="12"/>
                <w:lang w:val="fr-FR" w:eastAsia="ko-KR"/>
              </w:rPr>
            </w:pPr>
          </w:p>
        </w:tc>
        <w:tc>
          <w:tcPr>
            <w:tcW w:w="770" w:type="dxa"/>
            <w:vMerge/>
            <w:shd w:val="clear" w:color="auto" w:fill="auto"/>
            <w:vAlign w:val="bottom"/>
          </w:tcPr>
          <w:p w14:paraId="464570B9" w14:textId="77777777" w:rsidR="00002F14" w:rsidRPr="00173C29" w:rsidRDefault="00002F14" w:rsidP="00173C29">
            <w:pPr>
              <w:spacing w:before="80" w:after="80" w:line="160" w:lineRule="exact"/>
              <w:rPr>
                <w:rFonts w:asciiTheme="majorBidi" w:hAnsiTheme="majorBidi" w:cstheme="majorBidi"/>
                <w:sz w:val="12"/>
                <w:szCs w:val="12"/>
                <w:lang w:val="fr-FR" w:eastAsia="ko-KR"/>
              </w:rPr>
            </w:pPr>
          </w:p>
        </w:tc>
        <w:tc>
          <w:tcPr>
            <w:tcW w:w="769" w:type="dxa"/>
            <w:vMerge/>
            <w:shd w:val="clear" w:color="auto" w:fill="auto"/>
            <w:vAlign w:val="bottom"/>
          </w:tcPr>
          <w:p w14:paraId="7102322F" w14:textId="77777777" w:rsidR="00002F14" w:rsidRPr="00173C29" w:rsidRDefault="00002F14" w:rsidP="00173C29">
            <w:pPr>
              <w:spacing w:before="80" w:after="80" w:line="160" w:lineRule="exact"/>
              <w:rPr>
                <w:rFonts w:asciiTheme="majorBidi" w:hAnsiTheme="majorBidi" w:cstheme="majorBidi"/>
                <w:sz w:val="12"/>
                <w:szCs w:val="12"/>
                <w:lang w:val="fr-FR" w:eastAsia="ko-KR"/>
              </w:rPr>
            </w:pPr>
          </w:p>
        </w:tc>
        <w:tc>
          <w:tcPr>
            <w:tcW w:w="850" w:type="dxa"/>
            <w:vMerge/>
            <w:shd w:val="clear" w:color="auto" w:fill="auto"/>
            <w:vAlign w:val="bottom"/>
          </w:tcPr>
          <w:p w14:paraId="7C4C3220" w14:textId="77777777" w:rsidR="00002F14" w:rsidRPr="00173C29" w:rsidRDefault="00002F14" w:rsidP="00173C29">
            <w:pPr>
              <w:spacing w:before="80" w:after="80" w:line="160" w:lineRule="exact"/>
              <w:rPr>
                <w:rFonts w:asciiTheme="majorBidi" w:hAnsiTheme="majorBidi" w:cstheme="majorBidi"/>
                <w:sz w:val="12"/>
                <w:szCs w:val="12"/>
                <w:lang w:val="fr-FR" w:eastAsia="ko-KR"/>
              </w:rPr>
            </w:pPr>
          </w:p>
        </w:tc>
        <w:tc>
          <w:tcPr>
            <w:tcW w:w="1134" w:type="dxa"/>
            <w:gridSpan w:val="2"/>
            <w:vMerge/>
            <w:shd w:val="clear" w:color="auto" w:fill="auto"/>
            <w:vAlign w:val="bottom"/>
          </w:tcPr>
          <w:p w14:paraId="122BFBF9" w14:textId="77777777" w:rsidR="00002F14" w:rsidRPr="00173C29" w:rsidRDefault="00002F14" w:rsidP="00173C29">
            <w:pPr>
              <w:spacing w:before="80" w:after="80" w:line="160" w:lineRule="exact"/>
              <w:rPr>
                <w:rFonts w:asciiTheme="majorBidi" w:hAnsiTheme="majorBidi" w:cstheme="majorBidi"/>
                <w:sz w:val="12"/>
                <w:szCs w:val="12"/>
                <w:lang w:val="fr-FR" w:eastAsia="ko-KR"/>
              </w:rPr>
            </w:pPr>
          </w:p>
        </w:tc>
        <w:tc>
          <w:tcPr>
            <w:tcW w:w="788" w:type="dxa"/>
            <w:shd w:val="clear" w:color="auto" w:fill="auto"/>
            <w:vAlign w:val="bottom"/>
          </w:tcPr>
          <w:p w14:paraId="3C6E4D29" w14:textId="77777777" w:rsidR="00002F14" w:rsidRPr="00173C29" w:rsidRDefault="00002F14" w:rsidP="005F4DF7">
            <w:pPr>
              <w:spacing w:before="80" w:after="80" w:line="160" w:lineRule="exact"/>
              <w:ind w:left="57" w:right="57"/>
              <w:rPr>
                <w:rFonts w:asciiTheme="majorBidi" w:hAnsiTheme="majorBidi" w:cstheme="majorBidi"/>
                <w:b/>
                <w:bCs/>
                <w:w w:val="90"/>
                <w:sz w:val="12"/>
                <w:szCs w:val="12"/>
              </w:rPr>
            </w:pPr>
            <w:r w:rsidRPr="00173C29">
              <w:rPr>
                <w:b/>
                <w:bCs/>
                <w:sz w:val="12"/>
                <w:szCs w:val="12"/>
                <w:lang w:val="fr-FR"/>
              </w:rPr>
              <w:t>Instructions d’emballage</w:t>
            </w:r>
          </w:p>
        </w:tc>
        <w:tc>
          <w:tcPr>
            <w:tcW w:w="771" w:type="dxa"/>
            <w:shd w:val="clear" w:color="auto" w:fill="auto"/>
            <w:vAlign w:val="bottom"/>
          </w:tcPr>
          <w:p w14:paraId="6E92DF3B" w14:textId="77777777" w:rsidR="00002F14" w:rsidRPr="00173C29" w:rsidRDefault="00002F14" w:rsidP="005F4DF7">
            <w:pPr>
              <w:spacing w:before="80" w:after="80" w:line="160" w:lineRule="exact"/>
              <w:ind w:left="57" w:right="57"/>
              <w:rPr>
                <w:rFonts w:asciiTheme="majorBidi" w:hAnsiTheme="majorBidi" w:cstheme="majorBidi"/>
                <w:b/>
                <w:bCs/>
                <w:w w:val="90"/>
                <w:sz w:val="12"/>
                <w:szCs w:val="12"/>
              </w:rPr>
            </w:pPr>
            <w:r w:rsidRPr="00173C29">
              <w:rPr>
                <w:b/>
                <w:bCs/>
                <w:sz w:val="12"/>
                <w:szCs w:val="12"/>
                <w:lang w:val="fr-FR"/>
              </w:rPr>
              <w:t>Dispositions spéciales</w:t>
            </w:r>
          </w:p>
        </w:tc>
        <w:tc>
          <w:tcPr>
            <w:tcW w:w="851" w:type="dxa"/>
            <w:shd w:val="clear" w:color="auto" w:fill="auto"/>
            <w:vAlign w:val="bottom"/>
          </w:tcPr>
          <w:p w14:paraId="138AC343" w14:textId="77777777" w:rsidR="00002F14" w:rsidRPr="00173C29" w:rsidRDefault="00002F14" w:rsidP="005F4DF7">
            <w:pPr>
              <w:spacing w:before="80" w:after="80" w:line="160" w:lineRule="exact"/>
              <w:ind w:left="57" w:right="57"/>
              <w:rPr>
                <w:rFonts w:asciiTheme="majorBidi" w:hAnsiTheme="majorBidi" w:cstheme="majorBidi"/>
                <w:b/>
                <w:bCs/>
                <w:w w:val="90"/>
                <w:sz w:val="12"/>
                <w:szCs w:val="12"/>
              </w:rPr>
            </w:pPr>
            <w:r w:rsidRPr="00173C29">
              <w:rPr>
                <w:b/>
                <w:bCs/>
                <w:sz w:val="12"/>
                <w:szCs w:val="12"/>
                <w:lang w:val="fr-FR"/>
              </w:rPr>
              <w:t xml:space="preserve">Instructions </w:t>
            </w:r>
            <w:r w:rsidR="005F4DF7">
              <w:rPr>
                <w:b/>
                <w:bCs/>
                <w:sz w:val="12"/>
                <w:szCs w:val="12"/>
                <w:lang w:val="fr-FR"/>
              </w:rPr>
              <w:br/>
            </w:r>
            <w:r w:rsidRPr="00173C29">
              <w:rPr>
                <w:b/>
                <w:bCs/>
                <w:sz w:val="12"/>
                <w:szCs w:val="12"/>
                <w:lang w:val="fr-FR"/>
              </w:rPr>
              <w:t>de transport</w:t>
            </w:r>
          </w:p>
        </w:tc>
        <w:tc>
          <w:tcPr>
            <w:tcW w:w="843" w:type="dxa"/>
            <w:shd w:val="clear" w:color="auto" w:fill="auto"/>
            <w:vAlign w:val="bottom"/>
          </w:tcPr>
          <w:p w14:paraId="4D719950" w14:textId="77777777" w:rsidR="00002F14" w:rsidRPr="00173C29" w:rsidRDefault="00002F14" w:rsidP="005F4DF7">
            <w:pPr>
              <w:spacing w:before="80" w:after="80" w:line="160" w:lineRule="exact"/>
              <w:ind w:left="57" w:right="57"/>
              <w:rPr>
                <w:rFonts w:asciiTheme="majorBidi" w:hAnsiTheme="majorBidi" w:cstheme="majorBidi"/>
                <w:b/>
                <w:bCs/>
                <w:w w:val="90"/>
                <w:sz w:val="12"/>
                <w:szCs w:val="12"/>
              </w:rPr>
            </w:pPr>
            <w:r w:rsidRPr="00173C29">
              <w:rPr>
                <w:b/>
                <w:bCs/>
                <w:sz w:val="12"/>
                <w:szCs w:val="12"/>
                <w:lang w:val="fr-FR"/>
              </w:rPr>
              <w:t>Dispositions spéciales</w:t>
            </w:r>
          </w:p>
        </w:tc>
      </w:tr>
      <w:tr w:rsidR="005F4DF7" w:rsidRPr="00173C29" w14:paraId="3B8596C7" w14:textId="77777777" w:rsidTr="00BF0FAE">
        <w:trPr>
          <w:trHeight w:val="20"/>
        </w:trPr>
        <w:tc>
          <w:tcPr>
            <w:tcW w:w="612" w:type="dxa"/>
            <w:shd w:val="clear" w:color="auto" w:fill="auto"/>
            <w:vAlign w:val="bottom"/>
          </w:tcPr>
          <w:p w14:paraId="74508369" w14:textId="77777777" w:rsidR="00173C29" w:rsidRPr="00173C29" w:rsidRDefault="00002F14" w:rsidP="005F4DF7">
            <w:pPr>
              <w:spacing w:before="80" w:after="80" w:line="160" w:lineRule="exact"/>
              <w:ind w:left="57" w:right="57"/>
              <w:rPr>
                <w:b/>
                <w:bCs/>
                <w:sz w:val="12"/>
                <w:szCs w:val="12"/>
                <w:lang w:val="fr-FR"/>
              </w:rPr>
            </w:pPr>
            <w:r w:rsidRPr="00173C29">
              <w:rPr>
                <w:b/>
                <w:bCs/>
                <w:sz w:val="12"/>
                <w:szCs w:val="12"/>
                <w:lang w:val="fr-FR"/>
              </w:rPr>
              <w:t>(1)</w:t>
            </w:r>
          </w:p>
        </w:tc>
        <w:tc>
          <w:tcPr>
            <w:tcW w:w="1577" w:type="dxa"/>
            <w:shd w:val="clear" w:color="auto" w:fill="auto"/>
            <w:vAlign w:val="bottom"/>
          </w:tcPr>
          <w:p w14:paraId="4FCE37D9" w14:textId="77777777" w:rsidR="00002F14" w:rsidRPr="00173C29" w:rsidRDefault="00002F14" w:rsidP="005F4DF7">
            <w:pPr>
              <w:spacing w:before="80" w:after="80" w:line="160" w:lineRule="exact"/>
              <w:ind w:left="57" w:right="57"/>
              <w:rPr>
                <w:rFonts w:asciiTheme="majorBidi" w:hAnsiTheme="majorBidi" w:cstheme="majorBidi"/>
                <w:b/>
                <w:bCs/>
                <w:sz w:val="12"/>
                <w:szCs w:val="12"/>
              </w:rPr>
            </w:pPr>
            <w:r w:rsidRPr="00173C29">
              <w:rPr>
                <w:b/>
                <w:bCs/>
                <w:sz w:val="12"/>
                <w:szCs w:val="12"/>
                <w:lang w:val="fr-FR"/>
              </w:rPr>
              <w:t>(2)</w:t>
            </w:r>
          </w:p>
        </w:tc>
        <w:tc>
          <w:tcPr>
            <w:tcW w:w="672" w:type="dxa"/>
            <w:shd w:val="clear" w:color="auto" w:fill="auto"/>
            <w:vAlign w:val="bottom"/>
          </w:tcPr>
          <w:p w14:paraId="35415E78" w14:textId="77777777" w:rsidR="00002F14" w:rsidRPr="00173C29" w:rsidRDefault="00002F14" w:rsidP="005F4DF7">
            <w:pPr>
              <w:spacing w:before="80" w:after="80" w:line="160" w:lineRule="exact"/>
              <w:ind w:left="57" w:right="57"/>
              <w:rPr>
                <w:rFonts w:asciiTheme="majorBidi" w:hAnsiTheme="majorBidi" w:cstheme="majorBidi"/>
                <w:b/>
                <w:bCs/>
                <w:sz w:val="12"/>
                <w:szCs w:val="12"/>
              </w:rPr>
            </w:pPr>
            <w:r w:rsidRPr="00173C29">
              <w:rPr>
                <w:b/>
                <w:bCs/>
                <w:sz w:val="12"/>
                <w:szCs w:val="12"/>
                <w:lang w:val="fr-FR"/>
              </w:rPr>
              <w:t>(3)</w:t>
            </w:r>
          </w:p>
        </w:tc>
        <w:tc>
          <w:tcPr>
            <w:tcW w:w="770" w:type="dxa"/>
            <w:shd w:val="clear" w:color="auto" w:fill="auto"/>
            <w:vAlign w:val="bottom"/>
          </w:tcPr>
          <w:p w14:paraId="27D1E4E2" w14:textId="77777777" w:rsidR="00002F14" w:rsidRPr="00173C29" w:rsidRDefault="00002F14" w:rsidP="005F4DF7">
            <w:pPr>
              <w:spacing w:before="80" w:after="80" w:line="160" w:lineRule="exact"/>
              <w:ind w:left="57" w:right="57"/>
              <w:rPr>
                <w:rFonts w:asciiTheme="majorBidi" w:hAnsiTheme="majorBidi" w:cstheme="majorBidi"/>
                <w:b/>
                <w:bCs/>
                <w:sz w:val="12"/>
                <w:szCs w:val="12"/>
              </w:rPr>
            </w:pPr>
            <w:r w:rsidRPr="00173C29">
              <w:rPr>
                <w:b/>
                <w:bCs/>
                <w:sz w:val="12"/>
                <w:szCs w:val="12"/>
                <w:lang w:val="fr-FR"/>
              </w:rPr>
              <w:t>(4)</w:t>
            </w:r>
          </w:p>
        </w:tc>
        <w:tc>
          <w:tcPr>
            <w:tcW w:w="769" w:type="dxa"/>
            <w:shd w:val="clear" w:color="auto" w:fill="auto"/>
            <w:vAlign w:val="bottom"/>
          </w:tcPr>
          <w:p w14:paraId="3A4669EC" w14:textId="77777777" w:rsidR="00002F14" w:rsidRPr="00173C29" w:rsidRDefault="00002F14" w:rsidP="005F4DF7">
            <w:pPr>
              <w:spacing w:before="80" w:after="80" w:line="160" w:lineRule="exact"/>
              <w:ind w:left="57" w:right="57"/>
              <w:rPr>
                <w:rFonts w:asciiTheme="majorBidi" w:hAnsiTheme="majorBidi" w:cstheme="majorBidi"/>
                <w:b/>
                <w:bCs/>
                <w:sz w:val="12"/>
                <w:szCs w:val="12"/>
              </w:rPr>
            </w:pPr>
            <w:r w:rsidRPr="00173C29">
              <w:rPr>
                <w:b/>
                <w:bCs/>
                <w:sz w:val="12"/>
                <w:szCs w:val="12"/>
                <w:lang w:val="fr-FR"/>
              </w:rPr>
              <w:t>(5)</w:t>
            </w:r>
          </w:p>
        </w:tc>
        <w:tc>
          <w:tcPr>
            <w:tcW w:w="850" w:type="dxa"/>
            <w:shd w:val="clear" w:color="auto" w:fill="auto"/>
            <w:vAlign w:val="bottom"/>
          </w:tcPr>
          <w:p w14:paraId="3A5A68F0" w14:textId="77777777" w:rsidR="00002F14" w:rsidRPr="00173C29" w:rsidRDefault="00002F14" w:rsidP="005F4DF7">
            <w:pPr>
              <w:spacing w:before="80" w:after="80" w:line="160" w:lineRule="exact"/>
              <w:ind w:left="57" w:right="57"/>
              <w:rPr>
                <w:rFonts w:asciiTheme="majorBidi" w:hAnsiTheme="majorBidi" w:cstheme="majorBidi"/>
                <w:b/>
                <w:bCs/>
                <w:sz w:val="12"/>
                <w:szCs w:val="12"/>
              </w:rPr>
            </w:pPr>
            <w:r w:rsidRPr="00173C29">
              <w:rPr>
                <w:b/>
                <w:bCs/>
                <w:sz w:val="12"/>
                <w:szCs w:val="12"/>
                <w:lang w:val="fr-FR"/>
              </w:rPr>
              <w:t>(6)</w:t>
            </w:r>
          </w:p>
        </w:tc>
        <w:tc>
          <w:tcPr>
            <w:tcW w:w="567" w:type="dxa"/>
            <w:shd w:val="clear" w:color="auto" w:fill="auto"/>
            <w:vAlign w:val="bottom"/>
          </w:tcPr>
          <w:p w14:paraId="39788FBC" w14:textId="77777777" w:rsidR="00002F14" w:rsidRPr="00173C29" w:rsidRDefault="00002F14" w:rsidP="005F4DF7">
            <w:pPr>
              <w:spacing w:before="80" w:after="80" w:line="160" w:lineRule="exact"/>
              <w:ind w:left="57" w:right="57"/>
              <w:rPr>
                <w:rFonts w:asciiTheme="majorBidi" w:hAnsiTheme="majorBidi" w:cstheme="majorBidi"/>
                <w:b/>
                <w:bCs/>
                <w:sz w:val="12"/>
                <w:szCs w:val="12"/>
              </w:rPr>
            </w:pPr>
            <w:r w:rsidRPr="00173C29">
              <w:rPr>
                <w:b/>
                <w:bCs/>
                <w:sz w:val="12"/>
                <w:szCs w:val="12"/>
                <w:lang w:val="fr-FR"/>
              </w:rPr>
              <w:t>(7a)</w:t>
            </w:r>
          </w:p>
        </w:tc>
        <w:tc>
          <w:tcPr>
            <w:tcW w:w="567" w:type="dxa"/>
            <w:shd w:val="clear" w:color="auto" w:fill="auto"/>
            <w:vAlign w:val="bottom"/>
          </w:tcPr>
          <w:p w14:paraId="612F0340" w14:textId="77777777" w:rsidR="00002F14" w:rsidRPr="00173C29" w:rsidRDefault="00002F14" w:rsidP="005F4DF7">
            <w:pPr>
              <w:spacing w:before="80" w:after="80" w:line="160" w:lineRule="exact"/>
              <w:ind w:left="57" w:right="57"/>
              <w:rPr>
                <w:rFonts w:asciiTheme="majorBidi" w:hAnsiTheme="majorBidi" w:cstheme="majorBidi"/>
                <w:b/>
                <w:bCs/>
                <w:sz w:val="12"/>
                <w:szCs w:val="12"/>
              </w:rPr>
            </w:pPr>
            <w:r w:rsidRPr="00173C29">
              <w:rPr>
                <w:b/>
                <w:bCs/>
                <w:sz w:val="12"/>
                <w:szCs w:val="12"/>
                <w:lang w:val="fr-FR"/>
              </w:rPr>
              <w:t>(7b)</w:t>
            </w:r>
          </w:p>
        </w:tc>
        <w:tc>
          <w:tcPr>
            <w:tcW w:w="788" w:type="dxa"/>
            <w:shd w:val="clear" w:color="auto" w:fill="auto"/>
            <w:vAlign w:val="bottom"/>
          </w:tcPr>
          <w:p w14:paraId="639C93ED" w14:textId="77777777" w:rsidR="00002F14" w:rsidRPr="00173C29" w:rsidRDefault="00002F14" w:rsidP="005F4DF7">
            <w:pPr>
              <w:spacing w:before="80" w:after="80" w:line="160" w:lineRule="exact"/>
              <w:ind w:left="57" w:right="57"/>
              <w:rPr>
                <w:rFonts w:asciiTheme="majorBidi" w:hAnsiTheme="majorBidi" w:cstheme="majorBidi"/>
                <w:b/>
                <w:bCs/>
                <w:sz w:val="12"/>
                <w:szCs w:val="12"/>
              </w:rPr>
            </w:pPr>
            <w:r w:rsidRPr="00173C29">
              <w:rPr>
                <w:b/>
                <w:bCs/>
                <w:sz w:val="12"/>
                <w:szCs w:val="12"/>
                <w:lang w:val="fr-FR"/>
              </w:rPr>
              <w:t>(8)</w:t>
            </w:r>
          </w:p>
        </w:tc>
        <w:tc>
          <w:tcPr>
            <w:tcW w:w="771" w:type="dxa"/>
            <w:shd w:val="clear" w:color="auto" w:fill="auto"/>
            <w:vAlign w:val="bottom"/>
          </w:tcPr>
          <w:p w14:paraId="08E3D799" w14:textId="77777777" w:rsidR="00002F14" w:rsidRPr="00173C29" w:rsidRDefault="00002F14" w:rsidP="005F4DF7">
            <w:pPr>
              <w:spacing w:before="80" w:after="80" w:line="160" w:lineRule="exact"/>
              <w:ind w:left="57" w:right="57"/>
              <w:rPr>
                <w:rFonts w:asciiTheme="majorBidi" w:hAnsiTheme="majorBidi" w:cstheme="majorBidi"/>
                <w:b/>
                <w:bCs/>
                <w:sz w:val="12"/>
                <w:szCs w:val="12"/>
              </w:rPr>
            </w:pPr>
            <w:r w:rsidRPr="00173C29">
              <w:rPr>
                <w:b/>
                <w:bCs/>
                <w:sz w:val="12"/>
                <w:szCs w:val="12"/>
                <w:lang w:val="fr-FR"/>
              </w:rPr>
              <w:t>(9)</w:t>
            </w:r>
          </w:p>
        </w:tc>
        <w:tc>
          <w:tcPr>
            <w:tcW w:w="851" w:type="dxa"/>
            <w:shd w:val="clear" w:color="auto" w:fill="auto"/>
            <w:vAlign w:val="bottom"/>
          </w:tcPr>
          <w:p w14:paraId="27D2BCA9" w14:textId="77777777" w:rsidR="00002F14" w:rsidRPr="00173C29" w:rsidRDefault="00002F14" w:rsidP="005F4DF7">
            <w:pPr>
              <w:spacing w:before="80" w:after="80" w:line="160" w:lineRule="exact"/>
              <w:ind w:left="57" w:right="57"/>
              <w:rPr>
                <w:rFonts w:asciiTheme="majorBidi" w:hAnsiTheme="majorBidi" w:cstheme="majorBidi"/>
                <w:b/>
                <w:bCs/>
                <w:sz w:val="12"/>
                <w:szCs w:val="12"/>
              </w:rPr>
            </w:pPr>
            <w:r w:rsidRPr="00173C29">
              <w:rPr>
                <w:b/>
                <w:bCs/>
                <w:sz w:val="12"/>
                <w:szCs w:val="12"/>
                <w:lang w:val="fr-FR"/>
              </w:rPr>
              <w:t>(10)</w:t>
            </w:r>
          </w:p>
        </w:tc>
        <w:tc>
          <w:tcPr>
            <w:tcW w:w="843" w:type="dxa"/>
            <w:shd w:val="clear" w:color="auto" w:fill="auto"/>
            <w:vAlign w:val="bottom"/>
          </w:tcPr>
          <w:p w14:paraId="5A9C5C16" w14:textId="77777777" w:rsidR="00002F14" w:rsidRPr="00173C29" w:rsidRDefault="00002F14" w:rsidP="005F4DF7">
            <w:pPr>
              <w:spacing w:before="80" w:after="80" w:line="160" w:lineRule="exact"/>
              <w:ind w:left="57" w:right="57"/>
              <w:rPr>
                <w:rFonts w:asciiTheme="majorBidi" w:hAnsiTheme="majorBidi" w:cstheme="majorBidi"/>
                <w:b/>
                <w:bCs/>
                <w:sz w:val="12"/>
                <w:szCs w:val="12"/>
              </w:rPr>
            </w:pPr>
            <w:r w:rsidRPr="00173C29">
              <w:rPr>
                <w:b/>
                <w:bCs/>
                <w:sz w:val="12"/>
                <w:szCs w:val="12"/>
                <w:lang w:val="fr-FR"/>
              </w:rPr>
              <w:t>(11)</w:t>
            </w:r>
          </w:p>
        </w:tc>
      </w:tr>
      <w:tr w:rsidR="005F4DF7" w:rsidRPr="00173C29" w14:paraId="70FEDF42" w14:textId="77777777" w:rsidTr="00BF0FAE">
        <w:trPr>
          <w:trHeight w:val="20"/>
        </w:trPr>
        <w:tc>
          <w:tcPr>
            <w:tcW w:w="612" w:type="dxa"/>
            <w:shd w:val="clear" w:color="auto" w:fill="auto"/>
          </w:tcPr>
          <w:p w14:paraId="0EF62185"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2264</w:t>
            </w:r>
          </w:p>
        </w:tc>
        <w:tc>
          <w:tcPr>
            <w:tcW w:w="1577" w:type="dxa"/>
            <w:shd w:val="clear" w:color="auto" w:fill="auto"/>
          </w:tcPr>
          <w:p w14:paraId="13709AE6" w14:textId="77777777" w:rsidR="00002F14" w:rsidRPr="00173C29" w:rsidRDefault="00002F14" w:rsidP="005F4DF7">
            <w:pPr>
              <w:spacing w:before="80" w:after="80" w:line="160" w:lineRule="exact"/>
              <w:ind w:left="57" w:right="57"/>
              <w:rPr>
                <w:rFonts w:asciiTheme="majorBidi" w:eastAsia="Malgun Gothic" w:hAnsiTheme="majorBidi" w:cstheme="majorBidi"/>
                <w:sz w:val="14"/>
                <w:szCs w:val="14"/>
              </w:rPr>
            </w:pPr>
            <w:r w:rsidRPr="00173C29">
              <w:rPr>
                <w:sz w:val="14"/>
                <w:szCs w:val="14"/>
                <w:lang w:val="fr-FR"/>
              </w:rPr>
              <w:t>N,N-DIMÉTHYL-CYCLOHEXYLAMINE</w:t>
            </w:r>
          </w:p>
        </w:tc>
        <w:tc>
          <w:tcPr>
            <w:tcW w:w="672" w:type="dxa"/>
            <w:shd w:val="clear" w:color="auto" w:fill="auto"/>
          </w:tcPr>
          <w:p w14:paraId="61F32A24"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8</w:t>
            </w:r>
          </w:p>
        </w:tc>
        <w:tc>
          <w:tcPr>
            <w:tcW w:w="770" w:type="dxa"/>
            <w:shd w:val="clear" w:color="auto" w:fill="auto"/>
          </w:tcPr>
          <w:p w14:paraId="48A496F2"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3</w:t>
            </w:r>
          </w:p>
          <w:p w14:paraId="6D3FA305" w14:textId="77777777" w:rsidR="00002F14" w:rsidRPr="00173C29" w:rsidRDefault="00002F14" w:rsidP="005F4DF7">
            <w:pPr>
              <w:spacing w:before="80" w:after="80" w:line="160" w:lineRule="exact"/>
              <w:ind w:left="57" w:right="57"/>
              <w:rPr>
                <w:rFonts w:asciiTheme="majorBidi" w:hAnsiTheme="majorBidi" w:cstheme="majorBidi"/>
                <w:b/>
                <w:bCs/>
                <w:color w:val="FF0000"/>
                <w:sz w:val="14"/>
                <w:szCs w:val="14"/>
                <w:u w:val="single"/>
              </w:rPr>
            </w:pPr>
            <w:r w:rsidRPr="00173C29">
              <w:rPr>
                <w:b/>
                <w:bCs/>
                <w:color w:val="FF0000"/>
                <w:sz w:val="14"/>
                <w:szCs w:val="14"/>
                <w:u w:val="single"/>
                <w:lang w:val="fr-FR"/>
              </w:rPr>
              <w:t>6.1</w:t>
            </w:r>
          </w:p>
        </w:tc>
        <w:tc>
          <w:tcPr>
            <w:tcW w:w="769" w:type="dxa"/>
            <w:shd w:val="clear" w:color="auto" w:fill="auto"/>
          </w:tcPr>
          <w:p w14:paraId="3D5DE03E"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II</w:t>
            </w:r>
          </w:p>
        </w:tc>
        <w:tc>
          <w:tcPr>
            <w:tcW w:w="850" w:type="dxa"/>
            <w:shd w:val="clear" w:color="auto" w:fill="auto"/>
          </w:tcPr>
          <w:p w14:paraId="557073E1"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w:t>
            </w:r>
          </w:p>
        </w:tc>
        <w:tc>
          <w:tcPr>
            <w:tcW w:w="567" w:type="dxa"/>
            <w:shd w:val="clear" w:color="auto" w:fill="auto"/>
          </w:tcPr>
          <w:p w14:paraId="561A51E8"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1 L</w:t>
            </w:r>
          </w:p>
        </w:tc>
        <w:tc>
          <w:tcPr>
            <w:tcW w:w="567" w:type="dxa"/>
            <w:shd w:val="clear" w:color="auto" w:fill="auto"/>
          </w:tcPr>
          <w:p w14:paraId="4AC522F2"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E2</w:t>
            </w:r>
          </w:p>
        </w:tc>
        <w:tc>
          <w:tcPr>
            <w:tcW w:w="788" w:type="dxa"/>
            <w:shd w:val="clear" w:color="auto" w:fill="auto"/>
          </w:tcPr>
          <w:p w14:paraId="07DA8CD0"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P001</w:t>
            </w:r>
          </w:p>
          <w:p w14:paraId="6658B471"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IBC02</w:t>
            </w:r>
          </w:p>
        </w:tc>
        <w:tc>
          <w:tcPr>
            <w:tcW w:w="771" w:type="dxa"/>
            <w:shd w:val="clear" w:color="auto" w:fill="auto"/>
          </w:tcPr>
          <w:p w14:paraId="740F4BAF"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w:t>
            </w:r>
          </w:p>
        </w:tc>
        <w:tc>
          <w:tcPr>
            <w:tcW w:w="851" w:type="dxa"/>
            <w:shd w:val="clear" w:color="auto" w:fill="auto"/>
          </w:tcPr>
          <w:p w14:paraId="09D7635A"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T7</w:t>
            </w:r>
          </w:p>
        </w:tc>
        <w:tc>
          <w:tcPr>
            <w:tcW w:w="843" w:type="dxa"/>
            <w:shd w:val="clear" w:color="auto" w:fill="auto"/>
          </w:tcPr>
          <w:p w14:paraId="270B2107" w14:textId="77777777" w:rsidR="00002F14" w:rsidRPr="00173C29" w:rsidRDefault="00002F14" w:rsidP="005F4DF7">
            <w:pPr>
              <w:spacing w:before="80" w:after="80" w:line="160" w:lineRule="exact"/>
              <w:ind w:left="57" w:right="57"/>
              <w:rPr>
                <w:rFonts w:asciiTheme="majorBidi" w:hAnsiTheme="majorBidi" w:cstheme="majorBidi"/>
                <w:sz w:val="14"/>
                <w:szCs w:val="14"/>
              </w:rPr>
            </w:pPr>
            <w:r w:rsidRPr="00173C29">
              <w:rPr>
                <w:sz w:val="14"/>
                <w:szCs w:val="14"/>
                <w:lang w:val="fr-FR"/>
              </w:rPr>
              <w:t>TP2</w:t>
            </w:r>
          </w:p>
        </w:tc>
      </w:tr>
    </w:tbl>
    <w:p w14:paraId="7CC7DF62" w14:textId="77777777" w:rsidR="00002F14" w:rsidRPr="003A0DD8" w:rsidRDefault="00002F14" w:rsidP="00FB4B96">
      <w:pPr>
        <w:pStyle w:val="HChG"/>
        <w:rPr>
          <w:lang w:val="fr-FR"/>
        </w:rPr>
      </w:pPr>
      <w:r>
        <w:rPr>
          <w:lang w:val="fr-FR"/>
        </w:rPr>
        <w:tab/>
      </w:r>
      <w:r>
        <w:rPr>
          <w:lang w:val="fr-FR"/>
        </w:rPr>
        <w:tab/>
        <w:t>Amendements concernant le No ONU 2357</w:t>
      </w:r>
    </w:p>
    <w:p w14:paraId="1AD1AEE9" w14:textId="77777777" w:rsidR="00002F14" w:rsidRPr="003A0DD8" w:rsidRDefault="00002F14" w:rsidP="00FB4B96">
      <w:pPr>
        <w:pStyle w:val="H1G"/>
        <w:rPr>
          <w:lang w:val="fr-FR"/>
        </w:rPr>
      </w:pPr>
      <w:r>
        <w:rPr>
          <w:lang w:val="fr-FR"/>
        </w:rPr>
        <w:tab/>
      </w:r>
      <w:r>
        <w:rPr>
          <w:lang w:val="fr-FR"/>
        </w:rPr>
        <w:tab/>
        <w:t>Justification</w:t>
      </w:r>
    </w:p>
    <w:p w14:paraId="792FE14E" w14:textId="77777777" w:rsidR="00002F14" w:rsidRPr="003A0DD8" w:rsidRDefault="00002F14" w:rsidP="00FB4B96">
      <w:pPr>
        <w:pStyle w:val="SingleTxtG"/>
        <w:rPr>
          <w:lang w:val="fr-FR"/>
        </w:rPr>
      </w:pPr>
      <w:r>
        <w:rPr>
          <w:lang w:val="fr-FR"/>
        </w:rPr>
        <w:t>31.</w:t>
      </w:r>
      <w:r>
        <w:rPr>
          <w:lang w:val="fr-FR"/>
        </w:rPr>
        <w:tab/>
        <w:t>D’après les données fournies (pour plus de précisions, se reporter à l’annexe</w:t>
      </w:r>
      <w:r w:rsidR="00FB4B96">
        <w:rPr>
          <w:lang w:val="fr-FR"/>
        </w:rPr>
        <w:t> </w:t>
      </w:r>
      <w:r>
        <w:rPr>
          <w:lang w:val="fr-FR"/>
        </w:rPr>
        <w:t>IV), le No ONU 2357 présente une toxicité à l’ingestion (DL</w:t>
      </w:r>
      <w:r>
        <w:rPr>
          <w:vertAlign w:val="subscript"/>
          <w:lang w:val="fr-FR"/>
        </w:rPr>
        <w:t>50</w:t>
      </w:r>
      <w:r>
        <w:rPr>
          <w:lang w:val="fr-FR"/>
        </w:rPr>
        <w:t>) de 156 mg/kg et une toxicité aiguë à l’absorption cutanée (DL</w:t>
      </w:r>
      <w:r>
        <w:rPr>
          <w:vertAlign w:val="subscript"/>
          <w:lang w:val="fr-FR"/>
        </w:rPr>
        <w:t>50</w:t>
      </w:r>
      <w:r>
        <w:rPr>
          <w:lang w:val="fr-FR"/>
        </w:rPr>
        <w:t>) de 631 à 1 000 mg/kg.</w:t>
      </w:r>
    </w:p>
    <w:p w14:paraId="3CE3642C" w14:textId="77777777" w:rsidR="00002F14" w:rsidRPr="003A0DD8" w:rsidRDefault="00002F14" w:rsidP="00FB4B96">
      <w:pPr>
        <w:pStyle w:val="SingleTxtG"/>
        <w:rPr>
          <w:lang w:val="fr-FR"/>
        </w:rPr>
      </w:pPr>
      <w:r>
        <w:rPr>
          <w:lang w:val="fr-FR"/>
        </w:rPr>
        <w:t>32.</w:t>
      </w:r>
      <w:r>
        <w:rPr>
          <w:lang w:val="fr-FR"/>
        </w:rPr>
        <w:tab/>
        <w:t>Par conséquent, selon le tableau 2, le No ONU 2357 devrait être classé dans la division 6.1, groupe d’emballage III.</w:t>
      </w:r>
    </w:p>
    <w:p w14:paraId="7A86C91E" w14:textId="77777777" w:rsidR="00002F14" w:rsidRPr="003A0DD8" w:rsidRDefault="00002F14" w:rsidP="00FB4B96">
      <w:pPr>
        <w:pStyle w:val="SingleTxtG"/>
        <w:rPr>
          <w:lang w:val="fr-FR"/>
        </w:rPr>
      </w:pPr>
      <w:r>
        <w:rPr>
          <w:lang w:val="fr-FR"/>
        </w:rPr>
        <w:t>33.</w:t>
      </w:r>
      <w:r>
        <w:rPr>
          <w:lang w:val="fr-FR"/>
        </w:rPr>
        <w:tab/>
        <w:t>La classe de danger principale du No ONU 2357 devrait rester la classe 8 et la division 6.1 devrait être ajoutée comme risque subsidiaire, conformément au tableau de l’ordre de prépondérance des caractéristiques de dangers figurant au paragraphe 2.0.3.3 du Règlement type.</w:t>
      </w:r>
    </w:p>
    <w:p w14:paraId="1FDE7BA3" w14:textId="77777777" w:rsidR="00002F14" w:rsidRPr="003A0DD8" w:rsidRDefault="00002F14" w:rsidP="00FB4B96">
      <w:pPr>
        <w:pStyle w:val="SingleTxtG"/>
        <w:rPr>
          <w:lang w:val="fr-FR"/>
        </w:rPr>
      </w:pPr>
      <w:r>
        <w:rPr>
          <w:lang w:val="fr-FR"/>
        </w:rPr>
        <w:t>34.</w:t>
      </w:r>
      <w:r>
        <w:rPr>
          <w:lang w:val="fr-FR"/>
        </w:rPr>
        <w:tab/>
        <w:t>Il n’est pas nécessaire de modifier d’autres conditions de transport, notamment les instructions d’emballage ou les quantités limitées et quantités exceptées.</w:t>
      </w:r>
    </w:p>
    <w:p w14:paraId="3539D9E2" w14:textId="77777777" w:rsidR="00002F14" w:rsidRPr="006B1A4E" w:rsidRDefault="00002F14" w:rsidP="00FB4B96">
      <w:pPr>
        <w:pStyle w:val="H1G"/>
        <w:rPr>
          <w:lang w:val="fr-FR"/>
        </w:rPr>
      </w:pPr>
      <w:r>
        <w:rPr>
          <w:lang w:val="fr-FR"/>
        </w:rPr>
        <w:tab/>
      </w:r>
      <w:r>
        <w:rPr>
          <w:lang w:val="fr-FR"/>
        </w:rPr>
        <w:tab/>
        <w:t>Proposition</w:t>
      </w:r>
    </w:p>
    <w:p w14:paraId="07687963" w14:textId="77777777" w:rsidR="00002F14" w:rsidRPr="003A0DD8" w:rsidRDefault="00002F14" w:rsidP="00002F14">
      <w:pPr>
        <w:pStyle w:val="SingleTxtG"/>
        <w:adjustRightInd/>
        <w:rPr>
          <w:rFonts w:eastAsia="Malgun Gothic"/>
          <w:lang w:val="fr-FR"/>
        </w:rPr>
      </w:pPr>
      <w:r>
        <w:rPr>
          <w:lang w:val="fr-FR"/>
        </w:rPr>
        <w:t>35.</w:t>
      </w:r>
      <w:r>
        <w:rPr>
          <w:lang w:val="fr-FR"/>
        </w:rPr>
        <w:tab/>
        <w:t xml:space="preserve">Modifier la ligne du No ONU 2357 dans la liste des marchandises dangereuses comme suit (le texte à ajouter apparaît en caractères </w:t>
      </w:r>
      <w:r w:rsidRPr="008F47F3">
        <w:rPr>
          <w:b/>
          <w:bCs/>
          <w:color w:val="FF0000"/>
          <w:u w:val="single"/>
          <w:lang w:val="fr-FR"/>
        </w:rPr>
        <w:t>rouges, gras, soulignés</w:t>
      </w:r>
      <w:r>
        <w:rPr>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1"/>
        <w:gridCol w:w="1369"/>
        <w:gridCol w:w="784"/>
        <w:gridCol w:w="785"/>
        <w:gridCol w:w="785"/>
        <w:gridCol w:w="785"/>
        <w:gridCol w:w="622"/>
        <w:gridCol w:w="693"/>
        <w:gridCol w:w="798"/>
        <w:gridCol w:w="770"/>
        <w:gridCol w:w="812"/>
        <w:gridCol w:w="813"/>
      </w:tblGrid>
      <w:tr w:rsidR="00002F14" w:rsidRPr="00FB4B96" w14:paraId="230C1E15" w14:textId="77777777" w:rsidTr="00FB4B96">
        <w:trPr>
          <w:trHeight w:val="20"/>
        </w:trPr>
        <w:tc>
          <w:tcPr>
            <w:tcW w:w="621" w:type="dxa"/>
            <w:vMerge w:val="restart"/>
            <w:shd w:val="clear" w:color="auto" w:fill="auto"/>
            <w:vAlign w:val="bottom"/>
          </w:tcPr>
          <w:p w14:paraId="4E058CFA" w14:textId="77777777" w:rsidR="00002F14" w:rsidRPr="00FB4B96" w:rsidRDefault="00002F14" w:rsidP="00FB4B96">
            <w:pPr>
              <w:spacing w:before="80" w:after="80" w:line="160" w:lineRule="exact"/>
              <w:rPr>
                <w:rFonts w:asciiTheme="majorBidi" w:hAnsiTheme="majorBidi" w:cstheme="majorBidi"/>
                <w:b/>
                <w:bCs/>
                <w:w w:val="90"/>
                <w:sz w:val="12"/>
                <w:szCs w:val="12"/>
              </w:rPr>
            </w:pPr>
            <w:r w:rsidRPr="00FB4B96">
              <w:rPr>
                <w:b/>
                <w:bCs/>
                <w:sz w:val="12"/>
                <w:szCs w:val="12"/>
                <w:lang w:val="fr-FR"/>
              </w:rPr>
              <w:t>No ONU</w:t>
            </w:r>
          </w:p>
        </w:tc>
        <w:tc>
          <w:tcPr>
            <w:tcW w:w="1369" w:type="dxa"/>
            <w:vMerge w:val="restart"/>
            <w:shd w:val="clear" w:color="auto" w:fill="auto"/>
            <w:vAlign w:val="bottom"/>
          </w:tcPr>
          <w:p w14:paraId="45FE2DA2" w14:textId="77777777" w:rsidR="00002F14" w:rsidRPr="00FB4B96" w:rsidRDefault="00002F14" w:rsidP="00FB4B96">
            <w:pPr>
              <w:spacing w:before="80" w:after="80" w:line="160" w:lineRule="exact"/>
              <w:rPr>
                <w:rFonts w:asciiTheme="majorBidi" w:hAnsiTheme="majorBidi" w:cstheme="majorBidi"/>
                <w:b/>
                <w:bCs/>
                <w:w w:val="90"/>
                <w:sz w:val="12"/>
                <w:szCs w:val="12"/>
              </w:rPr>
            </w:pPr>
            <w:r w:rsidRPr="00FB4B96">
              <w:rPr>
                <w:b/>
                <w:bCs/>
                <w:sz w:val="12"/>
                <w:szCs w:val="12"/>
                <w:lang w:val="fr-FR"/>
              </w:rPr>
              <w:t>Nom et description</w:t>
            </w:r>
          </w:p>
        </w:tc>
        <w:tc>
          <w:tcPr>
            <w:tcW w:w="784" w:type="dxa"/>
            <w:vMerge w:val="restart"/>
            <w:shd w:val="clear" w:color="auto" w:fill="auto"/>
            <w:vAlign w:val="bottom"/>
          </w:tcPr>
          <w:p w14:paraId="43297F63" w14:textId="77777777" w:rsidR="00002F14" w:rsidRPr="00FB4B96" w:rsidRDefault="00002F14" w:rsidP="00FB4B96">
            <w:pPr>
              <w:spacing w:before="80" w:after="80" w:line="160" w:lineRule="exact"/>
              <w:ind w:left="57" w:right="-108"/>
              <w:rPr>
                <w:rFonts w:asciiTheme="majorBidi" w:hAnsiTheme="majorBidi" w:cstheme="majorBidi"/>
                <w:b/>
                <w:bCs/>
                <w:w w:val="90"/>
                <w:sz w:val="12"/>
                <w:szCs w:val="12"/>
              </w:rPr>
            </w:pPr>
            <w:r w:rsidRPr="00FB4B96">
              <w:rPr>
                <w:b/>
                <w:bCs/>
                <w:sz w:val="12"/>
                <w:szCs w:val="12"/>
                <w:lang w:val="fr-FR"/>
              </w:rPr>
              <w:t xml:space="preserve">Classe </w:t>
            </w:r>
            <w:r w:rsidR="00FB4B96">
              <w:rPr>
                <w:b/>
                <w:bCs/>
                <w:sz w:val="12"/>
                <w:szCs w:val="12"/>
                <w:lang w:val="fr-FR"/>
              </w:rPr>
              <w:br/>
            </w:r>
            <w:r w:rsidRPr="00FB4B96">
              <w:rPr>
                <w:b/>
                <w:bCs/>
                <w:sz w:val="12"/>
                <w:szCs w:val="12"/>
                <w:lang w:val="fr-FR"/>
              </w:rPr>
              <w:t>ou division</w:t>
            </w:r>
          </w:p>
        </w:tc>
        <w:tc>
          <w:tcPr>
            <w:tcW w:w="785" w:type="dxa"/>
            <w:vMerge w:val="restart"/>
            <w:shd w:val="clear" w:color="auto" w:fill="auto"/>
            <w:vAlign w:val="bottom"/>
          </w:tcPr>
          <w:p w14:paraId="2A08C325" w14:textId="77777777" w:rsidR="00002F14" w:rsidRPr="00FB4B96" w:rsidRDefault="00002F14" w:rsidP="00FB4B96">
            <w:pPr>
              <w:spacing w:before="80" w:after="80" w:line="160" w:lineRule="exact"/>
              <w:ind w:left="57" w:right="-108"/>
              <w:rPr>
                <w:rFonts w:asciiTheme="majorBidi" w:hAnsiTheme="majorBidi" w:cstheme="majorBidi"/>
                <w:b/>
                <w:bCs/>
                <w:w w:val="90"/>
                <w:sz w:val="12"/>
                <w:szCs w:val="12"/>
              </w:rPr>
            </w:pPr>
            <w:r w:rsidRPr="00FB4B96">
              <w:rPr>
                <w:b/>
                <w:bCs/>
                <w:sz w:val="12"/>
                <w:szCs w:val="12"/>
                <w:lang w:val="fr-FR"/>
              </w:rPr>
              <w:t xml:space="preserve">Risque </w:t>
            </w:r>
            <w:r w:rsidR="00FB4B96">
              <w:rPr>
                <w:b/>
                <w:bCs/>
                <w:sz w:val="12"/>
                <w:szCs w:val="12"/>
                <w:lang w:val="fr-FR"/>
              </w:rPr>
              <w:br/>
            </w:r>
            <w:r w:rsidRPr="00FB4B96">
              <w:rPr>
                <w:b/>
                <w:bCs/>
                <w:sz w:val="12"/>
                <w:szCs w:val="12"/>
                <w:lang w:val="fr-FR"/>
              </w:rPr>
              <w:t>subsidiaire</w:t>
            </w:r>
          </w:p>
        </w:tc>
        <w:tc>
          <w:tcPr>
            <w:tcW w:w="785" w:type="dxa"/>
            <w:vMerge w:val="restart"/>
            <w:shd w:val="clear" w:color="auto" w:fill="auto"/>
            <w:vAlign w:val="bottom"/>
          </w:tcPr>
          <w:p w14:paraId="2D33358A" w14:textId="77777777" w:rsidR="00002F14" w:rsidRPr="00FB4B96" w:rsidRDefault="00002F14" w:rsidP="00FB4B96">
            <w:pPr>
              <w:spacing w:before="80" w:after="80" w:line="160" w:lineRule="exact"/>
              <w:ind w:left="57" w:right="-108"/>
              <w:rPr>
                <w:rFonts w:asciiTheme="majorBidi" w:hAnsiTheme="majorBidi" w:cstheme="majorBidi"/>
                <w:b/>
                <w:bCs/>
                <w:w w:val="90"/>
                <w:sz w:val="12"/>
                <w:szCs w:val="12"/>
              </w:rPr>
            </w:pPr>
            <w:r w:rsidRPr="00FB4B96">
              <w:rPr>
                <w:b/>
                <w:bCs/>
                <w:sz w:val="12"/>
                <w:szCs w:val="12"/>
                <w:lang w:val="fr-FR"/>
              </w:rPr>
              <w:t>Groupe d’emballage</w:t>
            </w:r>
          </w:p>
        </w:tc>
        <w:tc>
          <w:tcPr>
            <w:tcW w:w="785" w:type="dxa"/>
            <w:vMerge w:val="restart"/>
            <w:shd w:val="clear" w:color="auto" w:fill="auto"/>
            <w:vAlign w:val="bottom"/>
          </w:tcPr>
          <w:p w14:paraId="2099B378" w14:textId="77777777" w:rsidR="00002F14" w:rsidRPr="00FB4B96" w:rsidRDefault="00002F14" w:rsidP="00FB4B96">
            <w:pPr>
              <w:spacing w:before="80" w:after="80" w:line="160" w:lineRule="exact"/>
              <w:ind w:left="57" w:right="-108"/>
              <w:rPr>
                <w:rFonts w:asciiTheme="majorBidi" w:hAnsiTheme="majorBidi" w:cstheme="majorBidi"/>
                <w:b/>
                <w:bCs/>
                <w:w w:val="90"/>
                <w:sz w:val="12"/>
                <w:szCs w:val="12"/>
              </w:rPr>
            </w:pPr>
            <w:r w:rsidRPr="00FB4B96">
              <w:rPr>
                <w:b/>
                <w:bCs/>
                <w:sz w:val="12"/>
                <w:szCs w:val="12"/>
                <w:lang w:val="fr-FR"/>
              </w:rPr>
              <w:t>Dispositions spéciales</w:t>
            </w:r>
          </w:p>
        </w:tc>
        <w:tc>
          <w:tcPr>
            <w:tcW w:w="1315" w:type="dxa"/>
            <w:gridSpan w:val="2"/>
            <w:vMerge w:val="restart"/>
            <w:shd w:val="clear" w:color="auto" w:fill="auto"/>
            <w:vAlign w:val="bottom"/>
          </w:tcPr>
          <w:p w14:paraId="4386CF3F" w14:textId="77777777" w:rsidR="00002F14" w:rsidRPr="00FB4B96" w:rsidRDefault="00002F14" w:rsidP="00FB4B96">
            <w:pPr>
              <w:spacing w:before="80" w:after="80" w:line="160" w:lineRule="exact"/>
              <w:ind w:left="57" w:right="-108"/>
              <w:rPr>
                <w:rFonts w:asciiTheme="majorBidi" w:hAnsiTheme="majorBidi" w:cstheme="majorBidi"/>
                <w:b/>
                <w:bCs/>
                <w:w w:val="90"/>
                <w:sz w:val="12"/>
                <w:szCs w:val="12"/>
                <w:lang w:val="fr-FR"/>
              </w:rPr>
            </w:pPr>
            <w:r w:rsidRPr="00FB4B96">
              <w:rPr>
                <w:b/>
                <w:bCs/>
                <w:sz w:val="12"/>
                <w:szCs w:val="12"/>
                <w:lang w:val="fr-FR"/>
              </w:rPr>
              <w:t>Quantités limitées et quantités exceptées</w:t>
            </w:r>
          </w:p>
        </w:tc>
        <w:tc>
          <w:tcPr>
            <w:tcW w:w="1568" w:type="dxa"/>
            <w:gridSpan w:val="2"/>
            <w:shd w:val="clear" w:color="auto" w:fill="auto"/>
            <w:vAlign w:val="bottom"/>
          </w:tcPr>
          <w:p w14:paraId="25C976C2" w14:textId="77777777" w:rsidR="00002F14" w:rsidRPr="00FB4B96" w:rsidRDefault="00002F14" w:rsidP="00FB4B96">
            <w:pPr>
              <w:spacing w:before="80" w:after="80" w:line="160" w:lineRule="exact"/>
              <w:jc w:val="center"/>
              <w:rPr>
                <w:rFonts w:asciiTheme="majorBidi" w:hAnsiTheme="majorBidi" w:cstheme="majorBidi"/>
                <w:b/>
                <w:bCs/>
                <w:w w:val="90"/>
                <w:sz w:val="12"/>
                <w:szCs w:val="12"/>
              </w:rPr>
            </w:pPr>
            <w:r w:rsidRPr="00FB4B96">
              <w:rPr>
                <w:b/>
                <w:bCs/>
                <w:sz w:val="12"/>
                <w:szCs w:val="12"/>
                <w:lang w:val="fr-FR"/>
              </w:rPr>
              <w:t>Emballages et GRV</w:t>
            </w:r>
          </w:p>
        </w:tc>
        <w:tc>
          <w:tcPr>
            <w:tcW w:w="1625" w:type="dxa"/>
            <w:gridSpan w:val="2"/>
            <w:shd w:val="clear" w:color="auto" w:fill="auto"/>
            <w:vAlign w:val="bottom"/>
          </w:tcPr>
          <w:p w14:paraId="3CDDC645" w14:textId="77777777" w:rsidR="00002F14" w:rsidRPr="00FB4B96" w:rsidRDefault="00002F14" w:rsidP="00FB4B96">
            <w:pPr>
              <w:spacing w:before="80" w:after="80" w:line="160" w:lineRule="exact"/>
              <w:jc w:val="center"/>
              <w:rPr>
                <w:rFonts w:asciiTheme="majorBidi" w:hAnsiTheme="majorBidi" w:cstheme="majorBidi"/>
                <w:b/>
                <w:bCs/>
                <w:w w:val="90"/>
                <w:sz w:val="12"/>
                <w:szCs w:val="12"/>
                <w:lang w:val="fr-FR"/>
              </w:rPr>
            </w:pPr>
            <w:r w:rsidRPr="00FB4B96">
              <w:rPr>
                <w:b/>
                <w:bCs/>
                <w:sz w:val="12"/>
                <w:szCs w:val="12"/>
                <w:lang w:val="fr-FR"/>
              </w:rPr>
              <w:t>Citernes mobiles et conteneurs pour vrac</w:t>
            </w:r>
          </w:p>
        </w:tc>
      </w:tr>
      <w:tr w:rsidR="00002F14" w:rsidRPr="00FB4B96" w14:paraId="6A5B8151" w14:textId="77777777" w:rsidTr="00FB4B96">
        <w:trPr>
          <w:trHeight w:val="20"/>
        </w:trPr>
        <w:tc>
          <w:tcPr>
            <w:tcW w:w="621" w:type="dxa"/>
            <w:vMerge/>
            <w:shd w:val="clear" w:color="auto" w:fill="auto"/>
            <w:vAlign w:val="bottom"/>
          </w:tcPr>
          <w:p w14:paraId="22EADD61" w14:textId="77777777" w:rsidR="00002F14" w:rsidRPr="00FB4B96" w:rsidRDefault="00002F14" w:rsidP="00FB4B96">
            <w:pPr>
              <w:spacing w:before="80" w:after="80" w:line="160" w:lineRule="exact"/>
              <w:rPr>
                <w:rFonts w:asciiTheme="majorBidi" w:hAnsiTheme="majorBidi" w:cstheme="majorBidi"/>
                <w:sz w:val="12"/>
                <w:szCs w:val="12"/>
                <w:lang w:val="fr-FR" w:eastAsia="ko-KR"/>
              </w:rPr>
            </w:pPr>
          </w:p>
        </w:tc>
        <w:tc>
          <w:tcPr>
            <w:tcW w:w="1369" w:type="dxa"/>
            <w:vMerge/>
            <w:shd w:val="clear" w:color="auto" w:fill="auto"/>
            <w:vAlign w:val="bottom"/>
          </w:tcPr>
          <w:p w14:paraId="273B8C3C" w14:textId="77777777" w:rsidR="00002F14" w:rsidRPr="00FB4B96" w:rsidRDefault="00002F14" w:rsidP="00FB4B96">
            <w:pPr>
              <w:spacing w:before="80" w:after="80" w:line="160" w:lineRule="exact"/>
              <w:rPr>
                <w:rFonts w:asciiTheme="majorBidi" w:hAnsiTheme="majorBidi" w:cstheme="majorBidi"/>
                <w:sz w:val="12"/>
                <w:szCs w:val="12"/>
                <w:lang w:val="fr-FR" w:eastAsia="ko-KR"/>
              </w:rPr>
            </w:pPr>
          </w:p>
        </w:tc>
        <w:tc>
          <w:tcPr>
            <w:tcW w:w="784" w:type="dxa"/>
            <w:vMerge/>
            <w:shd w:val="clear" w:color="auto" w:fill="auto"/>
            <w:vAlign w:val="bottom"/>
          </w:tcPr>
          <w:p w14:paraId="327FA3E7" w14:textId="77777777" w:rsidR="00002F14" w:rsidRPr="00FB4B96" w:rsidRDefault="00002F14" w:rsidP="00FB4B96">
            <w:pPr>
              <w:spacing w:before="80" w:after="80" w:line="160" w:lineRule="exact"/>
              <w:rPr>
                <w:rFonts w:asciiTheme="majorBidi" w:hAnsiTheme="majorBidi" w:cstheme="majorBidi"/>
                <w:sz w:val="12"/>
                <w:szCs w:val="12"/>
                <w:lang w:val="fr-FR" w:eastAsia="ko-KR"/>
              </w:rPr>
            </w:pPr>
          </w:p>
        </w:tc>
        <w:tc>
          <w:tcPr>
            <w:tcW w:w="785" w:type="dxa"/>
            <w:vMerge/>
            <w:shd w:val="clear" w:color="auto" w:fill="auto"/>
            <w:vAlign w:val="bottom"/>
          </w:tcPr>
          <w:p w14:paraId="65BFA10B" w14:textId="77777777" w:rsidR="00002F14" w:rsidRPr="00FB4B96" w:rsidRDefault="00002F14" w:rsidP="00FB4B96">
            <w:pPr>
              <w:spacing w:before="80" w:after="80" w:line="160" w:lineRule="exact"/>
              <w:rPr>
                <w:rFonts w:asciiTheme="majorBidi" w:hAnsiTheme="majorBidi" w:cstheme="majorBidi"/>
                <w:sz w:val="12"/>
                <w:szCs w:val="12"/>
                <w:lang w:val="fr-FR" w:eastAsia="ko-KR"/>
              </w:rPr>
            </w:pPr>
          </w:p>
        </w:tc>
        <w:tc>
          <w:tcPr>
            <w:tcW w:w="785" w:type="dxa"/>
            <w:vMerge/>
            <w:shd w:val="clear" w:color="auto" w:fill="auto"/>
            <w:vAlign w:val="bottom"/>
          </w:tcPr>
          <w:p w14:paraId="039211D2" w14:textId="77777777" w:rsidR="00002F14" w:rsidRPr="00FB4B96" w:rsidRDefault="00002F14" w:rsidP="00FB4B96">
            <w:pPr>
              <w:spacing w:before="80" w:after="80" w:line="160" w:lineRule="exact"/>
              <w:rPr>
                <w:rFonts w:asciiTheme="majorBidi" w:hAnsiTheme="majorBidi" w:cstheme="majorBidi"/>
                <w:sz w:val="12"/>
                <w:szCs w:val="12"/>
                <w:lang w:val="fr-FR" w:eastAsia="ko-KR"/>
              </w:rPr>
            </w:pPr>
          </w:p>
        </w:tc>
        <w:tc>
          <w:tcPr>
            <w:tcW w:w="785" w:type="dxa"/>
            <w:vMerge/>
            <w:shd w:val="clear" w:color="auto" w:fill="auto"/>
            <w:vAlign w:val="bottom"/>
          </w:tcPr>
          <w:p w14:paraId="15C24B35" w14:textId="77777777" w:rsidR="00002F14" w:rsidRPr="00FB4B96" w:rsidRDefault="00002F14" w:rsidP="00FB4B96">
            <w:pPr>
              <w:spacing w:before="80" w:after="80" w:line="160" w:lineRule="exact"/>
              <w:rPr>
                <w:rFonts w:asciiTheme="majorBidi" w:hAnsiTheme="majorBidi" w:cstheme="majorBidi"/>
                <w:sz w:val="12"/>
                <w:szCs w:val="12"/>
                <w:lang w:val="fr-FR" w:eastAsia="ko-KR"/>
              </w:rPr>
            </w:pPr>
          </w:p>
        </w:tc>
        <w:tc>
          <w:tcPr>
            <w:tcW w:w="1315" w:type="dxa"/>
            <w:gridSpan w:val="2"/>
            <w:vMerge/>
            <w:shd w:val="clear" w:color="auto" w:fill="auto"/>
            <w:vAlign w:val="bottom"/>
          </w:tcPr>
          <w:p w14:paraId="59CBE048" w14:textId="77777777" w:rsidR="00002F14" w:rsidRPr="00FB4B96" w:rsidRDefault="00002F14" w:rsidP="00FB4B96">
            <w:pPr>
              <w:spacing w:before="80" w:after="80" w:line="160" w:lineRule="exact"/>
              <w:rPr>
                <w:rFonts w:asciiTheme="majorBidi" w:hAnsiTheme="majorBidi" w:cstheme="majorBidi"/>
                <w:sz w:val="12"/>
                <w:szCs w:val="12"/>
                <w:lang w:val="fr-FR" w:eastAsia="ko-KR"/>
              </w:rPr>
            </w:pPr>
          </w:p>
        </w:tc>
        <w:tc>
          <w:tcPr>
            <w:tcW w:w="798" w:type="dxa"/>
            <w:shd w:val="clear" w:color="auto" w:fill="auto"/>
            <w:vAlign w:val="bottom"/>
          </w:tcPr>
          <w:p w14:paraId="7D68148D" w14:textId="77777777" w:rsidR="00002F14" w:rsidRPr="00FB4B96" w:rsidRDefault="00002F14" w:rsidP="00FB4B96">
            <w:pPr>
              <w:spacing w:before="80" w:after="80" w:line="160" w:lineRule="exact"/>
              <w:ind w:left="57" w:right="-108"/>
              <w:rPr>
                <w:rFonts w:asciiTheme="majorBidi" w:hAnsiTheme="majorBidi" w:cstheme="majorBidi"/>
                <w:b/>
                <w:bCs/>
                <w:w w:val="90"/>
                <w:sz w:val="12"/>
                <w:szCs w:val="12"/>
              </w:rPr>
            </w:pPr>
            <w:r w:rsidRPr="00FB4B96">
              <w:rPr>
                <w:b/>
                <w:bCs/>
                <w:sz w:val="12"/>
                <w:szCs w:val="12"/>
                <w:lang w:val="fr-FR"/>
              </w:rPr>
              <w:t>Instructions d’emballage</w:t>
            </w:r>
          </w:p>
        </w:tc>
        <w:tc>
          <w:tcPr>
            <w:tcW w:w="770" w:type="dxa"/>
            <w:shd w:val="clear" w:color="auto" w:fill="auto"/>
            <w:vAlign w:val="bottom"/>
          </w:tcPr>
          <w:p w14:paraId="1CE962BB" w14:textId="77777777" w:rsidR="00002F14" w:rsidRPr="00FB4B96" w:rsidRDefault="00002F14" w:rsidP="00FB4B96">
            <w:pPr>
              <w:spacing w:before="80" w:after="80" w:line="160" w:lineRule="exact"/>
              <w:ind w:left="57" w:right="-108"/>
              <w:rPr>
                <w:rFonts w:asciiTheme="majorBidi" w:hAnsiTheme="majorBidi" w:cstheme="majorBidi"/>
                <w:b/>
                <w:bCs/>
                <w:w w:val="90"/>
                <w:sz w:val="12"/>
                <w:szCs w:val="12"/>
              </w:rPr>
            </w:pPr>
            <w:r w:rsidRPr="00FB4B96">
              <w:rPr>
                <w:b/>
                <w:bCs/>
                <w:sz w:val="12"/>
                <w:szCs w:val="12"/>
                <w:lang w:val="fr-FR"/>
              </w:rPr>
              <w:t>Dispositions spéciales</w:t>
            </w:r>
          </w:p>
        </w:tc>
        <w:tc>
          <w:tcPr>
            <w:tcW w:w="812" w:type="dxa"/>
            <w:shd w:val="clear" w:color="auto" w:fill="auto"/>
            <w:vAlign w:val="bottom"/>
          </w:tcPr>
          <w:p w14:paraId="407D5D00" w14:textId="77777777" w:rsidR="00002F14" w:rsidRPr="00FB4B96" w:rsidRDefault="00002F14" w:rsidP="00FB4B96">
            <w:pPr>
              <w:spacing w:before="80" w:after="80" w:line="160" w:lineRule="exact"/>
              <w:ind w:left="57" w:right="-108"/>
              <w:rPr>
                <w:rFonts w:asciiTheme="majorBidi" w:hAnsiTheme="majorBidi" w:cstheme="majorBidi"/>
                <w:b/>
                <w:bCs/>
                <w:w w:val="90"/>
                <w:sz w:val="12"/>
                <w:szCs w:val="12"/>
              </w:rPr>
            </w:pPr>
            <w:r w:rsidRPr="00FB4B96">
              <w:rPr>
                <w:b/>
                <w:bCs/>
                <w:sz w:val="12"/>
                <w:szCs w:val="12"/>
                <w:lang w:val="fr-FR"/>
              </w:rPr>
              <w:t xml:space="preserve">Instructions </w:t>
            </w:r>
            <w:r w:rsidR="00FB4B96">
              <w:rPr>
                <w:b/>
                <w:bCs/>
                <w:sz w:val="12"/>
                <w:szCs w:val="12"/>
                <w:lang w:val="fr-FR"/>
              </w:rPr>
              <w:br/>
            </w:r>
            <w:r w:rsidRPr="00FB4B96">
              <w:rPr>
                <w:b/>
                <w:bCs/>
                <w:sz w:val="12"/>
                <w:szCs w:val="12"/>
                <w:lang w:val="fr-FR"/>
              </w:rPr>
              <w:t>de transport</w:t>
            </w:r>
          </w:p>
        </w:tc>
        <w:tc>
          <w:tcPr>
            <w:tcW w:w="813" w:type="dxa"/>
            <w:shd w:val="clear" w:color="auto" w:fill="auto"/>
            <w:vAlign w:val="bottom"/>
          </w:tcPr>
          <w:p w14:paraId="2465A444" w14:textId="77777777" w:rsidR="00002F14" w:rsidRPr="00FB4B96" w:rsidRDefault="00002F14" w:rsidP="00FB4B96">
            <w:pPr>
              <w:spacing w:before="80" w:after="80" w:line="160" w:lineRule="exact"/>
              <w:ind w:left="57" w:right="-108"/>
              <w:rPr>
                <w:rFonts w:asciiTheme="majorBidi" w:hAnsiTheme="majorBidi" w:cstheme="majorBidi"/>
                <w:b/>
                <w:bCs/>
                <w:w w:val="90"/>
                <w:sz w:val="12"/>
                <w:szCs w:val="12"/>
              </w:rPr>
            </w:pPr>
            <w:r w:rsidRPr="00FB4B96">
              <w:rPr>
                <w:b/>
                <w:bCs/>
                <w:sz w:val="12"/>
                <w:szCs w:val="12"/>
                <w:lang w:val="fr-FR"/>
              </w:rPr>
              <w:t>Dispositions spéciales</w:t>
            </w:r>
          </w:p>
        </w:tc>
      </w:tr>
      <w:tr w:rsidR="00002F14" w:rsidRPr="00FB4B96" w14:paraId="6F7CD330" w14:textId="77777777" w:rsidTr="00FB4B96">
        <w:trPr>
          <w:trHeight w:val="20"/>
        </w:trPr>
        <w:tc>
          <w:tcPr>
            <w:tcW w:w="621" w:type="dxa"/>
            <w:shd w:val="clear" w:color="auto" w:fill="auto"/>
            <w:vAlign w:val="bottom"/>
          </w:tcPr>
          <w:p w14:paraId="537CFE9B"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(1)</w:t>
            </w:r>
          </w:p>
        </w:tc>
        <w:tc>
          <w:tcPr>
            <w:tcW w:w="1369" w:type="dxa"/>
            <w:shd w:val="clear" w:color="auto" w:fill="auto"/>
            <w:vAlign w:val="bottom"/>
          </w:tcPr>
          <w:p w14:paraId="7D4055A6"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(2)</w:t>
            </w:r>
          </w:p>
        </w:tc>
        <w:tc>
          <w:tcPr>
            <w:tcW w:w="784" w:type="dxa"/>
            <w:shd w:val="clear" w:color="auto" w:fill="auto"/>
            <w:vAlign w:val="bottom"/>
          </w:tcPr>
          <w:p w14:paraId="2822BD3D"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(3)</w:t>
            </w:r>
          </w:p>
        </w:tc>
        <w:tc>
          <w:tcPr>
            <w:tcW w:w="785" w:type="dxa"/>
            <w:shd w:val="clear" w:color="auto" w:fill="auto"/>
            <w:vAlign w:val="bottom"/>
          </w:tcPr>
          <w:p w14:paraId="57C2916B"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(4)</w:t>
            </w:r>
          </w:p>
        </w:tc>
        <w:tc>
          <w:tcPr>
            <w:tcW w:w="785" w:type="dxa"/>
            <w:shd w:val="clear" w:color="auto" w:fill="auto"/>
            <w:vAlign w:val="bottom"/>
          </w:tcPr>
          <w:p w14:paraId="5E51A1EB"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(5)</w:t>
            </w:r>
          </w:p>
        </w:tc>
        <w:tc>
          <w:tcPr>
            <w:tcW w:w="785" w:type="dxa"/>
            <w:shd w:val="clear" w:color="auto" w:fill="auto"/>
            <w:vAlign w:val="bottom"/>
          </w:tcPr>
          <w:p w14:paraId="7CBD8B5C"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(6)</w:t>
            </w:r>
          </w:p>
        </w:tc>
        <w:tc>
          <w:tcPr>
            <w:tcW w:w="622" w:type="dxa"/>
            <w:shd w:val="clear" w:color="auto" w:fill="auto"/>
            <w:vAlign w:val="bottom"/>
          </w:tcPr>
          <w:p w14:paraId="0E984435"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(7a)</w:t>
            </w:r>
          </w:p>
        </w:tc>
        <w:tc>
          <w:tcPr>
            <w:tcW w:w="693" w:type="dxa"/>
            <w:shd w:val="clear" w:color="auto" w:fill="auto"/>
            <w:vAlign w:val="bottom"/>
          </w:tcPr>
          <w:p w14:paraId="027D5B6E"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(7b)</w:t>
            </w:r>
          </w:p>
        </w:tc>
        <w:tc>
          <w:tcPr>
            <w:tcW w:w="798" w:type="dxa"/>
            <w:shd w:val="clear" w:color="auto" w:fill="auto"/>
            <w:vAlign w:val="bottom"/>
          </w:tcPr>
          <w:p w14:paraId="1E294AF4"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(8)</w:t>
            </w:r>
          </w:p>
        </w:tc>
        <w:tc>
          <w:tcPr>
            <w:tcW w:w="770" w:type="dxa"/>
            <w:shd w:val="clear" w:color="auto" w:fill="auto"/>
            <w:vAlign w:val="bottom"/>
          </w:tcPr>
          <w:p w14:paraId="312D2AC4"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(9)</w:t>
            </w:r>
          </w:p>
        </w:tc>
        <w:tc>
          <w:tcPr>
            <w:tcW w:w="812" w:type="dxa"/>
            <w:shd w:val="clear" w:color="auto" w:fill="auto"/>
            <w:vAlign w:val="bottom"/>
          </w:tcPr>
          <w:p w14:paraId="2CCE6D8E"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(10)</w:t>
            </w:r>
          </w:p>
        </w:tc>
        <w:tc>
          <w:tcPr>
            <w:tcW w:w="813" w:type="dxa"/>
            <w:shd w:val="clear" w:color="auto" w:fill="auto"/>
            <w:vAlign w:val="bottom"/>
          </w:tcPr>
          <w:p w14:paraId="064DBDF3" w14:textId="77777777" w:rsidR="00002F14" w:rsidRPr="00FB4B96" w:rsidRDefault="00002F14" w:rsidP="00FB4B96">
            <w:pPr>
              <w:spacing w:before="80" w:after="80" w:line="160" w:lineRule="exact"/>
              <w:ind w:left="57" w:right="-108"/>
              <w:rPr>
                <w:rFonts w:asciiTheme="majorBidi" w:hAnsiTheme="majorBidi" w:cstheme="majorBidi"/>
                <w:b/>
                <w:bCs/>
                <w:sz w:val="12"/>
                <w:szCs w:val="12"/>
              </w:rPr>
            </w:pPr>
            <w:r w:rsidRPr="00FB4B96">
              <w:rPr>
                <w:b/>
                <w:bCs/>
                <w:sz w:val="12"/>
                <w:szCs w:val="12"/>
                <w:lang w:val="fr-FR"/>
              </w:rPr>
              <w:t>(11)</w:t>
            </w:r>
          </w:p>
        </w:tc>
      </w:tr>
      <w:tr w:rsidR="00002F14" w:rsidRPr="00FB4B96" w14:paraId="061E0C17" w14:textId="77777777" w:rsidTr="00FB4B96">
        <w:trPr>
          <w:trHeight w:val="20"/>
        </w:trPr>
        <w:tc>
          <w:tcPr>
            <w:tcW w:w="621" w:type="dxa"/>
            <w:shd w:val="clear" w:color="auto" w:fill="auto"/>
          </w:tcPr>
          <w:p w14:paraId="22BED652"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2357</w:t>
            </w:r>
          </w:p>
        </w:tc>
        <w:tc>
          <w:tcPr>
            <w:tcW w:w="1369" w:type="dxa"/>
            <w:shd w:val="clear" w:color="auto" w:fill="auto"/>
          </w:tcPr>
          <w:p w14:paraId="0E30C143" w14:textId="77777777" w:rsidR="00002F14" w:rsidRPr="00FB4B96" w:rsidRDefault="00002F14" w:rsidP="00FB4B96">
            <w:pPr>
              <w:spacing w:before="80" w:after="80" w:line="160" w:lineRule="exact"/>
              <w:ind w:left="57" w:right="-108"/>
              <w:rPr>
                <w:rFonts w:asciiTheme="majorBidi" w:eastAsia="Malgun Gothic" w:hAnsiTheme="majorBidi" w:cstheme="majorBidi"/>
                <w:sz w:val="12"/>
                <w:szCs w:val="12"/>
              </w:rPr>
            </w:pPr>
            <w:r w:rsidRPr="00FB4B96">
              <w:rPr>
                <w:bCs/>
                <w:sz w:val="12"/>
                <w:szCs w:val="12"/>
                <w:lang w:val="fr-FR"/>
              </w:rPr>
              <w:t>CYCLOHEXYLAMINE</w:t>
            </w:r>
          </w:p>
        </w:tc>
        <w:tc>
          <w:tcPr>
            <w:tcW w:w="784" w:type="dxa"/>
            <w:shd w:val="clear" w:color="auto" w:fill="auto"/>
          </w:tcPr>
          <w:p w14:paraId="7F72E706"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8</w:t>
            </w:r>
          </w:p>
        </w:tc>
        <w:tc>
          <w:tcPr>
            <w:tcW w:w="785" w:type="dxa"/>
            <w:shd w:val="clear" w:color="auto" w:fill="auto"/>
          </w:tcPr>
          <w:p w14:paraId="7615E084"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3</w:t>
            </w:r>
          </w:p>
          <w:p w14:paraId="4053143A" w14:textId="77777777" w:rsidR="00002F14" w:rsidRPr="00FB4B96" w:rsidRDefault="00002F14" w:rsidP="00FB4B96">
            <w:pPr>
              <w:spacing w:before="80" w:after="80" w:line="160" w:lineRule="exact"/>
              <w:ind w:left="57" w:right="-108"/>
              <w:rPr>
                <w:rFonts w:asciiTheme="majorBidi" w:hAnsiTheme="majorBidi" w:cstheme="majorBidi"/>
                <w:b/>
                <w:bCs/>
                <w:color w:val="FF0000"/>
                <w:sz w:val="12"/>
                <w:szCs w:val="12"/>
                <w:u w:val="single"/>
              </w:rPr>
            </w:pPr>
            <w:r w:rsidRPr="00FB4B96">
              <w:rPr>
                <w:b/>
                <w:bCs/>
                <w:color w:val="FF0000"/>
                <w:sz w:val="12"/>
                <w:szCs w:val="12"/>
                <w:u w:val="single"/>
                <w:lang w:val="fr-FR"/>
              </w:rPr>
              <w:t>6.1</w:t>
            </w:r>
          </w:p>
        </w:tc>
        <w:tc>
          <w:tcPr>
            <w:tcW w:w="785" w:type="dxa"/>
            <w:shd w:val="clear" w:color="auto" w:fill="auto"/>
          </w:tcPr>
          <w:p w14:paraId="4E3BBAAE"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II</w:t>
            </w:r>
          </w:p>
        </w:tc>
        <w:tc>
          <w:tcPr>
            <w:tcW w:w="785" w:type="dxa"/>
            <w:shd w:val="clear" w:color="auto" w:fill="auto"/>
          </w:tcPr>
          <w:p w14:paraId="6475753C"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w:t>
            </w:r>
          </w:p>
        </w:tc>
        <w:tc>
          <w:tcPr>
            <w:tcW w:w="622" w:type="dxa"/>
            <w:shd w:val="clear" w:color="auto" w:fill="auto"/>
          </w:tcPr>
          <w:p w14:paraId="091F5857"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1 L</w:t>
            </w:r>
          </w:p>
        </w:tc>
        <w:tc>
          <w:tcPr>
            <w:tcW w:w="693" w:type="dxa"/>
            <w:shd w:val="clear" w:color="auto" w:fill="auto"/>
          </w:tcPr>
          <w:p w14:paraId="128CB768"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E2</w:t>
            </w:r>
          </w:p>
        </w:tc>
        <w:tc>
          <w:tcPr>
            <w:tcW w:w="798" w:type="dxa"/>
            <w:shd w:val="clear" w:color="auto" w:fill="auto"/>
          </w:tcPr>
          <w:p w14:paraId="3B64D44B"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P001</w:t>
            </w:r>
          </w:p>
          <w:p w14:paraId="26310DF9"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IBC02</w:t>
            </w:r>
          </w:p>
        </w:tc>
        <w:tc>
          <w:tcPr>
            <w:tcW w:w="770" w:type="dxa"/>
            <w:shd w:val="clear" w:color="auto" w:fill="auto"/>
          </w:tcPr>
          <w:p w14:paraId="42F1E34C"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w:t>
            </w:r>
          </w:p>
        </w:tc>
        <w:tc>
          <w:tcPr>
            <w:tcW w:w="812" w:type="dxa"/>
            <w:shd w:val="clear" w:color="auto" w:fill="auto"/>
          </w:tcPr>
          <w:p w14:paraId="54A9AC48"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T7</w:t>
            </w:r>
          </w:p>
        </w:tc>
        <w:tc>
          <w:tcPr>
            <w:tcW w:w="813" w:type="dxa"/>
            <w:shd w:val="clear" w:color="auto" w:fill="auto"/>
          </w:tcPr>
          <w:p w14:paraId="0C431F8D" w14:textId="77777777" w:rsidR="00002F14" w:rsidRPr="00FB4B96" w:rsidRDefault="00002F14" w:rsidP="00FB4B96">
            <w:pPr>
              <w:spacing w:before="80" w:after="80" w:line="160" w:lineRule="exact"/>
              <w:ind w:left="57" w:right="-108"/>
              <w:rPr>
                <w:rFonts w:asciiTheme="majorBidi" w:hAnsiTheme="majorBidi" w:cstheme="majorBidi"/>
                <w:sz w:val="12"/>
                <w:szCs w:val="12"/>
              </w:rPr>
            </w:pPr>
            <w:r w:rsidRPr="00FB4B96">
              <w:rPr>
                <w:sz w:val="12"/>
                <w:szCs w:val="12"/>
                <w:lang w:val="fr-FR"/>
              </w:rPr>
              <w:t>TP2</w:t>
            </w:r>
          </w:p>
        </w:tc>
      </w:tr>
    </w:tbl>
    <w:p w14:paraId="49C273BF" w14:textId="77777777" w:rsidR="00D7521F" w:rsidRDefault="00D7521F" w:rsidP="00002F14">
      <w:pPr>
        <w:pStyle w:val="SingleTxtG"/>
        <w:sectPr w:rsidR="00D7521F" w:rsidSect="00002F1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43DF325D" w14:textId="77777777" w:rsidR="00412696" w:rsidRDefault="00D7521F" w:rsidP="00F25CC9">
      <w:pPr>
        <w:pStyle w:val="HChG"/>
        <w:tabs>
          <w:tab w:val="right" w:pos="13041"/>
        </w:tabs>
        <w:ind w:left="284" w:right="284" w:firstLine="0"/>
      </w:pPr>
      <w:r w:rsidRPr="00641705">
        <w:rPr>
          <w:rFonts w:hint="eastAsia"/>
        </w:rPr>
        <w:lastRenderedPageBreak/>
        <w:t>A</w:t>
      </w:r>
      <w:r w:rsidRPr="00641705">
        <w:t>nnex</w:t>
      </w:r>
      <w:r>
        <w:t>e</w:t>
      </w:r>
      <w:r w:rsidRPr="00641705">
        <w:t xml:space="preserve"> I</w:t>
      </w:r>
      <w:r w:rsidRPr="00641705">
        <w:tab/>
      </w:r>
    </w:p>
    <w:p w14:paraId="649BFAAA" w14:textId="77777777" w:rsidR="00D7521F" w:rsidRPr="008F47F3" w:rsidRDefault="00D7521F" w:rsidP="00F25CC9">
      <w:pPr>
        <w:pStyle w:val="HChG"/>
        <w:tabs>
          <w:tab w:val="right" w:pos="13041"/>
        </w:tabs>
        <w:ind w:left="284" w:right="284" w:firstLine="0"/>
        <w:jc w:val="right"/>
        <w:rPr>
          <w:b w:val="0"/>
          <w:bCs/>
          <w:sz w:val="20"/>
          <w:lang w:val="fr-FR"/>
        </w:rPr>
      </w:pPr>
      <w:r w:rsidRPr="008F47F3">
        <w:rPr>
          <w:b w:val="0"/>
          <w:bCs/>
          <w:sz w:val="20"/>
          <w:lang w:val="fr-FR"/>
        </w:rPr>
        <w:t>[</w:t>
      </w:r>
      <w:r w:rsidRPr="00F25CC9">
        <w:rPr>
          <w:b w:val="0"/>
          <w:bCs/>
          <w:i/>
          <w:sz w:val="20"/>
          <w:lang w:val="fr-FR"/>
        </w:rPr>
        <w:t>Anglais seulement</w:t>
      </w:r>
      <w:r w:rsidRPr="008F47F3">
        <w:rPr>
          <w:b w:val="0"/>
          <w:bCs/>
          <w:sz w:val="20"/>
          <w:lang w:val="fr-FR"/>
        </w:rPr>
        <w:t>]</w:t>
      </w:r>
    </w:p>
    <w:p w14:paraId="4EEC46A4" w14:textId="77777777" w:rsidR="00D7521F" w:rsidRDefault="00D7521F" w:rsidP="00F25CC9">
      <w:pPr>
        <w:pStyle w:val="HChG"/>
        <w:ind w:left="284" w:right="284" w:firstLine="0"/>
        <w:rPr>
          <w:lang w:eastAsia="ko-KR"/>
        </w:rPr>
      </w:pPr>
      <w:r>
        <w:rPr>
          <w:lang w:eastAsia="ko-KR"/>
        </w:rPr>
        <w:tab/>
        <w:t>Data overview</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8"/>
        <w:gridCol w:w="2481"/>
        <w:gridCol w:w="1103"/>
        <w:gridCol w:w="1046"/>
        <w:gridCol w:w="3445"/>
        <w:gridCol w:w="828"/>
        <w:gridCol w:w="3777"/>
      </w:tblGrid>
      <w:tr w:rsidR="00D7521F" w:rsidRPr="00650047" w14:paraId="35BAA902" w14:textId="77777777" w:rsidTr="00B84AAB">
        <w:trPr>
          <w:tblHeader/>
        </w:trPr>
        <w:tc>
          <w:tcPr>
            <w:tcW w:w="14170" w:type="dxa"/>
            <w:gridSpan w:val="7"/>
            <w:shd w:val="clear" w:color="auto" w:fill="BDD6EE"/>
            <w:vAlign w:val="center"/>
          </w:tcPr>
          <w:p w14:paraId="595ED738" w14:textId="77777777" w:rsidR="00D7521F" w:rsidRPr="001110BF" w:rsidRDefault="00D7521F" w:rsidP="00B44EC9">
            <w:pPr>
              <w:spacing w:before="40" w:after="40" w:line="240" w:lineRule="auto"/>
              <w:jc w:val="center"/>
              <w:rPr>
                <w:rFonts w:asciiTheme="majorBidi" w:hAnsiTheme="majorBidi" w:cstheme="majorBidi"/>
                <w:b/>
                <w:sz w:val="18"/>
                <w:szCs w:val="18"/>
                <w:lang w:val="it-IT" w:eastAsia="ko-KR"/>
              </w:rPr>
            </w:pPr>
            <w:r w:rsidRPr="001110BF">
              <w:rPr>
                <w:rFonts w:asciiTheme="majorBidi" w:hAnsiTheme="majorBidi" w:cstheme="majorBidi"/>
                <w:b/>
                <w:sz w:val="18"/>
                <w:szCs w:val="18"/>
                <w:lang w:val="it-IT" w:eastAsia="ko-KR"/>
              </w:rPr>
              <w:t>UN 2248, Di-n-butylamine</w:t>
            </w:r>
          </w:p>
          <w:p w14:paraId="267370C9" w14:textId="77777777" w:rsidR="00D7521F" w:rsidRPr="001110BF" w:rsidRDefault="00D7521F" w:rsidP="00B44EC9">
            <w:pPr>
              <w:spacing w:before="40" w:after="40" w:line="240" w:lineRule="auto"/>
              <w:jc w:val="center"/>
              <w:rPr>
                <w:rFonts w:asciiTheme="majorBidi" w:hAnsiTheme="majorBidi" w:cstheme="majorBidi"/>
                <w:sz w:val="18"/>
                <w:szCs w:val="18"/>
                <w:lang w:val="it-IT" w:eastAsia="ko-KR"/>
              </w:rPr>
            </w:pPr>
            <w:r w:rsidRPr="001110BF">
              <w:rPr>
                <w:rFonts w:asciiTheme="majorBidi" w:hAnsiTheme="majorBidi" w:cstheme="majorBidi"/>
                <w:sz w:val="18"/>
                <w:szCs w:val="18"/>
                <w:lang w:val="it-IT" w:eastAsia="ko-KR"/>
              </w:rPr>
              <w:t>CAS No. 111-92-2</w:t>
            </w:r>
          </w:p>
        </w:tc>
      </w:tr>
      <w:tr w:rsidR="00D7521F" w:rsidRPr="00833388" w14:paraId="4D60111E" w14:textId="77777777" w:rsidTr="00B84AAB">
        <w:trPr>
          <w:tblHeader/>
        </w:trPr>
        <w:tc>
          <w:tcPr>
            <w:tcW w:w="1129" w:type="dxa"/>
            <w:shd w:val="clear" w:color="auto" w:fill="DEEAF6"/>
            <w:vAlign w:val="bottom"/>
          </w:tcPr>
          <w:p w14:paraId="54F29156" w14:textId="77777777" w:rsidR="00D7521F" w:rsidRPr="00833388" w:rsidRDefault="00D7521F" w:rsidP="00B84AAB">
            <w:pPr>
              <w:spacing w:before="40" w:after="40" w:line="240" w:lineRule="auto"/>
              <w:jc w:val="center"/>
              <w:rPr>
                <w:rFonts w:asciiTheme="majorBidi" w:hAnsiTheme="majorBidi" w:cstheme="majorBidi"/>
                <w:w w:val="90"/>
                <w:sz w:val="18"/>
                <w:szCs w:val="18"/>
                <w:lang w:eastAsia="ko-KR"/>
              </w:rPr>
            </w:pPr>
            <w:r w:rsidRPr="00833388">
              <w:rPr>
                <w:rFonts w:asciiTheme="majorBidi" w:hAnsiTheme="majorBidi" w:cstheme="majorBidi"/>
                <w:w w:val="90"/>
                <w:sz w:val="18"/>
                <w:szCs w:val="18"/>
                <w:lang w:eastAsia="ko-KR"/>
              </w:rPr>
              <w:t xml:space="preserve">Acute </w:t>
            </w:r>
            <w:r w:rsidRPr="00833388">
              <w:rPr>
                <w:rFonts w:asciiTheme="majorBidi" w:hAnsiTheme="majorBidi" w:cstheme="majorBidi"/>
                <w:w w:val="90"/>
                <w:sz w:val="18"/>
                <w:szCs w:val="18"/>
                <w:lang w:eastAsia="ko-KR"/>
              </w:rPr>
              <w:br/>
              <w:t>toxicity</w:t>
            </w:r>
          </w:p>
        </w:tc>
        <w:tc>
          <w:tcPr>
            <w:tcW w:w="2552" w:type="dxa"/>
            <w:shd w:val="clear" w:color="auto" w:fill="DEEAF6"/>
            <w:vAlign w:val="bottom"/>
          </w:tcPr>
          <w:p w14:paraId="78BE6163" w14:textId="77777777" w:rsidR="00D7521F" w:rsidRPr="00833388" w:rsidRDefault="00D7521F" w:rsidP="00B84AAB">
            <w:pPr>
              <w:spacing w:before="40" w:after="40" w:line="240" w:lineRule="auto"/>
              <w:jc w:val="center"/>
              <w:rPr>
                <w:rFonts w:asciiTheme="majorBidi" w:hAnsiTheme="majorBidi" w:cstheme="majorBidi"/>
                <w:w w:val="90"/>
                <w:sz w:val="18"/>
                <w:szCs w:val="18"/>
                <w:lang w:eastAsia="ko-KR"/>
              </w:rPr>
            </w:pPr>
            <w:r w:rsidRPr="00833388">
              <w:rPr>
                <w:rFonts w:asciiTheme="majorBidi" w:hAnsiTheme="majorBidi" w:cstheme="majorBidi"/>
                <w:w w:val="90"/>
                <w:sz w:val="18"/>
                <w:szCs w:val="18"/>
                <w:lang w:eastAsia="ko-KR"/>
              </w:rPr>
              <w:t>Reference type</w:t>
            </w:r>
          </w:p>
        </w:tc>
        <w:tc>
          <w:tcPr>
            <w:tcW w:w="1134" w:type="dxa"/>
            <w:shd w:val="clear" w:color="auto" w:fill="DEEAF6"/>
            <w:vAlign w:val="bottom"/>
          </w:tcPr>
          <w:p w14:paraId="3AAB084E" w14:textId="77777777" w:rsidR="00D7521F" w:rsidRPr="00833388" w:rsidRDefault="00D7521F" w:rsidP="00B84AAB">
            <w:pPr>
              <w:spacing w:before="40" w:after="40" w:line="240" w:lineRule="auto"/>
              <w:jc w:val="center"/>
              <w:rPr>
                <w:rFonts w:asciiTheme="majorBidi" w:hAnsiTheme="majorBidi" w:cstheme="majorBidi"/>
                <w:w w:val="90"/>
                <w:sz w:val="18"/>
                <w:szCs w:val="18"/>
                <w:lang w:eastAsia="ko-KR"/>
              </w:rPr>
            </w:pPr>
            <w:r w:rsidRPr="00833388">
              <w:rPr>
                <w:rFonts w:asciiTheme="majorBidi" w:hAnsiTheme="majorBidi" w:cstheme="majorBidi"/>
                <w:w w:val="90"/>
                <w:sz w:val="18"/>
                <w:szCs w:val="18"/>
                <w:lang w:eastAsia="ko-KR"/>
              </w:rPr>
              <w:t>GLP Compliance</w:t>
            </w:r>
          </w:p>
        </w:tc>
        <w:tc>
          <w:tcPr>
            <w:tcW w:w="1075" w:type="dxa"/>
            <w:shd w:val="clear" w:color="auto" w:fill="DEEAF6"/>
            <w:vAlign w:val="bottom"/>
          </w:tcPr>
          <w:p w14:paraId="4E6A5D32" w14:textId="77777777" w:rsidR="00D7521F" w:rsidRPr="00833388" w:rsidRDefault="00D7521F" w:rsidP="00B84AAB">
            <w:pPr>
              <w:spacing w:before="40" w:after="40" w:line="240" w:lineRule="auto"/>
              <w:jc w:val="center"/>
              <w:rPr>
                <w:rFonts w:asciiTheme="majorBidi" w:hAnsiTheme="majorBidi" w:cstheme="majorBidi"/>
                <w:w w:val="80"/>
                <w:sz w:val="18"/>
                <w:szCs w:val="18"/>
                <w:lang w:eastAsia="ko-KR"/>
              </w:rPr>
            </w:pPr>
            <w:r w:rsidRPr="00833388">
              <w:rPr>
                <w:rFonts w:asciiTheme="majorBidi" w:hAnsiTheme="majorBidi" w:cstheme="majorBidi"/>
                <w:b/>
                <w:w w:val="80"/>
                <w:sz w:val="18"/>
                <w:szCs w:val="18"/>
                <w:vertAlign w:val="superscript"/>
                <w:lang w:eastAsia="ko-KR"/>
              </w:rPr>
              <w:t>*</w:t>
            </w:r>
            <w:r w:rsidRPr="00833388">
              <w:rPr>
                <w:rFonts w:asciiTheme="majorBidi" w:hAnsiTheme="majorBidi" w:cstheme="majorBidi"/>
                <w:w w:val="90"/>
                <w:sz w:val="18"/>
                <w:szCs w:val="18"/>
                <w:lang w:eastAsia="ko-KR"/>
              </w:rPr>
              <w:t>Reliability</w:t>
            </w:r>
          </w:p>
        </w:tc>
        <w:tc>
          <w:tcPr>
            <w:tcW w:w="3544" w:type="dxa"/>
            <w:shd w:val="clear" w:color="auto" w:fill="DEEAF6"/>
            <w:vAlign w:val="bottom"/>
          </w:tcPr>
          <w:p w14:paraId="61861E3B" w14:textId="77777777" w:rsidR="00D7521F" w:rsidRPr="00833388" w:rsidRDefault="00D7521F" w:rsidP="00B84AAB">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Result</w:t>
            </w:r>
          </w:p>
        </w:tc>
        <w:tc>
          <w:tcPr>
            <w:tcW w:w="851" w:type="dxa"/>
            <w:shd w:val="clear" w:color="auto" w:fill="DEEAF6"/>
            <w:vAlign w:val="bottom"/>
          </w:tcPr>
          <w:p w14:paraId="714299D1" w14:textId="77777777" w:rsidR="00D7521F" w:rsidRPr="00833388" w:rsidRDefault="00D7521F" w:rsidP="00B84AAB">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GHS</w:t>
            </w:r>
          </w:p>
        </w:tc>
        <w:tc>
          <w:tcPr>
            <w:tcW w:w="3885" w:type="dxa"/>
            <w:shd w:val="clear" w:color="auto" w:fill="DEEAF6"/>
            <w:vAlign w:val="bottom"/>
          </w:tcPr>
          <w:p w14:paraId="2313E5B5" w14:textId="77777777" w:rsidR="00D7521F" w:rsidRPr="00833388" w:rsidRDefault="00D7521F" w:rsidP="00B84AAB">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Link</w:t>
            </w:r>
          </w:p>
        </w:tc>
      </w:tr>
      <w:tr w:rsidR="00D7521F" w:rsidRPr="00833388" w14:paraId="659B6330" w14:textId="77777777" w:rsidTr="00B84AAB">
        <w:tc>
          <w:tcPr>
            <w:tcW w:w="1129" w:type="dxa"/>
            <w:vMerge w:val="restart"/>
            <w:shd w:val="clear" w:color="auto" w:fill="auto"/>
            <w:vAlign w:val="center"/>
          </w:tcPr>
          <w:p w14:paraId="797D86DC"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oral</w:t>
            </w:r>
          </w:p>
        </w:tc>
        <w:tc>
          <w:tcPr>
            <w:tcW w:w="2552" w:type="dxa"/>
            <w:shd w:val="clear" w:color="auto" w:fill="auto"/>
            <w:vAlign w:val="center"/>
          </w:tcPr>
          <w:p w14:paraId="5FAB9364"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Study report</w:t>
            </w:r>
          </w:p>
        </w:tc>
        <w:tc>
          <w:tcPr>
            <w:tcW w:w="1134" w:type="dxa"/>
            <w:shd w:val="clear" w:color="auto" w:fill="auto"/>
            <w:vAlign w:val="center"/>
          </w:tcPr>
          <w:p w14:paraId="54424BB4"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No</w:t>
            </w:r>
          </w:p>
        </w:tc>
        <w:tc>
          <w:tcPr>
            <w:tcW w:w="1075" w:type="dxa"/>
            <w:shd w:val="clear" w:color="auto" w:fill="auto"/>
            <w:vAlign w:val="center"/>
          </w:tcPr>
          <w:p w14:paraId="0E5F1335"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2</w:t>
            </w:r>
            <w:r w:rsidRPr="00833388">
              <w:rPr>
                <w:rFonts w:asciiTheme="majorBidi" w:hAnsiTheme="majorBidi" w:cstheme="majorBidi"/>
                <w:color w:val="4472C4"/>
                <w:sz w:val="18"/>
                <w:szCs w:val="18"/>
                <w:vertAlign w:val="superscript"/>
                <w:lang w:eastAsia="ko-KR"/>
              </w:rPr>
              <w:t>*</w:t>
            </w:r>
          </w:p>
        </w:tc>
        <w:tc>
          <w:tcPr>
            <w:tcW w:w="3544" w:type="dxa"/>
            <w:tcBorders>
              <w:bottom w:val="single" w:sz="4" w:space="0" w:color="auto"/>
            </w:tcBorders>
            <w:shd w:val="clear" w:color="auto" w:fill="auto"/>
            <w:vAlign w:val="center"/>
          </w:tcPr>
          <w:p w14:paraId="7070916C"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LD</w:t>
            </w:r>
            <w:r w:rsidRPr="00D7521F">
              <w:rPr>
                <w:rFonts w:asciiTheme="majorBidi" w:hAnsiTheme="majorBidi" w:cstheme="majorBidi"/>
                <w:sz w:val="18"/>
                <w:szCs w:val="18"/>
                <w:vertAlign w:val="subscript"/>
                <w:lang w:val="en-US" w:eastAsia="ko-KR"/>
              </w:rPr>
              <w:t>50</w:t>
            </w:r>
            <w:r w:rsidRPr="00D7521F">
              <w:rPr>
                <w:rFonts w:asciiTheme="majorBidi" w:hAnsiTheme="majorBidi" w:cstheme="majorBidi"/>
                <w:sz w:val="18"/>
                <w:szCs w:val="18"/>
                <w:lang w:val="en-US" w:eastAsia="ko-KR"/>
              </w:rPr>
              <w:t xml:space="preserve"> (rat) 550 mg/kg bw</w:t>
            </w:r>
          </w:p>
          <w:p w14:paraId="2987CCC7"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95% CL: 480 - 620</w:t>
            </w:r>
          </w:p>
        </w:tc>
        <w:tc>
          <w:tcPr>
            <w:tcW w:w="851" w:type="dxa"/>
            <w:tcBorders>
              <w:bottom w:val="single" w:sz="4" w:space="0" w:color="auto"/>
            </w:tcBorders>
            <w:shd w:val="clear" w:color="auto" w:fill="auto"/>
            <w:vAlign w:val="center"/>
          </w:tcPr>
          <w:p w14:paraId="59C7C189"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Cat.4</w:t>
            </w:r>
          </w:p>
        </w:tc>
        <w:tc>
          <w:tcPr>
            <w:tcW w:w="3885" w:type="dxa"/>
            <w:shd w:val="clear" w:color="auto" w:fill="auto"/>
            <w:vAlign w:val="center"/>
          </w:tcPr>
          <w:p w14:paraId="5F589D67" w14:textId="77777777" w:rsidR="00D7521F" w:rsidRPr="00833388" w:rsidRDefault="00627985" w:rsidP="00B44EC9">
            <w:pPr>
              <w:spacing w:before="40" w:after="40" w:line="240" w:lineRule="auto"/>
              <w:jc w:val="center"/>
              <w:rPr>
                <w:rFonts w:asciiTheme="majorBidi" w:eastAsia="Malgun Gothic" w:hAnsiTheme="majorBidi" w:cstheme="majorBidi"/>
                <w:color w:val="4F81BD" w:themeColor="accent1"/>
                <w:sz w:val="18"/>
                <w:szCs w:val="18"/>
                <w:lang w:eastAsia="ko-KR"/>
              </w:rPr>
            </w:pPr>
            <w:hyperlink r:id="rId14" w:history="1">
              <w:r w:rsidR="00D7521F" w:rsidRPr="00833388">
                <w:rPr>
                  <w:rStyle w:val="Hyperlink"/>
                  <w:rFonts w:asciiTheme="majorBidi" w:hAnsiTheme="majorBidi" w:cstheme="majorBidi"/>
                  <w:color w:val="4F81BD" w:themeColor="accent1"/>
                  <w:sz w:val="18"/>
                  <w:szCs w:val="18"/>
                  <w:lang w:eastAsia="ko-KR"/>
                </w:rPr>
                <w:t>https://echa.europa.eu/sv/registration-dossier/-/registered-dossier/13527/7/3/2</w:t>
              </w:r>
            </w:hyperlink>
          </w:p>
        </w:tc>
      </w:tr>
      <w:tr w:rsidR="00D7521F" w:rsidRPr="00833388" w14:paraId="1ECE09B8" w14:textId="77777777" w:rsidTr="00B84AAB">
        <w:trPr>
          <w:trHeight w:val="864"/>
        </w:trPr>
        <w:tc>
          <w:tcPr>
            <w:tcW w:w="1129" w:type="dxa"/>
            <w:vMerge/>
            <w:shd w:val="clear" w:color="auto" w:fill="auto"/>
            <w:vAlign w:val="center"/>
          </w:tcPr>
          <w:p w14:paraId="1539226C"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2552" w:type="dxa"/>
            <w:tcBorders>
              <w:bottom w:val="single" w:sz="4" w:space="0" w:color="auto"/>
            </w:tcBorders>
            <w:shd w:val="clear" w:color="auto" w:fill="auto"/>
            <w:vAlign w:val="center"/>
          </w:tcPr>
          <w:p w14:paraId="4BEA57FC"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Publication</w:t>
            </w:r>
          </w:p>
          <w:p w14:paraId="783E34B6"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(Revista de Chimie, 36(667), 1985)</w:t>
            </w:r>
          </w:p>
        </w:tc>
        <w:tc>
          <w:tcPr>
            <w:tcW w:w="1134" w:type="dxa"/>
            <w:tcBorders>
              <w:bottom w:val="single" w:sz="4" w:space="0" w:color="auto"/>
            </w:tcBorders>
            <w:shd w:val="clear" w:color="auto" w:fill="auto"/>
            <w:vAlign w:val="center"/>
          </w:tcPr>
          <w:p w14:paraId="057925FA"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1075" w:type="dxa"/>
            <w:tcBorders>
              <w:bottom w:val="single" w:sz="4" w:space="0" w:color="auto"/>
              <w:right w:val="single" w:sz="4" w:space="0" w:color="auto"/>
            </w:tcBorders>
            <w:shd w:val="clear" w:color="auto" w:fill="auto"/>
            <w:vAlign w:val="center"/>
          </w:tcPr>
          <w:p w14:paraId="13B2A50A"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3544" w:type="dxa"/>
            <w:tcBorders>
              <w:top w:val="single" w:sz="4" w:space="0" w:color="auto"/>
              <w:left w:val="single" w:sz="4" w:space="0" w:color="auto"/>
              <w:bottom w:val="single" w:sz="4" w:space="0" w:color="auto"/>
            </w:tcBorders>
            <w:shd w:val="clear" w:color="auto" w:fill="auto"/>
            <w:vAlign w:val="center"/>
          </w:tcPr>
          <w:p w14:paraId="47723378"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LD</w:t>
            </w:r>
            <w:r w:rsidRPr="00D7521F">
              <w:rPr>
                <w:rFonts w:asciiTheme="majorBidi" w:hAnsiTheme="majorBidi" w:cstheme="majorBidi"/>
                <w:sz w:val="18"/>
                <w:szCs w:val="18"/>
                <w:vertAlign w:val="subscript"/>
                <w:lang w:val="en-US" w:eastAsia="ko-KR"/>
              </w:rPr>
              <w:t>50</w:t>
            </w:r>
            <w:r w:rsidRPr="00D7521F">
              <w:rPr>
                <w:rFonts w:asciiTheme="majorBidi" w:hAnsiTheme="majorBidi" w:cstheme="majorBidi"/>
                <w:sz w:val="18"/>
                <w:szCs w:val="18"/>
                <w:lang w:val="en-US" w:eastAsia="ko-KR"/>
              </w:rPr>
              <w:t xml:space="preserve"> (rat) 189 mg/kg bw</w:t>
            </w:r>
          </w:p>
        </w:tc>
        <w:tc>
          <w:tcPr>
            <w:tcW w:w="851" w:type="dxa"/>
            <w:tcBorders>
              <w:top w:val="single" w:sz="4" w:space="0" w:color="auto"/>
              <w:bottom w:val="single" w:sz="4" w:space="0" w:color="auto"/>
              <w:right w:val="single" w:sz="4" w:space="0" w:color="auto"/>
            </w:tcBorders>
            <w:shd w:val="clear" w:color="auto" w:fill="auto"/>
            <w:vAlign w:val="center"/>
          </w:tcPr>
          <w:p w14:paraId="032D5D56"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Cat.3</w:t>
            </w:r>
          </w:p>
        </w:tc>
        <w:tc>
          <w:tcPr>
            <w:tcW w:w="3885" w:type="dxa"/>
            <w:tcBorders>
              <w:left w:val="single" w:sz="4" w:space="0" w:color="auto"/>
              <w:bottom w:val="single" w:sz="4" w:space="0" w:color="auto"/>
            </w:tcBorders>
            <w:shd w:val="clear" w:color="auto" w:fill="auto"/>
            <w:vAlign w:val="center"/>
          </w:tcPr>
          <w:p w14:paraId="7E625E71" w14:textId="77777777" w:rsidR="00D7521F" w:rsidRPr="00833388" w:rsidRDefault="00627985" w:rsidP="00B44EC9">
            <w:pPr>
              <w:spacing w:before="40" w:after="40" w:line="240" w:lineRule="auto"/>
              <w:jc w:val="center"/>
              <w:rPr>
                <w:rFonts w:asciiTheme="majorBidi" w:hAnsiTheme="majorBidi" w:cstheme="majorBidi"/>
                <w:color w:val="4F81BD" w:themeColor="accent1"/>
                <w:sz w:val="18"/>
                <w:szCs w:val="18"/>
                <w:lang w:eastAsia="ko-KR"/>
              </w:rPr>
            </w:pPr>
            <w:hyperlink r:id="rId15" w:anchor="section=NIOSH-Toxicity-Data&amp;fullscreen=true" w:history="1">
              <w:r w:rsidR="00D7521F" w:rsidRPr="00833388">
                <w:rPr>
                  <w:rStyle w:val="Hyperlink"/>
                  <w:rFonts w:asciiTheme="majorBidi" w:hAnsiTheme="majorBidi" w:cstheme="majorBidi"/>
                  <w:color w:val="4F81BD" w:themeColor="accent1"/>
                  <w:sz w:val="18"/>
                  <w:szCs w:val="18"/>
                  <w:lang w:eastAsia="ko-KR"/>
                </w:rPr>
                <w:t>https://pubchem.ncbi.nlm.nih.gov/compound/8148#section=NIOSH-Toxicity-Data&amp;fullscreen=true</w:t>
              </w:r>
            </w:hyperlink>
          </w:p>
        </w:tc>
      </w:tr>
      <w:tr w:rsidR="00D7521F" w:rsidRPr="00833388" w14:paraId="567D231D" w14:textId="77777777" w:rsidTr="00B84AAB">
        <w:trPr>
          <w:trHeight w:val="102"/>
        </w:trPr>
        <w:tc>
          <w:tcPr>
            <w:tcW w:w="1129" w:type="dxa"/>
            <w:vMerge/>
            <w:shd w:val="clear" w:color="auto" w:fill="auto"/>
            <w:vAlign w:val="center"/>
          </w:tcPr>
          <w:p w14:paraId="61579B34"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2552" w:type="dxa"/>
            <w:tcBorders>
              <w:bottom w:val="single" w:sz="4" w:space="0" w:color="auto"/>
            </w:tcBorders>
            <w:shd w:val="clear" w:color="auto" w:fill="auto"/>
            <w:vAlign w:val="center"/>
          </w:tcPr>
          <w:p w14:paraId="78E9FF0A"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Publication</w:t>
            </w:r>
          </w:p>
          <w:p w14:paraId="43EA2B14"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(Gigiena i Sanitariya. For English translation, see HYSAAV., 40(11)(21), 1975)</w:t>
            </w:r>
          </w:p>
        </w:tc>
        <w:tc>
          <w:tcPr>
            <w:tcW w:w="1134" w:type="dxa"/>
            <w:tcBorders>
              <w:bottom w:val="single" w:sz="4" w:space="0" w:color="auto"/>
            </w:tcBorders>
            <w:shd w:val="clear" w:color="auto" w:fill="auto"/>
            <w:vAlign w:val="center"/>
          </w:tcPr>
          <w:p w14:paraId="09836F44"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p>
        </w:tc>
        <w:tc>
          <w:tcPr>
            <w:tcW w:w="1075" w:type="dxa"/>
            <w:tcBorders>
              <w:bottom w:val="single" w:sz="4" w:space="0" w:color="auto"/>
              <w:right w:val="single" w:sz="4" w:space="0" w:color="auto"/>
            </w:tcBorders>
            <w:shd w:val="clear" w:color="auto" w:fill="auto"/>
            <w:vAlign w:val="center"/>
          </w:tcPr>
          <w:p w14:paraId="125044BE"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C69F9FA" w14:textId="77777777" w:rsidR="00D7521F" w:rsidRPr="00833388" w:rsidRDefault="00D7521F" w:rsidP="00B44EC9">
            <w:pPr>
              <w:spacing w:before="40" w:after="40" w:line="240" w:lineRule="auto"/>
              <w:jc w:val="center"/>
              <w:rPr>
                <w:rFonts w:asciiTheme="majorBidi" w:eastAsia="Arial Unicode MS" w:hAnsiTheme="majorBidi" w:cstheme="majorBidi"/>
                <w:color w:val="000000"/>
                <w:sz w:val="18"/>
                <w:szCs w:val="18"/>
                <w:lang w:val="en-US"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eastAsia="Arial Unicode MS" w:hAnsiTheme="majorBidi" w:cstheme="majorBidi"/>
                <w:color w:val="000000"/>
                <w:sz w:val="18"/>
                <w:szCs w:val="18"/>
              </w:rPr>
              <w:t xml:space="preserve"> (mouse) 290 mg/kg</w:t>
            </w:r>
          </w:p>
        </w:tc>
        <w:tc>
          <w:tcPr>
            <w:tcW w:w="851" w:type="dxa"/>
            <w:tcBorders>
              <w:top w:val="single" w:sz="4" w:space="0" w:color="auto"/>
              <w:left w:val="nil"/>
              <w:bottom w:val="single" w:sz="4" w:space="0" w:color="auto"/>
              <w:right w:val="single" w:sz="4" w:space="0" w:color="auto"/>
            </w:tcBorders>
            <w:shd w:val="clear" w:color="auto" w:fill="auto"/>
            <w:vAlign w:val="center"/>
          </w:tcPr>
          <w:p w14:paraId="78A7B433" w14:textId="77777777" w:rsidR="00D7521F" w:rsidRPr="00833388" w:rsidRDefault="00D7521F" w:rsidP="00B44EC9">
            <w:pPr>
              <w:spacing w:before="40" w:after="40" w:line="240" w:lineRule="auto"/>
              <w:jc w:val="center"/>
              <w:rPr>
                <w:rFonts w:asciiTheme="majorBidi" w:eastAsia="Arial Unicode MS" w:hAnsiTheme="majorBidi" w:cstheme="majorBidi"/>
                <w:color w:val="000000"/>
                <w:sz w:val="18"/>
                <w:szCs w:val="18"/>
              </w:rPr>
            </w:pPr>
            <w:r w:rsidRPr="00833388">
              <w:rPr>
                <w:rFonts w:asciiTheme="majorBidi" w:eastAsia="Arial Unicode MS" w:hAnsiTheme="majorBidi" w:cstheme="majorBidi"/>
                <w:color w:val="000000"/>
                <w:sz w:val="18"/>
                <w:szCs w:val="18"/>
              </w:rPr>
              <w:t>Cat. 3</w:t>
            </w:r>
          </w:p>
        </w:tc>
        <w:tc>
          <w:tcPr>
            <w:tcW w:w="3885" w:type="dxa"/>
            <w:tcBorders>
              <w:top w:val="single" w:sz="4" w:space="0" w:color="auto"/>
              <w:left w:val="nil"/>
              <w:bottom w:val="single" w:sz="4" w:space="0" w:color="auto"/>
              <w:right w:val="single" w:sz="4" w:space="0" w:color="auto"/>
            </w:tcBorders>
            <w:shd w:val="clear" w:color="auto" w:fill="auto"/>
            <w:vAlign w:val="center"/>
          </w:tcPr>
          <w:p w14:paraId="54B8F433" w14:textId="77777777" w:rsidR="00D7521F" w:rsidRPr="00833388" w:rsidRDefault="00627985" w:rsidP="00B44EC9">
            <w:pPr>
              <w:spacing w:before="40" w:after="40" w:line="240" w:lineRule="auto"/>
              <w:jc w:val="center"/>
              <w:rPr>
                <w:rFonts w:asciiTheme="majorBidi" w:eastAsia="Arial Unicode MS" w:hAnsiTheme="majorBidi" w:cstheme="majorBidi"/>
                <w:color w:val="4F81BD" w:themeColor="accent1"/>
                <w:sz w:val="18"/>
                <w:szCs w:val="18"/>
                <w:u w:val="single"/>
              </w:rPr>
            </w:pPr>
            <w:hyperlink r:id="rId16" w:anchor="section=Acute-Effects&amp;fullscreen=true" w:history="1">
              <w:r w:rsidR="00D7521F" w:rsidRPr="00833388">
                <w:rPr>
                  <w:rStyle w:val="Hyperlink"/>
                  <w:rFonts w:asciiTheme="majorBidi" w:eastAsia="Arial Unicode MS" w:hAnsiTheme="majorBidi" w:cstheme="majorBidi"/>
                  <w:color w:val="4F81BD" w:themeColor="accent1"/>
                  <w:sz w:val="18"/>
                  <w:szCs w:val="18"/>
                </w:rPr>
                <w:t>https://pubchem.ncbi.nlm.nih.gov/compound/8148#section=Acute-Effects&amp;fullscreen=true</w:t>
              </w:r>
            </w:hyperlink>
          </w:p>
        </w:tc>
      </w:tr>
      <w:tr w:rsidR="00D7521F" w:rsidRPr="00833388" w14:paraId="4ABFE954" w14:textId="77777777" w:rsidTr="00B84AAB">
        <w:trPr>
          <w:trHeight w:val="77"/>
        </w:trPr>
        <w:tc>
          <w:tcPr>
            <w:tcW w:w="1129" w:type="dxa"/>
            <w:vMerge/>
            <w:shd w:val="clear" w:color="auto" w:fill="auto"/>
            <w:vAlign w:val="center"/>
          </w:tcPr>
          <w:p w14:paraId="19B90088"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2552" w:type="dxa"/>
            <w:tcBorders>
              <w:bottom w:val="single" w:sz="4" w:space="0" w:color="auto"/>
            </w:tcBorders>
            <w:shd w:val="clear" w:color="auto" w:fill="auto"/>
            <w:vAlign w:val="center"/>
          </w:tcPr>
          <w:p w14:paraId="69561195"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Publication</w:t>
            </w:r>
          </w:p>
          <w:p w14:paraId="25ED7977"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(Gigiena i Sanitariya. For English translation, see HYSAAV., 40(11)(21), 1975)</w:t>
            </w:r>
          </w:p>
        </w:tc>
        <w:tc>
          <w:tcPr>
            <w:tcW w:w="1134" w:type="dxa"/>
            <w:tcBorders>
              <w:bottom w:val="single" w:sz="4" w:space="0" w:color="auto"/>
            </w:tcBorders>
            <w:shd w:val="clear" w:color="auto" w:fill="auto"/>
            <w:vAlign w:val="center"/>
          </w:tcPr>
          <w:p w14:paraId="22599922"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p>
        </w:tc>
        <w:tc>
          <w:tcPr>
            <w:tcW w:w="1075" w:type="dxa"/>
            <w:tcBorders>
              <w:bottom w:val="single" w:sz="4" w:space="0" w:color="auto"/>
              <w:right w:val="single" w:sz="4" w:space="0" w:color="auto"/>
            </w:tcBorders>
            <w:shd w:val="clear" w:color="auto" w:fill="auto"/>
            <w:vAlign w:val="center"/>
          </w:tcPr>
          <w:p w14:paraId="62546B17"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p>
        </w:tc>
        <w:tc>
          <w:tcPr>
            <w:tcW w:w="3544" w:type="dxa"/>
            <w:tcBorders>
              <w:top w:val="single" w:sz="4" w:space="0" w:color="auto"/>
              <w:left w:val="single" w:sz="4" w:space="0" w:color="auto"/>
              <w:bottom w:val="nil"/>
              <w:right w:val="single" w:sz="4" w:space="0" w:color="auto"/>
            </w:tcBorders>
            <w:shd w:val="clear" w:color="auto" w:fill="auto"/>
            <w:vAlign w:val="center"/>
          </w:tcPr>
          <w:p w14:paraId="5B9D44F8" w14:textId="77777777" w:rsidR="00D7521F" w:rsidRPr="001110BF" w:rsidRDefault="00D7521F" w:rsidP="00B44EC9">
            <w:pPr>
              <w:spacing w:before="40" w:after="40" w:line="240" w:lineRule="auto"/>
              <w:jc w:val="center"/>
              <w:rPr>
                <w:rFonts w:asciiTheme="majorBidi" w:eastAsia="Arial Unicode MS" w:hAnsiTheme="majorBidi" w:cstheme="majorBidi"/>
                <w:color w:val="000000"/>
                <w:sz w:val="18"/>
                <w:szCs w:val="18"/>
                <w:lang w:val="it-IT" w:eastAsia="ko-KR"/>
              </w:rPr>
            </w:pPr>
            <w:r w:rsidRPr="001110BF">
              <w:rPr>
                <w:rFonts w:asciiTheme="majorBidi" w:hAnsiTheme="majorBidi" w:cstheme="majorBidi"/>
                <w:sz w:val="18"/>
                <w:szCs w:val="18"/>
                <w:lang w:val="it-IT" w:eastAsia="ko-KR"/>
              </w:rPr>
              <w:t>LD</w:t>
            </w:r>
            <w:r w:rsidRPr="001110BF">
              <w:rPr>
                <w:rFonts w:asciiTheme="majorBidi" w:hAnsiTheme="majorBidi" w:cstheme="majorBidi"/>
                <w:sz w:val="18"/>
                <w:szCs w:val="18"/>
                <w:vertAlign w:val="subscript"/>
                <w:lang w:val="it-IT" w:eastAsia="ko-KR"/>
              </w:rPr>
              <w:t>50</w:t>
            </w:r>
            <w:r w:rsidRPr="001110BF">
              <w:rPr>
                <w:rFonts w:asciiTheme="majorBidi" w:eastAsia="Arial Unicode MS" w:hAnsiTheme="majorBidi" w:cstheme="majorBidi"/>
                <w:color w:val="000000"/>
                <w:sz w:val="18"/>
                <w:szCs w:val="18"/>
                <w:lang w:val="it-IT"/>
              </w:rPr>
              <w:t xml:space="preserve"> (guinea pig) 230 mg/kg</w:t>
            </w:r>
          </w:p>
        </w:tc>
        <w:tc>
          <w:tcPr>
            <w:tcW w:w="851" w:type="dxa"/>
            <w:tcBorders>
              <w:top w:val="single" w:sz="4" w:space="0" w:color="auto"/>
              <w:left w:val="nil"/>
              <w:bottom w:val="nil"/>
              <w:right w:val="single" w:sz="4" w:space="0" w:color="auto"/>
            </w:tcBorders>
            <w:shd w:val="clear" w:color="auto" w:fill="auto"/>
            <w:vAlign w:val="center"/>
          </w:tcPr>
          <w:p w14:paraId="3B6BC259" w14:textId="77777777" w:rsidR="00D7521F" w:rsidRPr="00833388" w:rsidRDefault="00D7521F" w:rsidP="00B44EC9">
            <w:pPr>
              <w:spacing w:before="40" w:after="40" w:line="240" w:lineRule="auto"/>
              <w:jc w:val="center"/>
              <w:rPr>
                <w:rFonts w:asciiTheme="majorBidi" w:eastAsia="Arial Unicode MS" w:hAnsiTheme="majorBidi" w:cstheme="majorBidi"/>
                <w:color w:val="000000"/>
                <w:sz w:val="18"/>
                <w:szCs w:val="18"/>
              </w:rPr>
            </w:pPr>
            <w:r w:rsidRPr="00833388">
              <w:rPr>
                <w:rFonts w:asciiTheme="majorBidi" w:eastAsia="Arial Unicode MS" w:hAnsiTheme="majorBidi" w:cstheme="majorBidi"/>
                <w:color w:val="000000"/>
                <w:sz w:val="18"/>
                <w:szCs w:val="18"/>
              </w:rPr>
              <w:t>Cat. 3</w:t>
            </w:r>
          </w:p>
        </w:tc>
        <w:tc>
          <w:tcPr>
            <w:tcW w:w="3885" w:type="dxa"/>
            <w:tcBorders>
              <w:top w:val="single" w:sz="4" w:space="0" w:color="auto"/>
              <w:left w:val="nil"/>
              <w:bottom w:val="single" w:sz="4" w:space="0" w:color="auto"/>
              <w:right w:val="single" w:sz="4" w:space="0" w:color="auto"/>
            </w:tcBorders>
            <w:shd w:val="clear" w:color="auto" w:fill="auto"/>
            <w:vAlign w:val="center"/>
          </w:tcPr>
          <w:p w14:paraId="300BAB85" w14:textId="77777777" w:rsidR="00D7521F" w:rsidRPr="00833388" w:rsidRDefault="00627985" w:rsidP="00B44EC9">
            <w:pPr>
              <w:spacing w:before="40" w:after="40" w:line="240" w:lineRule="auto"/>
              <w:jc w:val="center"/>
              <w:rPr>
                <w:rFonts w:asciiTheme="majorBidi" w:eastAsia="Arial Unicode MS" w:hAnsiTheme="majorBidi" w:cstheme="majorBidi"/>
                <w:color w:val="4F81BD" w:themeColor="accent1"/>
                <w:sz w:val="18"/>
                <w:szCs w:val="18"/>
                <w:u w:val="single"/>
              </w:rPr>
            </w:pPr>
            <w:hyperlink r:id="rId17" w:anchor="section=Acute-Effects&amp;fullscreen=true" w:history="1">
              <w:r w:rsidR="00D7521F" w:rsidRPr="00833388">
                <w:rPr>
                  <w:rStyle w:val="Hyperlink"/>
                  <w:rFonts w:asciiTheme="majorBidi" w:eastAsia="Arial Unicode MS" w:hAnsiTheme="majorBidi" w:cstheme="majorBidi"/>
                  <w:color w:val="4F81BD" w:themeColor="accent1"/>
                  <w:sz w:val="18"/>
                  <w:szCs w:val="18"/>
                </w:rPr>
                <w:t>https://pubchem.ncbi.nlm.nih.gov/compound/8149#section=Acute-Effects&amp;fullscreen=true</w:t>
              </w:r>
            </w:hyperlink>
          </w:p>
        </w:tc>
      </w:tr>
      <w:tr w:rsidR="00D7521F" w:rsidRPr="00833388" w14:paraId="32B73745" w14:textId="77777777" w:rsidTr="00B84AAB">
        <w:trPr>
          <w:trHeight w:val="115"/>
        </w:trPr>
        <w:tc>
          <w:tcPr>
            <w:tcW w:w="1129" w:type="dxa"/>
            <w:vMerge/>
            <w:shd w:val="clear" w:color="auto" w:fill="auto"/>
            <w:vAlign w:val="center"/>
          </w:tcPr>
          <w:p w14:paraId="3F671774"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2552" w:type="dxa"/>
            <w:tcBorders>
              <w:bottom w:val="single" w:sz="4" w:space="0" w:color="auto"/>
            </w:tcBorders>
            <w:shd w:val="clear" w:color="auto" w:fill="auto"/>
            <w:vAlign w:val="center"/>
          </w:tcPr>
          <w:p w14:paraId="70FB921B"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Publication</w:t>
            </w:r>
          </w:p>
          <w:p w14:paraId="7E211542"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xml:space="preserve"> (Lewis, R.J. Sax’s Dangerous Properties of Industrial Materials. 9th ed. Volumes 1-3. New York, NY: Van Nostrand Reinhold, 1996., p. 1069)</w:t>
            </w:r>
          </w:p>
        </w:tc>
        <w:tc>
          <w:tcPr>
            <w:tcW w:w="1134" w:type="dxa"/>
            <w:tcBorders>
              <w:top w:val="single" w:sz="4" w:space="0" w:color="auto"/>
              <w:bottom w:val="single" w:sz="4" w:space="0" w:color="auto"/>
              <w:right w:val="single" w:sz="4" w:space="0" w:color="auto"/>
            </w:tcBorders>
            <w:shd w:val="clear" w:color="auto" w:fill="auto"/>
            <w:vAlign w:val="center"/>
          </w:tcPr>
          <w:p w14:paraId="56398421"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78EC944"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w:t>
            </w:r>
          </w:p>
        </w:tc>
        <w:tc>
          <w:tcPr>
            <w:tcW w:w="3544" w:type="dxa"/>
            <w:tcBorders>
              <w:top w:val="single" w:sz="4" w:space="0" w:color="auto"/>
              <w:left w:val="single" w:sz="4" w:space="0" w:color="auto"/>
              <w:bottom w:val="single" w:sz="4" w:space="0" w:color="auto"/>
              <w:right w:val="single" w:sz="4" w:space="0" w:color="auto"/>
            </w:tcBorders>
            <w:shd w:val="clear" w:color="auto" w:fill="F7CAAC"/>
            <w:vAlign w:val="center"/>
          </w:tcPr>
          <w:p w14:paraId="3BCC2965" w14:textId="77777777" w:rsidR="00D7521F" w:rsidRPr="00833388" w:rsidRDefault="00D7521F" w:rsidP="00B44EC9">
            <w:pPr>
              <w:spacing w:before="40" w:after="40" w:line="240" w:lineRule="auto"/>
              <w:jc w:val="center"/>
              <w:rPr>
                <w:rFonts w:asciiTheme="majorBidi" w:eastAsia="Arial Unicode MS" w:hAnsiTheme="majorBidi" w:cstheme="majorBidi"/>
                <w:color w:val="000000"/>
                <w:sz w:val="18"/>
                <w:szCs w:val="18"/>
                <w:lang w:val="en-US" w:eastAsia="ko-KR"/>
              </w:rPr>
            </w:pPr>
            <w:r w:rsidRPr="00D7521F">
              <w:rPr>
                <w:rFonts w:asciiTheme="majorBidi" w:hAnsiTheme="majorBidi" w:cstheme="majorBidi"/>
                <w:sz w:val="18"/>
                <w:szCs w:val="18"/>
                <w:lang w:val="en-US" w:eastAsia="ko-KR"/>
              </w:rPr>
              <w:t>LD</w:t>
            </w:r>
            <w:r w:rsidRPr="00D7521F">
              <w:rPr>
                <w:rFonts w:asciiTheme="majorBidi" w:hAnsiTheme="majorBidi" w:cstheme="majorBidi"/>
                <w:sz w:val="18"/>
                <w:szCs w:val="18"/>
                <w:vertAlign w:val="subscript"/>
                <w:lang w:val="en-US" w:eastAsia="ko-KR"/>
              </w:rPr>
              <w:t>50</w:t>
            </w:r>
            <w:r w:rsidRPr="00D7521F">
              <w:rPr>
                <w:rFonts w:asciiTheme="majorBidi" w:eastAsia="Arial Unicode MS" w:hAnsiTheme="majorBidi" w:cstheme="majorBidi"/>
                <w:color w:val="000000"/>
                <w:sz w:val="18"/>
                <w:szCs w:val="18"/>
                <w:lang w:val="en-US"/>
              </w:rPr>
              <w:t xml:space="preserve"> Rat oral 220 mg/kg</w:t>
            </w:r>
          </w:p>
        </w:tc>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225CCC8D" w14:textId="77777777" w:rsidR="00D7521F" w:rsidRPr="00833388" w:rsidRDefault="00D7521F" w:rsidP="00B44EC9">
            <w:pPr>
              <w:spacing w:before="40" w:after="40" w:line="240" w:lineRule="auto"/>
              <w:jc w:val="center"/>
              <w:rPr>
                <w:rFonts w:asciiTheme="majorBidi" w:eastAsia="Arial Unicode MS" w:hAnsiTheme="majorBidi" w:cstheme="majorBidi"/>
                <w:color w:val="000000"/>
                <w:sz w:val="18"/>
                <w:szCs w:val="18"/>
              </w:rPr>
            </w:pPr>
            <w:r w:rsidRPr="00833388">
              <w:rPr>
                <w:rFonts w:asciiTheme="majorBidi" w:eastAsia="Arial Unicode MS" w:hAnsiTheme="majorBidi" w:cstheme="majorBidi"/>
                <w:color w:val="000000"/>
                <w:sz w:val="18"/>
                <w:szCs w:val="18"/>
              </w:rPr>
              <w:t>Cat. 3</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14:paraId="5D20144A" w14:textId="77777777" w:rsidR="00D7521F" w:rsidRPr="00833388" w:rsidRDefault="00627985" w:rsidP="00B44EC9">
            <w:pPr>
              <w:spacing w:before="40" w:after="40" w:line="240" w:lineRule="auto"/>
              <w:jc w:val="center"/>
              <w:rPr>
                <w:rFonts w:asciiTheme="majorBidi" w:hAnsiTheme="majorBidi" w:cstheme="majorBidi"/>
                <w:color w:val="4F81BD" w:themeColor="accent1"/>
                <w:sz w:val="18"/>
                <w:szCs w:val="18"/>
              </w:rPr>
            </w:pPr>
            <w:hyperlink r:id="rId18" w:anchor="section=Non-Human-Toxicity-Values&amp;fullscreen=true" w:history="1">
              <w:r w:rsidR="00D7521F" w:rsidRPr="00833388">
                <w:rPr>
                  <w:rStyle w:val="Hyperlink"/>
                  <w:rFonts w:asciiTheme="majorBidi" w:hAnsiTheme="majorBidi" w:cstheme="majorBidi"/>
                  <w:color w:val="4F81BD" w:themeColor="accent1"/>
                  <w:sz w:val="18"/>
                  <w:szCs w:val="18"/>
                </w:rPr>
                <w:t>https://pubchem.ncbi.nlm.nih.gov/source/hsdb/310#section=Non-Human-Toxicity-Values&amp;fullscreen=true</w:t>
              </w:r>
            </w:hyperlink>
          </w:p>
        </w:tc>
      </w:tr>
      <w:tr w:rsidR="00D7521F" w:rsidRPr="00833388" w14:paraId="1FE2F0A9" w14:textId="77777777" w:rsidTr="00B84AAB">
        <w:trPr>
          <w:trHeight w:val="125"/>
        </w:trPr>
        <w:tc>
          <w:tcPr>
            <w:tcW w:w="1129" w:type="dxa"/>
            <w:vMerge/>
            <w:tcBorders>
              <w:right w:val="single" w:sz="4" w:space="0" w:color="auto"/>
            </w:tcBorders>
            <w:shd w:val="clear" w:color="auto" w:fill="auto"/>
            <w:vAlign w:val="center"/>
          </w:tcPr>
          <w:p w14:paraId="39D02A7C"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FA976A" w14:textId="77777777" w:rsidR="00D7521F" w:rsidRPr="00D7521F" w:rsidRDefault="00D7521F" w:rsidP="00B44EC9">
            <w:pPr>
              <w:keepNext/>
              <w:keepLines/>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Publication</w:t>
            </w:r>
          </w:p>
          <w:p w14:paraId="058F721D" w14:textId="77777777" w:rsidR="00D7521F" w:rsidRPr="00D7521F" w:rsidRDefault="00D7521F" w:rsidP="00B44EC9">
            <w:pPr>
              <w:keepNext/>
              <w:keepLines/>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(Lewis, R.J. Sax’s Dangerous Properties of Industrial Materials. 9th ed. Volumes 1-3. New York, NY: Van Nostrand Reinhold, 1996., p. 1069)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196347" w14:textId="77777777" w:rsidR="00D7521F" w:rsidRPr="00D7521F" w:rsidRDefault="00D7521F" w:rsidP="00B44EC9">
            <w:pPr>
              <w:keepNext/>
              <w:keepLines/>
              <w:spacing w:before="40" w:after="40" w:line="240" w:lineRule="auto"/>
              <w:jc w:val="center"/>
              <w:rPr>
                <w:rFonts w:asciiTheme="majorBidi" w:hAnsiTheme="majorBidi" w:cstheme="majorBidi"/>
                <w:sz w:val="18"/>
                <w:szCs w:val="18"/>
                <w:lang w:val="en-US" w:eastAsia="ko-KR"/>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8029A16" w14:textId="77777777" w:rsidR="00D7521F" w:rsidRPr="00D7521F" w:rsidRDefault="00D7521F" w:rsidP="00B44EC9">
            <w:pPr>
              <w:keepNext/>
              <w:keepLines/>
              <w:spacing w:before="40" w:after="40" w:line="240" w:lineRule="auto"/>
              <w:jc w:val="center"/>
              <w:rPr>
                <w:rFonts w:asciiTheme="majorBidi" w:hAnsiTheme="majorBidi" w:cstheme="majorBidi"/>
                <w:sz w:val="18"/>
                <w:szCs w:val="18"/>
                <w:lang w:val="en-US" w:eastAsia="ko-K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6DE1FED" w14:textId="77777777" w:rsidR="00D7521F" w:rsidRPr="00D7521F" w:rsidRDefault="00D7521F" w:rsidP="00B44EC9">
            <w:pPr>
              <w:keepNext/>
              <w:keepLines/>
              <w:spacing w:before="40" w:after="40" w:line="240" w:lineRule="auto"/>
              <w:jc w:val="center"/>
              <w:rPr>
                <w:rFonts w:asciiTheme="majorBidi" w:eastAsia="Arial Unicode MS" w:hAnsiTheme="majorBidi" w:cstheme="majorBidi"/>
                <w:color w:val="000000"/>
                <w:sz w:val="18"/>
                <w:szCs w:val="18"/>
                <w:lang w:val="en-US"/>
              </w:rPr>
            </w:pPr>
            <w:r w:rsidRPr="00D7521F">
              <w:rPr>
                <w:rFonts w:asciiTheme="majorBidi" w:hAnsiTheme="majorBidi" w:cstheme="majorBidi"/>
                <w:sz w:val="18"/>
                <w:szCs w:val="18"/>
                <w:lang w:val="en-US" w:eastAsia="ko-KR"/>
              </w:rPr>
              <w:t>LD</w:t>
            </w:r>
            <w:r w:rsidRPr="00D7521F">
              <w:rPr>
                <w:rFonts w:asciiTheme="majorBidi" w:hAnsiTheme="majorBidi" w:cstheme="majorBidi"/>
                <w:sz w:val="18"/>
                <w:szCs w:val="18"/>
                <w:vertAlign w:val="subscript"/>
                <w:lang w:val="en-US" w:eastAsia="ko-KR"/>
              </w:rPr>
              <w:t>50</w:t>
            </w:r>
            <w:r w:rsidRPr="00D7521F">
              <w:rPr>
                <w:rFonts w:asciiTheme="majorBidi" w:eastAsia="Arial Unicode MS" w:hAnsiTheme="majorBidi" w:cstheme="majorBidi"/>
                <w:color w:val="000000"/>
                <w:sz w:val="18"/>
                <w:szCs w:val="18"/>
                <w:lang w:val="en-US"/>
              </w:rPr>
              <w:t xml:space="preserve"> Mouse oral 290 mg/kg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7B8A16" w14:textId="77777777" w:rsidR="00D7521F" w:rsidRPr="00833388" w:rsidRDefault="00D7521F" w:rsidP="00B44EC9">
            <w:pPr>
              <w:keepNext/>
              <w:keepLines/>
              <w:spacing w:before="40" w:after="40" w:line="240" w:lineRule="auto"/>
              <w:jc w:val="center"/>
              <w:rPr>
                <w:rFonts w:asciiTheme="majorBidi" w:eastAsia="Arial Unicode MS" w:hAnsiTheme="majorBidi" w:cstheme="majorBidi"/>
                <w:color w:val="000000"/>
                <w:sz w:val="18"/>
                <w:szCs w:val="18"/>
              </w:rPr>
            </w:pPr>
            <w:r w:rsidRPr="00833388">
              <w:rPr>
                <w:rFonts w:asciiTheme="majorBidi" w:eastAsia="Arial Unicode MS" w:hAnsiTheme="majorBidi" w:cstheme="majorBidi"/>
                <w:color w:val="000000"/>
                <w:sz w:val="18"/>
                <w:szCs w:val="18"/>
              </w:rPr>
              <w:t>Cat. 3</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14:paraId="486D304E" w14:textId="77777777" w:rsidR="00D7521F" w:rsidRPr="00833388" w:rsidRDefault="00627985" w:rsidP="00B44EC9">
            <w:pPr>
              <w:keepNext/>
              <w:keepLines/>
              <w:spacing w:before="40" w:after="40" w:line="240" w:lineRule="auto"/>
              <w:jc w:val="center"/>
              <w:rPr>
                <w:rFonts w:asciiTheme="majorBidi" w:eastAsia="Arial Unicode MS" w:hAnsiTheme="majorBidi" w:cstheme="majorBidi"/>
                <w:color w:val="4F81BD" w:themeColor="accent1"/>
                <w:sz w:val="18"/>
                <w:szCs w:val="18"/>
                <w:u w:val="single"/>
              </w:rPr>
            </w:pPr>
            <w:hyperlink r:id="rId19" w:anchor="section=Non-Human-Toxicity-Values&amp;fullscreen=true" w:history="1">
              <w:r w:rsidR="00D7521F" w:rsidRPr="00833388">
                <w:rPr>
                  <w:rStyle w:val="Hyperlink"/>
                  <w:rFonts w:asciiTheme="majorBidi" w:hAnsiTheme="majorBidi" w:cstheme="majorBidi"/>
                  <w:color w:val="4F81BD" w:themeColor="accent1"/>
                  <w:sz w:val="18"/>
                  <w:szCs w:val="18"/>
                </w:rPr>
                <w:t>https://pubchem.ncbi.nlm.nih.gov/source/hsdb/310#section=Non-Human-Toxicity-Values&amp;fullscreen=true</w:t>
              </w:r>
            </w:hyperlink>
          </w:p>
        </w:tc>
      </w:tr>
      <w:tr w:rsidR="00D7521F" w:rsidRPr="00833388" w14:paraId="1CEF56B1" w14:textId="77777777" w:rsidTr="00B84AAB">
        <w:tc>
          <w:tcPr>
            <w:tcW w:w="1129" w:type="dxa"/>
            <w:vMerge/>
            <w:tcBorders>
              <w:right w:val="single" w:sz="4" w:space="0" w:color="auto"/>
            </w:tcBorders>
            <w:shd w:val="clear" w:color="auto" w:fill="auto"/>
            <w:vAlign w:val="center"/>
          </w:tcPr>
          <w:p w14:paraId="60375271"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562AB17" w14:textId="77777777" w:rsidR="00B84AAB" w:rsidRPr="00673225" w:rsidRDefault="00B84AAB" w:rsidP="00B84AAB">
            <w:pPr>
              <w:keepNext/>
              <w:keepLines/>
              <w:spacing w:before="40" w:after="40" w:line="240" w:lineRule="auto"/>
              <w:jc w:val="center"/>
              <w:rPr>
                <w:rFonts w:asciiTheme="majorBidi" w:hAnsiTheme="majorBidi" w:cstheme="majorBidi"/>
                <w:sz w:val="18"/>
                <w:szCs w:val="18"/>
                <w:lang w:eastAsia="ko-KR"/>
              </w:rPr>
            </w:pPr>
          </w:p>
          <w:p w14:paraId="754A7CBA" w14:textId="77777777" w:rsidR="00D7521F" w:rsidRPr="00D7521F" w:rsidRDefault="00D7521F" w:rsidP="00B84AAB">
            <w:pPr>
              <w:keepNext/>
              <w:keepLines/>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Publication</w:t>
            </w:r>
          </w:p>
          <w:p w14:paraId="459FD093" w14:textId="77777777" w:rsidR="00D7521F" w:rsidRPr="00D7521F" w:rsidRDefault="00D7521F" w:rsidP="00B84AAB">
            <w:pPr>
              <w:keepNext/>
              <w:keepLines/>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(Lewis, R.J. Sax’s Dangerous Properties of Industrial Materials. 9th ed. Volumes 1-3. New York, NY: Van Nostrand Reinhold, 1996., p. 1069)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116B8D" w14:textId="77777777" w:rsidR="00D7521F" w:rsidRPr="00D7521F" w:rsidRDefault="00D7521F" w:rsidP="00B84AAB">
            <w:pPr>
              <w:keepNext/>
              <w:keepLines/>
              <w:spacing w:before="40" w:after="40" w:line="240" w:lineRule="auto"/>
              <w:jc w:val="center"/>
              <w:rPr>
                <w:rFonts w:asciiTheme="majorBidi" w:hAnsiTheme="majorBidi" w:cstheme="majorBidi"/>
                <w:sz w:val="18"/>
                <w:szCs w:val="18"/>
                <w:lang w:val="en-US" w:eastAsia="ko-KR"/>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A57B305" w14:textId="77777777" w:rsidR="00D7521F" w:rsidRPr="00D7521F" w:rsidRDefault="00D7521F" w:rsidP="00B84AAB">
            <w:pPr>
              <w:keepNext/>
              <w:keepLines/>
              <w:spacing w:before="40" w:after="40" w:line="240" w:lineRule="auto"/>
              <w:jc w:val="center"/>
              <w:rPr>
                <w:rFonts w:asciiTheme="majorBidi" w:hAnsiTheme="majorBidi" w:cstheme="majorBidi"/>
                <w:sz w:val="18"/>
                <w:szCs w:val="18"/>
                <w:lang w:val="en-US" w:eastAsia="ko-K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17BCCDE" w14:textId="77777777" w:rsidR="00B84AAB" w:rsidRDefault="00B84AAB" w:rsidP="00B84AAB">
            <w:pPr>
              <w:keepNext/>
              <w:keepLines/>
              <w:spacing w:before="40" w:after="40" w:line="240" w:lineRule="auto"/>
              <w:rPr>
                <w:rFonts w:asciiTheme="majorBidi" w:hAnsiTheme="majorBidi" w:cstheme="majorBidi"/>
                <w:sz w:val="18"/>
                <w:szCs w:val="18"/>
                <w:lang w:val="it-IT" w:eastAsia="ko-KR"/>
              </w:rPr>
            </w:pPr>
          </w:p>
          <w:p w14:paraId="556F127A" w14:textId="77777777" w:rsidR="00D7521F" w:rsidRPr="001110BF" w:rsidRDefault="00D7521F" w:rsidP="00B84AAB">
            <w:pPr>
              <w:keepNext/>
              <w:keepLines/>
              <w:spacing w:before="40" w:after="40" w:line="240" w:lineRule="auto"/>
              <w:rPr>
                <w:rFonts w:asciiTheme="majorBidi" w:hAnsiTheme="majorBidi" w:cstheme="majorBidi"/>
                <w:color w:val="000000"/>
                <w:sz w:val="18"/>
                <w:szCs w:val="18"/>
                <w:lang w:val="it-IT" w:eastAsia="ko-KR"/>
              </w:rPr>
            </w:pPr>
            <w:r w:rsidRPr="001110BF">
              <w:rPr>
                <w:rFonts w:asciiTheme="majorBidi" w:hAnsiTheme="majorBidi" w:cstheme="majorBidi"/>
                <w:sz w:val="18"/>
                <w:szCs w:val="18"/>
                <w:lang w:val="it-IT" w:eastAsia="ko-KR"/>
              </w:rPr>
              <w:t>LD</w:t>
            </w:r>
            <w:r w:rsidRPr="001110BF">
              <w:rPr>
                <w:rFonts w:asciiTheme="majorBidi" w:hAnsiTheme="majorBidi" w:cstheme="majorBidi"/>
                <w:sz w:val="18"/>
                <w:szCs w:val="18"/>
                <w:vertAlign w:val="subscript"/>
                <w:lang w:val="it-IT" w:eastAsia="ko-KR"/>
              </w:rPr>
              <w:t>50</w:t>
            </w:r>
            <w:r w:rsidRPr="001110BF">
              <w:rPr>
                <w:rFonts w:asciiTheme="majorBidi" w:hAnsiTheme="majorBidi" w:cstheme="majorBidi"/>
                <w:color w:val="000000"/>
                <w:sz w:val="18"/>
                <w:szCs w:val="18"/>
                <w:lang w:val="it-IT"/>
              </w:rPr>
              <w:t xml:space="preserve"> Guinea pig oral 230 mg/kg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24A425" w14:textId="77777777" w:rsidR="00B84AAB" w:rsidRPr="00692207" w:rsidRDefault="00B84AAB" w:rsidP="00B84AAB">
            <w:pPr>
              <w:keepNext/>
              <w:keepLines/>
              <w:spacing w:before="40" w:after="40" w:line="240" w:lineRule="auto"/>
              <w:jc w:val="center"/>
              <w:rPr>
                <w:rFonts w:asciiTheme="majorBidi" w:hAnsiTheme="majorBidi" w:cstheme="majorBidi"/>
                <w:color w:val="000000"/>
                <w:sz w:val="18"/>
                <w:szCs w:val="18"/>
                <w:lang w:val="en-US"/>
              </w:rPr>
            </w:pPr>
          </w:p>
          <w:p w14:paraId="15B9E068" w14:textId="77777777" w:rsidR="00D7521F" w:rsidRPr="00833388" w:rsidRDefault="00D7521F" w:rsidP="00B84AAB">
            <w:pPr>
              <w:keepNext/>
              <w:keepLines/>
              <w:spacing w:before="40" w:after="40" w:line="240" w:lineRule="auto"/>
              <w:jc w:val="center"/>
              <w:rPr>
                <w:rFonts w:asciiTheme="majorBidi" w:hAnsiTheme="majorBidi" w:cstheme="majorBidi"/>
                <w:color w:val="000000"/>
                <w:sz w:val="18"/>
                <w:szCs w:val="18"/>
              </w:rPr>
            </w:pPr>
            <w:r w:rsidRPr="00833388">
              <w:rPr>
                <w:rFonts w:asciiTheme="majorBidi" w:hAnsiTheme="majorBidi" w:cstheme="majorBidi"/>
                <w:color w:val="000000"/>
                <w:sz w:val="18"/>
                <w:szCs w:val="18"/>
              </w:rPr>
              <w:t>Cat. 3</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14:paraId="16E2BBC4" w14:textId="77777777" w:rsidR="00B84AAB" w:rsidRDefault="00B84AAB" w:rsidP="00B84AAB">
            <w:pPr>
              <w:keepNext/>
              <w:keepLines/>
              <w:spacing w:before="40" w:after="40" w:line="240" w:lineRule="auto"/>
              <w:jc w:val="center"/>
            </w:pPr>
          </w:p>
          <w:p w14:paraId="134A1AB5" w14:textId="77777777" w:rsidR="00D7521F" w:rsidRPr="00833388" w:rsidRDefault="00627985" w:rsidP="00B84AAB">
            <w:pPr>
              <w:keepNext/>
              <w:keepLines/>
              <w:spacing w:before="40" w:after="40" w:line="240" w:lineRule="auto"/>
              <w:jc w:val="center"/>
              <w:rPr>
                <w:rFonts w:asciiTheme="majorBidi" w:eastAsia="Arial Unicode MS" w:hAnsiTheme="majorBidi" w:cstheme="majorBidi"/>
                <w:color w:val="4F81BD" w:themeColor="accent1"/>
                <w:sz w:val="18"/>
                <w:szCs w:val="18"/>
                <w:u w:val="single"/>
              </w:rPr>
            </w:pPr>
            <w:hyperlink r:id="rId20" w:anchor="section=Non-Human-Toxicity-Values&amp;fullscreen=true" w:history="1">
              <w:r w:rsidR="00D7521F" w:rsidRPr="00833388">
                <w:rPr>
                  <w:rStyle w:val="Hyperlink"/>
                  <w:rFonts w:asciiTheme="majorBidi" w:hAnsiTheme="majorBidi" w:cstheme="majorBidi"/>
                  <w:color w:val="4F81BD" w:themeColor="accent1"/>
                  <w:sz w:val="18"/>
                  <w:szCs w:val="18"/>
                </w:rPr>
                <w:t>https://pubchem.ncbi.nlm.nih.gov/source/hsdb/310#section=Non-Human-Toxicity-Values&amp;fullscreen=true</w:t>
              </w:r>
            </w:hyperlink>
          </w:p>
        </w:tc>
      </w:tr>
      <w:tr w:rsidR="00D7521F" w:rsidRPr="00692207" w14:paraId="71B27353" w14:textId="77777777" w:rsidTr="00B84AAB">
        <w:tc>
          <w:tcPr>
            <w:tcW w:w="1129" w:type="dxa"/>
            <w:vMerge/>
            <w:shd w:val="clear" w:color="auto" w:fill="auto"/>
            <w:vAlign w:val="center"/>
          </w:tcPr>
          <w:p w14:paraId="24DD7BF9"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13041" w:type="dxa"/>
            <w:gridSpan w:val="6"/>
            <w:shd w:val="clear" w:color="auto" w:fill="auto"/>
            <w:vAlign w:val="center"/>
          </w:tcPr>
          <w:p w14:paraId="5FE9D7B9" w14:textId="77777777" w:rsidR="00D7521F" w:rsidRPr="00D7521F" w:rsidRDefault="00D7521F" w:rsidP="00B44EC9">
            <w:pPr>
              <w:spacing w:before="40" w:after="40" w:line="240" w:lineRule="auto"/>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Studies on the acute oral toxicity of Dibutylamine are available in a number of bibliographic data.</w:t>
            </w:r>
          </w:p>
          <w:p w14:paraId="2905AD00" w14:textId="77777777" w:rsidR="00D7521F" w:rsidRPr="00D7521F" w:rsidRDefault="00D7521F" w:rsidP="00B44EC9">
            <w:pPr>
              <w:spacing w:before="40" w:after="40" w:line="240" w:lineRule="auto"/>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The acute oral toxicity of UN 2248 is cited in EU REACH registration data with only one test report (#1) conducted in 1950, and it’s submitted by Cat.4.</w:t>
            </w:r>
          </w:p>
          <w:p w14:paraId="59CA95D7" w14:textId="77777777" w:rsidR="00D7521F" w:rsidRPr="00D7521F" w:rsidRDefault="00D7521F" w:rsidP="00B44EC9">
            <w:pPr>
              <w:spacing w:before="40" w:after="40" w:line="240" w:lineRule="auto"/>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The pattern of acute toxicity of Dibutylamine in the data examined outside the EU REACH registration data was found in Cat.3, and the cited literature was cited frequently in the US EPA HSDB, etc. and judged to have the same reliability as the test data used in the EU REACH registration data.</w:t>
            </w:r>
          </w:p>
          <w:p w14:paraId="4BE345D3" w14:textId="77777777" w:rsidR="00D7521F" w:rsidRPr="00D7521F" w:rsidRDefault="00D7521F" w:rsidP="00B44EC9">
            <w:pPr>
              <w:spacing w:before="40" w:after="40" w:line="240" w:lineRule="auto"/>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Provided that the examined data are equally reliable, many of the data are assigned as GHS Cat.3 and the worst value is also assigned as GHS Cat.3.</w:t>
            </w:r>
          </w:p>
          <w:p w14:paraId="68FA9EFE" w14:textId="77777777" w:rsidR="00D7521F" w:rsidRPr="00D7521F" w:rsidRDefault="00D7521F" w:rsidP="00B44EC9">
            <w:pPr>
              <w:spacing w:before="40" w:after="40" w:line="240" w:lineRule="auto"/>
              <w:rPr>
                <w:rFonts w:asciiTheme="majorBidi" w:hAnsiTheme="majorBidi" w:cstheme="majorBidi"/>
                <w:color w:val="0000FF"/>
                <w:sz w:val="18"/>
                <w:szCs w:val="18"/>
                <w:lang w:val="en-US" w:eastAsia="ko-KR"/>
              </w:rPr>
            </w:pPr>
            <w:r w:rsidRPr="00D7521F">
              <w:rPr>
                <w:rFonts w:asciiTheme="majorBidi" w:hAnsiTheme="majorBidi" w:cstheme="majorBidi"/>
                <w:sz w:val="18"/>
                <w:szCs w:val="18"/>
                <w:lang w:val="en-US" w:eastAsia="ko-KR"/>
              </w:rPr>
              <w:t xml:space="preserve">- Consequently, the acute oral toxicity value corresponds to GHS Cat.3 which corresponds to the classification criteria of PG </w:t>
            </w:r>
            <w:r w:rsidRPr="00D7521F">
              <w:rPr>
                <w:rFonts w:asciiTheme="majorBidi" w:eastAsia="NanumGothic" w:hAnsiTheme="majorBidi" w:cstheme="majorBidi"/>
                <w:sz w:val="18"/>
                <w:szCs w:val="18"/>
                <w:lang w:val="en-US" w:eastAsia="ko-KR"/>
              </w:rPr>
              <w:t>Ⅲ</w:t>
            </w:r>
            <w:r w:rsidRPr="00D7521F">
              <w:rPr>
                <w:rFonts w:asciiTheme="majorBidi" w:hAnsiTheme="majorBidi" w:cstheme="majorBidi"/>
                <w:sz w:val="18"/>
                <w:szCs w:val="18"/>
                <w:lang w:val="en-US" w:eastAsia="ko-KR"/>
              </w:rPr>
              <w:t xml:space="preserve"> for Division 6.1.</w:t>
            </w:r>
          </w:p>
        </w:tc>
      </w:tr>
      <w:tr w:rsidR="00D7521F" w:rsidRPr="00833388" w14:paraId="63491247" w14:textId="77777777" w:rsidTr="00B84AAB">
        <w:trPr>
          <w:trHeight w:val="940"/>
        </w:trPr>
        <w:tc>
          <w:tcPr>
            <w:tcW w:w="1129" w:type="dxa"/>
            <w:vMerge w:val="restart"/>
            <w:shd w:val="clear" w:color="auto" w:fill="auto"/>
            <w:vAlign w:val="center"/>
          </w:tcPr>
          <w:p w14:paraId="65FF3D6C"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D7521F">
              <w:rPr>
                <w:rFonts w:asciiTheme="majorBidi" w:hAnsiTheme="majorBidi" w:cstheme="majorBidi"/>
                <w:sz w:val="18"/>
                <w:szCs w:val="18"/>
                <w:lang w:val="en-US" w:eastAsia="ko-KR"/>
              </w:rPr>
              <w:t xml:space="preserve"> </w:t>
            </w:r>
            <w:r w:rsidRPr="00833388">
              <w:rPr>
                <w:rFonts w:asciiTheme="majorBidi" w:hAnsiTheme="majorBidi" w:cstheme="majorBidi"/>
                <w:sz w:val="18"/>
                <w:szCs w:val="18"/>
                <w:lang w:eastAsia="ko-KR"/>
              </w:rPr>
              <w:t>Dermal</w:t>
            </w:r>
          </w:p>
        </w:tc>
        <w:tc>
          <w:tcPr>
            <w:tcW w:w="2552" w:type="dxa"/>
            <w:shd w:val="clear" w:color="auto" w:fill="auto"/>
            <w:vAlign w:val="center"/>
          </w:tcPr>
          <w:p w14:paraId="0BE44542"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Study report</w:t>
            </w:r>
          </w:p>
        </w:tc>
        <w:tc>
          <w:tcPr>
            <w:tcW w:w="1134" w:type="dxa"/>
            <w:shd w:val="clear" w:color="auto" w:fill="auto"/>
            <w:vAlign w:val="center"/>
          </w:tcPr>
          <w:p w14:paraId="4F41B377"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No</w:t>
            </w:r>
          </w:p>
        </w:tc>
        <w:tc>
          <w:tcPr>
            <w:tcW w:w="1075" w:type="dxa"/>
            <w:tcBorders>
              <w:right w:val="single" w:sz="4" w:space="0" w:color="auto"/>
            </w:tcBorders>
            <w:shd w:val="clear" w:color="auto" w:fill="auto"/>
            <w:vAlign w:val="center"/>
          </w:tcPr>
          <w:p w14:paraId="268EC8CE"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2</w:t>
            </w:r>
          </w:p>
        </w:tc>
        <w:tc>
          <w:tcPr>
            <w:tcW w:w="3544" w:type="dxa"/>
            <w:tcBorders>
              <w:top w:val="single" w:sz="4" w:space="0" w:color="auto"/>
              <w:left w:val="single" w:sz="4" w:space="0" w:color="auto"/>
              <w:bottom w:val="single" w:sz="4" w:space="0" w:color="auto"/>
            </w:tcBorders>
            <w:shd w:val="clear" w:color="auto" w:fill="F7CAAC"/>
            <w:vAlign w:val="center"/>
          </w:tcPr>
          <w:p w14:paraId="4EBA41E1" w14:textId="77777777" w:rsidR="00D7521F" w:rsidRPr="00D7521F" w:rsidRDefault="00D7521F" w:rsidP="00B44EC9">
            <w:pPr>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LD</w:t>
            </w:r>
            <w:r w:rsidRPr="00D7521F">
              <w:rPr>
                <w:rFonts w:asciiTheme="majorBidi" w:hAnsiTheme="majorBidi" w:cstheme="majorBidi"/>
                <w:sz w:val="18"/>
                <w:szCs w:val="18"/>
                <w:vertAlign w:val="subscript"/>
                <w:lang w:val="en-US" w:eastAsia="ko-KR"/>
              </w:rPr>
              <w:t>50</w:t>
            </w:r>
            <w:r w:rsidRPr="00D7521F">
              <w:rPr>
                <w:rFonts w:asciiTheme="majorBidi" w:hAnsiTheme="majorBidi" w:cstheme="majorBidi"/>
                <w:sz w:val="18"/>
                <w:szCs w:val="18"/>
                <w:lang w:val="en-US" w:eastAsia="ko-KR"/>
              </w:rPr>
              <w:t xml:space="preserve"> (rabbit, 24h) 768 mg/kg bw</w:t>
            </w:r>
          </w:p>
          <w:p w14:paraId="5A7E33AC"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95% CL: 620 – 1,130</w:t>
            </w:r>
          </w:p>
        </w:tc>
        <w:tc>
          <w:tcPr>
            <w:tcW w:w="851" w:type="dxa"/>
            <w:tcBorders>
              <w:top w:val="single" w:sz="4" w:space="0" w:color="auto"/>
              <w:bottom w:val="single" w:sz="4" w:space="0" w:color="auto"/>
              <w:right w:val="single" w:sz="4" w:space="0" w:color="auto"/>
            </w:tcBorders>
            <w:shd w:val="clear" w:color="auto" w:fill="F7CAAC"/>
            <w:vAlign w:val="center"/>
          </w:tcPr>
          <w:p w14:paraId="36912CA5"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Cat.3</w:t>
            </w:r>
          </w:p>
        </w:tc>
        <w:tc>
          <w:tcPr>
            <w:tcW w:w="3885" w:type="dxa"/>
            <w:tcBorders>
              <w:left w:val="single" w:sz="4" w:space="0" w:color="auto"/>
            </w:tcBorders>
            <w:shd w:val="clear" w:color="auto" w:fill="auto"/>
            <w:vAlign w:val="center"/>
          </w:tcPr>
          <w:p w14:paraId="7A6A83A4" w14:textId="77777777" w:rsidR="00D7521F" w:rsidRPr="00833388" w:rsidRDefault="00627985" w:rsidP="00B44EC9">
            <w:pPr>
              <w:spacing w:before="40" w:after="40" w:line="240" w:lineRule="auto"/>
              <w:jc w:val="center"/>
              <w:rPr>
                <w:rFonts w:asciiTheme="majorBidi" w:hAnsiTheme="majorBidi" w:cstheme="majorBidi"/>
                <w:color w:val="4F81BD" w:themeColor="accent1"/>
                <w:sz w:val="18"/>
                <w:szCs w:val="18"/>
                <w:lang w:eastAsia="ko-KR"/>
              </w:rPr>
            </w:pPr>
            <w:hyperlink r:id="rId21" w:history="1">
              <w:r w:rsidR="00D7521F" w:rsidRPr="00833388">
                <w:rPr>
                  <w:rStyle w:val="Hyperlink"/>
                  <w:rFonts w:asciiTheme="majorBidi" w:hAnsiTheme="majorBidi" w:cstheme="majorBidi"/>
                  <w:color w:val="4F81BD" w:themeColor="accent1"/>
                  <w:sz w:val="18"/>
                  <w:szCs w:val="18"/>
                  <w:lang w:eastAsia="ko-KR"/>
                </w:rPr>
                <w:t>https://echa.europa.eu/sv/registration-dossier/-/registered-dossier/13527/7/3/4</w:t>
              </w:r>
            </w:hyperlink>
          </w:p>
        </w:tc>
      </w:tr>
      <w:tr w:rsidR="00D7521F" w:rsidRPr="00833388" w14:paraId="4114C8E0" w14:textId="77777777" w:rsidTr="00B84AAB">
        <w:tc>
          <w:tcPr>
            <w:tcW w:w="1129" w:type="dxa"/>
            <w:vMerge/>
            <w:shd w:val="clear" w:color="auto" w:fill="auto"/>
            <w:vAlign w:val="center"/>
          </w:tcPr>
          <w:p w14:paraId="054F169F"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2552" w:type="dxa"/>
            <w:shd w:val="clear" w:color="auto" w:fill="auto"/>
            <w:vAlign w:val="center"/>
          </w:tcPr>
          <w:p w14:paraId="462389A8"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Publication</w:t>
            </w:r>
          </w:p>
          <w:p w14:paraId="5C64DF33"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(National Technical Information Service., OTS0535430)</w:t>
            </w:r>
          </w:p>
        </w:tc>
        <w:tc>
          <w:tcPr>
            <w:tcW w:w="1134" w:type="dxa"/>
            <w:shd w:val="clear" w:color="auto" w:fill="auto"/>
            <w:vAlign w:val="center"/>
          </w:tcPr>
          <w:p w14:paraId="24D39A52"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1075" w:type="dxa"/>
            <w:tcBorders>
              <w:right w:val="single" w:sz="4" w:space="0" w:color="auto"/>
            </w:tcBorders>
            <w:shd w:val="clear" w:color="auto" w:fill="auto"/>
            <w:vAlign w:val="center"/>
          </w:tcPr>
          <w:p w14:paraId="64D3F9C1"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3544" w:type="dxa"/>
            <w:tcBorders>
              <w:top w:val="single" w:sz="4" w:space="0" w:color="auto"/>
              <w:left w:val="single" w:sz="4" w:space="0" w:color="auto"/>
              <w:bottom w:val="single" w:sz="4" w:space="0" w:color="auto"/>
            </w:tcBorders>
            <w:shd w:val="clear" w:color="auto" w:fill="auto"/>
            <w:vAlign w:val="center"/>
          </w:tcPr>
          <w:p w14:paraId="33214345"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hAnsiTheme="majorBidi" w:cstheme="majorBidi"/>
                <w:sz w:val="18"/>
                <w:szCs w:val="18"/>
                <w:lang w:eastAsia="ko-KR"/>
              </w:rPr>
              <w:t xml:space="preserve"> (rabbit) 770 mg/kg</w:t>
            </w:r>
          </w:p>
        </w:tc>
        <w:tc>
          <w:tcPr>
            <w:tcW w:w="851" w:type="dxa"/>
            <w:tcBorders>
              <w:top w:val="single" w:sz="4" w:space="0" w:color="auto"/>
              <w:bottom w:val="single" w:sz="4" w:space="0" w:color="auto"/>
              <w:right w:val="single" w:sz="4" w:space="0" w:color="auto"/>
            </w:tcBorders>
            <w:shd w:val="clear" w:color="auto" w:fill="auto"/>
            <w:vAlign w:val="center"/>
          </w:tcPr>
          <w:p w14:paraId="1E1E85F6"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Cat.3</w:t>
            </w:r>
          </w:p>
        </w:tc>
        <w:tc>
          <w:tcPr>
            <w:tcW w:w="3885" w:type="dxa"/>
            <w:tcBorders>
              <w:left w:val="single" w:sz="4" w:space="0" w:color="auto"/>
            </w:tcBorders>
            <w:shd w:val="clear" w:color="auto" w:fill="auto"/>
            <w:vAlign w:val="center"/>
          </w:tcPr>
          <w:p w14:paraId="1405E452" w14:textId="77777777" w:rsidR="00D7521F" w:rsidRPr="00833388" w:rsidRDefault="00627985" w:rsidP="00B44EC9">
            <w:pPr>
              <w:spacing w:before="40" w:after="40" w:line="240" w:lineRule="auto"/>
              <w:jc w:val="center"/>
              <w:rPr>
                <w:rFonts w:asciiTheme="majorBidi" w:hAnsiTheme="majorBidi" w:cstheme="majorBidi"/>
                <w:color w:val="4F81BD" w:themeColor="accent1"/>
                <w:sz w:val="18"/>
                <w:szCs w:val="18"/>
                <w:lang w:eastAsia="ko-KR"/>
              </w:rPr>
            </w:pPr>
            <w:hyperlink r:id="rId22" w:anchor="section=Acute-Effects&amp;fullscreen=true" w:history="1">
              <w:r w:rsidR="00D7521F" w:rsidRPr="00833388">
                <w:rPr>
                  <w:rStyle w:val="Hyperlink"/>
                  <w:rFonts w:asciiTheme="majorBidi" w:hAnsiTheme="majorBidi" w:cstheme="majorBidi"/>
                  <w:color w:val="4F81BD" w:themeColor="accent1"/>
                  <w:sz w:val="18"/>
                  <w:szCs w:val="18"/>
                  <w:lang w:eastAsia="ko-KR"/>
                </w:rPr>
                <w:t>https://pubchem.ncbi.nlm.nih.gov/compound/8148#section=Acute-Effects&amp;fullscreen=true</w:t>
              </w:r>
            </w:hyperlink>
          </w:p>
        </w:tc>
      </w:tr>
      <w:tr w:rsidR="00D7521F" w:rsidRPr="00833388" w14:paraId="364B7C05" w14:textId="77777777" w:rsidTr="00B84AAB">
        <w:tc>
          <w:tcPr>
            <w:tcW w:w="1129" w:type="dxa"/>
            <w:vMerge/>
            <w:shd w:val="clear" w:color="auto" w:fill="auto"/>
            <w:vAlign w:val="center"/>
          </w:tcPr>
          <w:p w14:paraId="556AFDDC"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2552" w:type="dxa"/>
            <w:shd w:val="clear" w:color="auto" w:fill="auto"/>
            <w:vAlign w:val="center"/>
          </w:tcPr>
          <w:p w14:paraId="0499BB84" w14:textId="77777777" w:rsidR="00D7521F" w:rsidRPr="00D7521F" w:rsidRDefault="00D7521F" w:rsidP="00B44EC9">
            <w:pPr>
              <w:keepNext/>
              <w:keepLines/>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Publication</w:t>
            </w:r>
          </w:p>
          <w:p w14:paraId="18BB5B39" w14:textId="77777777" w:rsidR="00D7521F" w:rsidRPr="00D7521F" w:rsidRDefault="00D7521F" w:rsidP="00B44EC9">
            <w:pPr>
              <w:keepNext/>
              <w:keepLines/>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(Lewis, R.J. Sax’s Dangerous Properties of Industrial Materials. 9th ed. Volumes 1-3. New York, NY: Van Nostrand Reinhold, 1996., p. 1069)</w:t>
            </w:r>
          </w:p>
        </w:tc>
        <w:tc>
          <w:tcPr>
            <w:tcW w:w="1134" w:type="dxa"/>
            <w:shd w:val="clear" w:color="auto" w:fill="auto"/>
            <w:vAlign w:val="center"/>
          </w:tcPr>
          <w:p w14:paraId="66A749E2" w14:textId="77777777" w:rsidR="00D7521F" w:rsidRPr="00D7521F" w:rsidRDefault="00D7521F" w:rsidP="00B44EC9">
            <w:pPr>
              <w:keepNext/>
              <w:keepLines/>
              <w:spacing w:before="40" w:after="40" w:line="240" w:lineRule="auto"/>
              <w:jc w:val="center"/>
              <w:rPr>
                <w:rFonts w:asciiTheme="majorBidi" w:hAnsiTheme="majorBidi" w:cstheme="majorBidi"/>
                <w:sz w:val="18"/>
                <w:szCs w:val="18"/>
                <w:lang w:val="en-US" w:eastAsia="ko-KR"/>
              </w:rPr>
            </w:pPr>
          </w:p>
        </w:tc>
        <w:tc>
          <w:tcPr>
            <w:tcW w:w="1075" w:type="dxa"/>
            <w:tcBorders>
              <w:right w:val="single" w:sz="4" w:space="0" w:color="auto"/>
            </w:tcBorders>
            <w:shd w:val="clear" w:color="auto" w:fill="auto"/>
            <w:vAlign w:val="center"/>
          </w:tcPr>
          <w:p w14:paraId="3ACA5B70" w14:textId="77777777" w:rsidR="00D7521F" w:rsidRPr="00D7521F" w:rsidRDefault="00D7521F" w:rsidP="00B44EC9">
            <w:pPr>
              <w:keepNext/>
              <w:keepLines/>
              <w:spacing w:before="40" w:after="40" w:line="240" w:lineRule="auto"/>
              <w:jc w:val="center"/>
              <w:rPr>
                <w:rFonts w:asciiTheme="majorBidi" w:hAnsiTheme="majorBidi" w:cstheme="majorBidi"/>
                <w:sz w:val="18"/>
                <w:szCs w:val="18"/>
                <w:lang w:val="en-US" w:eastAsia="ko-KR"/>
              </w:rPr>
            </w:pPr>
          </w:p>
        </w:tc>
        <w:tc>
          <w:tcPr>
            <w:tcW w:w="3544" w:type="dxa"/>
            <w:tcBorders>
              <w:top w:val="single" w:sz="4" w:space="0" w:color="auto"/>
              <w:left w:val="single" w:sz="4" w:space="0" w:color="auto"/>
              <w:bottom w:val="single" w:sz="4" w:space="0" w:color="auto"/>
            </w:tcBorders>
            <w:shd w:val="clear" w:color="auto" w:fill="auto"/>
            <w:vAlign w:val="center"/>
          </w:tcPr>
          <w:p w14:paraId="0022A697"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LD</w:t>
            </w:r>
            <w:r w:rsidRPr="00833388">
              <w:rPr>
                <w:rFonts w:asciiTheme="majorBidi" w:hAnsiTheme="majorBidi" w:cstheme="majorBidi"/>
                <w:sz w:val="18"/>
                <w:szCs w:val="18"/>
                <w:vertAlign w:val="subscript"/>
                <w:lang w:eastAsia="ko-KR"/>
              </w:rPr>
              <w:t>50</w:t>
            </w:r>
            <w:r w:rsidRPr="00833388">
              <w:rPr>
                <w:rFonts w:asciiTheme="majorBidi" w:hAnsiTheme="majorBidi" w:cstheme="majorBidi"/>
                <w:sz w:val="18"/>
                <w:szCs w:val="18"/>
                <w:lang w:eastAsia="ko-KR"/>
              </w:rPr>
              <w:t xml:space="preserve"> (rabbit) 1010 mg/kg</w:t>
            </w:r>
          </w:p>
        </w:tc>
        <w:tc>
          <w:tcPr>
            <w:tcW w:w="851" w:type="dxa"/>
            <w:tcBorders>
              <w:top w:val="single" w:sz="4" w:space="0" w:color="auto"/>
              <w:bottom w:val="single" w:sz="4" w:space="0" w:color="auto"/>
              <w:right w:val="single" w:sz="4" w:space="0" w:color="auto"/>
            </w:tcBorders>
            <w:shd w:val="clear" w:color="auto" w:fill="auto"/>
            <w:vAlign w:val="center"/>
          </w:tcPr>
          <w:p w14:paraId="4C5DAC99"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Cat.4</w:t>
            </w:r>
          </w:p>
        </w:tc>
        <w:tc>
          <w:tcPr>
            <w:tcW w:w="3885" w:type="dxa"/>
            <w:tcBorders>
              <w:left w:val="single" w:sz="4" w:space="0" w:color="auto"/>
            </w:tcBorders>
            <w:shd w:val="clear" w:color="auto" w:fill="auto"/>
            <w:vAlign w:val="center"/>
          </w:tcPr>
          <w:p w14:paraId="40B336D6" w14:textId="77777777" w:rsidR="00D7521F" w:rsidRPr="00833388" w:rsidRDefault="00627985" w:rsidP="00B44EC9">
            <w:pPr>
              <w:keepNext/>
              <w:keepLines/>
              <w:spacing w:before="40" w:after="40" w:line="240" w:lineRule="auto"/>
              <w:jc w:val="center"/>
              <w:rPr>
                <w:rFonts w:asciiTheme="majorBidi" w:hAnsiTheme="majorBidi" w:cstheme="majorBidi"/>
                <w:color w:val="4F81BD" w:themeColor="accent1"/>
                <w:sz w:val="18"/>
                <w:szCs w:val="18"/>
                <w:lang w:eastAsia="ko-KR"/>
              </w:rPr>
            </w:pPr>
            <w:hyperlink r:id="rId23" w:anchor="section=Non-Human-Toxicity-Values&amp;fullscreen=true" w:history="1">
              <w:r w:rsidR="00D7521F" w:rsidRPr="00833388">
                <w:rPr>
                  <w:rStyle w:val="Hyperlink"/>
                  <w:rFonts w:asciiTheme="majorBidi" w:hAnsiTheme="majorBidi" w:cstheme="majorBidi"/>
                  <w:color w:val="4F81BD" w:themeColor="accent1"/>
                  <w:sz w:val="18"/>
                  <w:szCs w:val="18"/>
                </w:rPr>
                <w:t>https://pubchem.ncbi.nlm.nih.gov/compound/8148#section=Non-Human-Toxicity-Values&amp;fullscreen=true</w:t>
              </w:r>
            </w:hyperlink>
          </w:p>
        </w:tc>
      </w:tr>
      <w:tr w:rsidR="00D7521F" w:rsidRPr="00692207" w14:paraId="09BF6B96" w14:textId="77777777" w:rsidTr="00B84AAB">
        <w:tc>
          <w:tcPr>
            <w:tcW w:w="1129" w:type="dxa"/>
            <w:vMerge/>
            <w:shd w:val="clear" w:color="auto" w:fill="auto"/>
            <w:vAlign w:val="center"/>
          </w:tcPr>
          <w:p w14:paraId="08E1A236" w14:textId="77777777" w:rsidR="00D7521F" w:rsidRPr="00833388" w:rsidRDefault="00D7521F" w:rsidP="00B44EC9">
            <w:pPr>
              <w:spacing w:before="40" w:after="40" w:line="240" w:lineRule="auto"/>
              <w:jc w:val="center"/>
              <w:rPr>
                <w:rFonts w:asciiTheme="majorBidi" w:hAnsiTheme="majorBidi" w:cstheme="majorBidi"/>
                <w:sz w:val="18"/>
                <w:szCs w:val="18"/>
                <w:lang w:eastAsia="ko-KR"/>
              </w:rPr>
            </w:pPr>
          </w:p>
        </w:tc>
        <w:tc>
          <w:tcPr>
            <w:tcW w:w="13041" w:type="dxa"/>
            <w:gridSpan w:val="6"/>
            <w:shd w:val="clear" w:color="auto" w:fill="auto"/>
            <w:vAlign w:val="center"/>
          </w:tcPr>
          <w:p w14:paraId="5318B5A7" w14:textId="77777777" w:rsidR="00D7521F" w:rsidRPr="00D7521F" w:rsidRDefault="00D7521F" w:rsidP="00B44EC9">
            <w:pPr>
              <w:spacing w:before="40" w:after="40" w:line="240" w:lineRule="auto"/>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Three studies on the acute dermal toxicity of Dibutylamine are available.</w:t>
            </w:r>
          </w:p>
          <w:p w14:paraId="75FD9ECE" w14:textId="77777777" w:rsidR="00D7521F" w:rsidRPr="00D7521F" w:rsidRDefault="00D7521F" w:rsidP="00B44EC9">
            <w:pPr>
              <w:spacing w:before="40" w:after="40" w:line="240" w:lineRule="auto"/>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In the EU REACH registration data, only one test report carried out in 1951 is cited, representing GHS Cat.3.</w:t>
            </w:r>
          </w:p>
          <w:p w14:paraId="1DC24E8E" w14:textId="77777777" w:rsidR="00D7521F" w:rsidRPr="00D7521F" w:rsidRDefault="00D7521F" w:rsidP="00B44EC9">
            <w:pPr>
              <w:spacing w:before="40" w:after="40" w:line="240" w:lineRule="auto"/>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In other literature, the acute dermal toxicity value of Dibutylamine was confirmed as GHS Cat.3 and 4 respectively.</w:t>
            </w:r>
          </w:p>
          <w:p w14:paraId="424C7208" w14:textId="77777777" w:rsidR="00D7521F" w:rsidRPr="00D7521F" w:rsidRDefault="00D7521F" w:rsidP="00B44EC9">
            <w:pPr>
              <w:spacing w:before="40" w:after="40" w:line="240" w:lineRule="auto"/>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xml:space="preserve">- One test report and two literature were all considered to have the same reliability, and Dibutylamine was judged to be assigned as GHS Cat.3 citing the worst value which corresponds to classification criteria of PG </w:t>
            </w:r>
            <w:r w:rsidRPr="00D7521F">
              <w:rPr>
                <w:rFonts w:asciiTheme="majorBidi" w:eastAsia="NanumGothic" w:hAnsiTheme="majorBidi" w:cstheme="majorBidi"/>
                <w:sz w:val="18"/>
                <w:szCs w:val="18"/>
                <w:lang w:val="en-US" w:eastAsia="ko-KR"/>
              </w:rPr>
              <w:t>Ⅲ</w:t>
            </w:r>
            <w:r w:rsidRPr="00D7521F">
              <w:rPr>
                <w:rFonts w:asciiTheme="majorBidi" w:hAnsiTheme="majorBidi" w:cstheme="majorBidi"/>
                <w:sz w:val="18"/>
                <w:szCs w:val="18"/>
                <w:lang w:val="en-US" w:eastAsia="ko-KR"/>
              </w:rPr>
              <w:t xml:space="preserve"> for Division 6.1.</w:t>
            </w:r>
          </w:p>
        </w:tc>
      </w:tr>
      <w:tr w:rsidR="00D7521F" w:rsidRPr="00833388" w14:paraId="3909F802" w14:textId="77777777" w:rsidTr="00B84AAB">
        <w:tc>
          <w:tcPr>
            <w:tcW w:w="1129" w:type="dxa"/>
            <w:vMerge w:val="restart"/>
            <w:shd w:val="clear" w:color="auto" w:fill="auto"/>
            <w:vAlign w:val="center"/>
          </w:tcPr>
          <w:p w14:paraId="0F8F0255"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lastRenderedPageBreak/>
              <w:t>Inhalation</w:t>
            </w:r>
          </w:p>
        </w:tc>
        <w:tc>
          <w:tcPr>
            <w:tcW w:w="2552" w:type="dxa"/>
            <w:tcBorders>
              <w:top w:val="single" w:sz="4" w:space="0" w:color="auto"/>
            </w:tcBorders>
            <w:shd w:val="clear" w:color="auto" w:fill="auto"/>
            <w:vAlign w:val="center"/>
          </w:tcPr>
          <w:p w14:paraId="7C592A20"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Study report</w:t>
            </w:r>
          </w:p>
        </w:tc>
        <w:tc>
          <w:tcPr>
            <w:tcW w:w="1134" w:type="dxa"/>
            <w:tcBorders>
              <w:top w:val="single" w:sz="4" w:space="0" w:color="auto"/>
            </w:tcBorders>
            <w:shd w:val="clear" w:color="auto" w:fill="auto"/>
            <w:vAlign w:val="center"/>
          </w:tcPr>
          <w:p w14:paraId="03B2171F"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Yes</w:t>
            </w:r>
          </w:p>
        </w:tc>
        <w:tc>
          <w:tcPr>
            <w:tcW w:w="1075" w:type="dxa"/>
            <w:tcBorders>
              <w:top w:val="single" w:sz="4" w:space="0" w:color="auto"/>
              <w:right w:val="single" w:sz="4" w:space="0" w:color="auto"/>
            </w:tcBorders>
            <w:shd w:val="clear" w:color="auto" w:fill="auto"/>
            <w:vAlign w:val="center"/>
          </w:tcPr>
          <w:p w14:paraId="622DBFB9"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2</w:t>
            </w:r>
          </w:p>
        </w:tc>
        <w:tc>
          <w:tcPr>
            <w:tcW w:w="3544" w:type="dxa"/>
            <w:tcBorders>
              <w:top w:val="single" w:sz="4" w:space="0" w:color="auto"/>
              <w:left w:val="single" w:sz="4" w:space="0" w:color="auto"/>
              <w:bottom w:val="nil"/>
            </w:tcBorders>
            <w:shd w:val="clear" w:color="auto" w:fill="F7CAAC"/>
            <w:vAlign w:val="center"/>
          </w:tcPr>
          <w:p w14:paraId="102116A5" w14:textId="77777777" w:rsidR="00D7521F" w:rsidRPr="00D7521F" w:rsidRDefault="00D7521F" w:rsidP="00B44EC9">
            <w:pPr>
              <w:keepNext/>
              <w:keepLines/>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LC</w:t>
            </w:r>
            <w:r w:rsidRPr="00D7521F">
              <w:rPr>
                <w:rFonts w:asciiTheme="majorBidi" w:hAnsiTheme="majorBidi" w:cstheme="majorBidi"/>
                <w:sz w:val="18"/>
                <w:szCs w:val="18"/>
                <w:vertAlign w:val="subscript"/>
                <w:lang w:val="en-US" w:eastAsia="ko-KR"/>
              </w:rPr>
              <w:t>50</w:t>
            </w:r>
            <w:r w:rsidRPr="00D7521F">
              <w:rPr>
                <w:rFonts w:asciiTheme="majorBidi" w:hAnsiTheme="majorBidi" w:cstheme="majorBidi"/>
                <w:sz w:val="18"/>
                <w:szCs w:val="18"/>
                <w:lang w:val="en-US" w:eastAsia="ko-KR"/>
              </w:rPr>
              <w:t xml:space="preserve"> (4h, rat)  218 ppm</w:t>
            </w:r>
          </w:p>
          <w:p w14:paraId="606E63C6" w14:textId="77777777" w:rsidR="00D7521F" w:rsidRPr="00D7521F" w:rsidRDefault="00D7521F" w:rsidP="00B44EC9">
            <w:pPr>
              <w:keepNext/>
              <w:keepLines/>
              <w:spacing w:before="40" w:after="40" w:line="240" w:lineRule="auto"/>
              <w:jc w:val="center"/>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1.15 mg/l)</w:t>
            </w:r>
          </w:p>
        </w:tc>
        <w:tc>
          <w:tcPr>
            <w:tcW w:w="851" w:type="dxa"/>
            <w:tcBorders>
              <w:top w:val="single" w:sz="4" w:space="0" w:color="auto"/>
              <w:bottom w:val="nil"/>
              <w:right w:val="single" w:sz="4" w:space="0" w:color="auto"/>
            </w:tcBorders>
            <w:shd w:val="clear" w:color="auto" w:fill="F7CAAC"/>
            <w:vAlign w:val="center"/>
          </w:tcPr>
          <w:p w14:paraId="05F686BD"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Cat.2</w:t>
            </w:r>
          </w:p>
        </w:tc>
        <w:tc>
          <w:tcPr>
            <w:tcW w:w="3885" w:type="dxa"/>
            <w:tcBorders>
              <w:left w:val="single" w:sz="4" w:space="0" w:color="auto"/>
            </w:tcBorders>
            <w:shd w:val="clear" w:color="auto" w:fill="auto"/>
            <w:vAlign w:val="center"/>
          </w:tcPr>
          <w:p w14:paraId="5D9BB209" w14:textId="77777777" w:rsidR="00D7521F" w:rsidRPr="00833388" w:rsidRDefault="00627985" w:rsidP="00B44EC9">
            <w:pPr>
              <w:keepNext/>
              <w:keepLines/>
              <w:spacing w:before="40" w:after="40" w:line="240" w:lineRule="auto"/>
              <w:jc w:val="center"/>
              <w:rPr>
                <w:rFonts w:asciiTheme="majorBidi" w:hAnsiTheme="majorBidi" w:cstheme="majorBidi"/>
                <w:color w:val="4F81BD" w:themeColor="accent1"/>
                <w:sz w:val="18"/>
                <w:szCs w:val="18"/>
                <w:lang w:eastAsia="ko-KR"/>
              </w:rPr>
            </w:pPr>
            <w:hyperlink r:id="rId24" w:history="1">
              <w:r w:rsidR="00D7521F" w:rsidRPr="00833388">
                <w:rPr>
                  <w:rStyle w:val="Hyperlink"/>
                  <w:rFonts w:asciiTheme="majorBidi" w:hAnsiTheme="majorBidi" w:cstheme="majorBidi"/>
                  <w:color w:val="4F81BD" w:themeColor="accent1"/>
                  <w:sz w:val="18"/>
                  <w:szCs w:val="18"/>
                  <w:lang w:eastAsia="ko-KR"/>
                </w:rPr>
                <w:t>https://echa.europa.eu/sv/registration-dossier/-/registered-dossier/13527/7/3/3</w:t>
              </w:r>
            </w:hyperlink>
          </w:p>
        </w:tc>
      </w:tr>
      <w:tr w:rsidR="00D7521F" w:rsidRPr="00833388" w14:paraId="0CD0B475" w14:textId="77777777" w:rsidTr="00B84AAB">
        <w:tc>
          <w:tcPr>
            <w:tcW w:w="1129" w:type="dxa"/>
            <w:vMerge/>
            <w:shd w:val="clear" w:color="auto" w:fill="auto"/>
            <w:vAlign w:val="center"/>
          </w:tcPr>
          <w:p w14:paraId="4E7C3E6A"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p>
        </w:tc>
        <w:tc>
          <w:tcPr>
            <w:tcW w:w="2552" w:type="dxa"/>
            <w:shd w:val="clear" w:color="auto" w:fill="auto"/>
            <w:vAlign w:val="center"/>
          </w:tcPr>
          <w:p w14:paraId="0F73529C"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Study report</w:t>
            </w:r>
          </w:p>
        </w:tc>
        <w:tc>
          <w:tcPr>
            <w:tcW w:w="1134" w:type="dxa"/>
            <w:shd w:val="clear" w:color="auto" w:fill="auto"/>
            <w:vAlign w:val="center"/>
          </w:tcPr>
          <w:p w14:paraId="5634E5F0"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No</w:t>
            </w:r>
          </w:p>
        </w:tc>
        <w:tc>
          <w:tcPr>
            <w:tcW w:w="1075" w:type="dxa"/>
            <w:tcBorders>
              <w:right w:val="single" w:sz="4" w:space="0" w:color="auto"/>
            </w:tcBorders>
            <w:shd w:val="clear" w:color="auto" w:fill="auto"/>
            <w:vAlign w:val="center"/>
          </w:tcPr>
          <w:p w14:paraId="46661C07"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2</w:t>
            </w:r>
          </w:p>
        </w:tc>
        <w:tc>
          <w:tcPr>
            <w:tcW w:w="3544" w:type="dxa"/>
            <w:tcBorders>
              <w:top w:val="single" w:sz="4" w:space="0" w:color="auto"/>
              <w:left w:val="single" w:sz="4" w:space="0" w:color="auto"/>
            </w:tcBorders>
            <w:shd w:val="clear" w:color="auto" w:fill="auto"/>
            <w:vAlign w:val="center"/>
          </w:tcPr>
          <w:p w14:paraId="564E0B56"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LC</w:t>
            </w:r>
            <w:r w:rsidRPr="00833388">
              <w:rPr>
                <w:rFonts w:asciiTheme="majorBidi" w:hAnsiTheme="majorBidi" w:cstheme="majorBidi"/>
                <w:sz w:val="18"/>
                <w:szCs w:val="18"/>
                <w:vertAlign w:val="subscript"/>
                <w:lang w:eastAsia="ko-KR"/>
              </w:rPr>
              <w:t xml:space="preserve">50 </w:t>
            </w:r>
            <w:r w:rsidRPr="00833388">
              <w:rPr>
                <w:rFonts w:asciiTheme="majorBidi" w:hAnsiTheme="majorBidi" w:cstheme="majorBidi"/>
                <w:sz w:val="18"/>
                <w:szCs w:val="18"/>
                <w:lang w:eastAsia="ko-KR"/>
              </w:rPr>
              <w:t>(4h, rat)  &gt; 1.34 - &lt; 2.68 mg/l</w:t>
            </w:r>
          </w:p>
        </w:tc>
        <w:tc>
          <w:tcPr>
            <w:tcW w:w="851" w:type="dxa"/>
            <w:tcBorders>
              <w:top w:val="single" w:sz="4" w:space="0" w:color="auto"/>
              <w:right w:val="single" w:sz="4" w:space="0" w:color="auto"/>
            </w:tcBorders>
            <w:shd w:val="clear" w:color="auto" w:fill="auto"/>
            <w:vAlign w:val="center"/>
          </w:tcPr>
          <w:p w14:paraId="0B15D76F"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r w:rsidRPr="00833388">
              <w:rPr>
                <w:rFonts w:asciiTheme="majorBidi" w:hAnsiTheme="majorBidi" w:cstheme="majorBidi"/>
                <w:sz w:val="18"/>
                <w:szCs w:val="18"/>
                <w:lang w:eastAsia="ko-KR"/>
              </w:rPr>
              <w:t>Cat.2</w:t>
            </w:r>
          </w:p>
        </w:tc>
        <w:tc>
          <w:tcPr>
            <w:tcW w:w="3885" w:type="dxa"/>
            <w:tcBorders>
              <w:left w:val="single" w:sz="4" w:space="0" w:color="auto"/>
            </w:tcBorders>
            <w:shd w:val="clear" w:color="auto" w:fill="auto"/>
            <w:vAlign w:val="center"/>
          </w:tcPr>
          <w:p w14:paraId="5FF67418" w14:textId="77777777" w:rsidR="00D7521F" w:rsidRPr="00833388" w:rsidRDefault="00627985" w:rsidP="00B44EC9">
            <w:pPr>
              <w:keepNext/>
              <w:keepLines/>
              <w:spacing w:before="40" w:after="40" w:line="240" w:lineRule="auto"/>
              <w:jc w:val="center"/>
              <w:rPr>
                <w:rFonts w:asciiTheme="majorBidi" w:hAnsiTheme="majorBidi" w:cstheme="majorBidi"/>
                <w:color w:val="4F81BD" w:themeColor="accent1"/>
                <w:sz w:val="18"/>
                <w:szCs w:val="18"/>
                <w:lang w:eastAsia="ko-KR"/>
              </w:rPr>
            </w:pPr>
            <w:hyperlink r:id="rId25" w:history="1">
              <w:r w:rsidR="00D7521F" w:rsidRPr="00833388">
                <w:rPr>
                  <w:rStyle w:val="Hyperlink"/>
                  <w:rFonts w:asciiTheme="majorBidi" w:hAnsiTheme="majorBidi" w:cstheme="majorBidi"/>
                  <w:color w:val="4F81BD" w:themeColor="accent1"/>
                  <w:sz w:val="18"/>
                  <w:szCs w:val="18"/>
                  <w:lang w:eastAsia="ko-KR"/>
                </w:rPr>
                <w:t>https://echa.europa.eu/sv/registration-dossier/-/registered-dossier/13527/7/3/3/?documentUUID=022335f9-857a-4952-a1c6-f5e8e88255df</w:t>
              </w:r>
            </w:hyperlink>
          </w:p>
        </w:tc>
      </w:tr>
      <w:tr w:rsidR="00D7521F" w:rsidRPr="00692207" w14:paraId="649CA336" w14:textId="77777777" w:rsidTr="00B84AAB">
        <w:tc>
          <w:tcPr>
            <w:tcW w:w="1129" w:type="dxa"/>
            <w:vMerge/>
            <w:shd w:val="clear" w:color="auto" w:fill="auto"/>
            <w:vAlign w:val="center"/>
          </w:tcPr>
          <w:p w14:paraId="3DA7AA05" w14:textId="77777777" w:rsidR="00D7521F" w:rsidRPr="00833388" w:rsidRDefault="00D7521F" w:rsidP="00B44EC9">
            <w:pPr>
              <w:keepNext/>
              <w:keepLines/>
              <w:spacing w:before="40" w:after="40" w:line="240" w:lineRule="auto"/>
              <w:jc w:val="center"/>
              <w:rPr>
                <w:rFonts w:asciiTheme="majorBidi" w:hAnsiTheme="majorBidi" w:cstheme="majorBidi"/>
                <w:sz w:val="18"/>
                <w:szCs w:val="18"/>
                <w:lang w:eastAsia="ko-KR"/>
              </w:rPr>
            </w:pPr>
          </w:p>
        </w:tc>
        <w:tc>
          <w:tcPr>
            <w:tcW w:w="13041" w:type="dxa"/>
            <w:gridSpan w:val="6"/>
            <w:shd w:val="clear" w:color="auto" w:fill="auto"/>
            <w:vAlign w:val="center"/>
          </w:tcPr>
          <w:p w14:paraId="64326086" w14:textId="77777777" w:rsidR="00D7521F" w:rsidRPr="00D7521F" w:rsidRDefault="00D7521F" w:rsidP="00B44EC9">
            <w:pPr>
              <w:keepNext/>
              <w:keepLines/>
              <w:spacing w:before="40" w:after="40" w:line="240" w:lineRule="auto"/>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Three studies on the acute inhalation toxicity of Dibutylamine are available.</w:t>
            </w:r>
          </w:p>
          <w:p w14:paraId="7BADE54B" w14:textId="77777777" w:rsidR="00D7521F" w:rsidRPr="00833388" w:rsidRDefault="00D7521F" w:rsidP="00B44EC9">
            <w:pPr>
              <w:keepNext/>
              <w:keepLines/>
              <w:spacing w:before="40" w:after="40" w:line="240" w:lineRule="auto"/>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The EU REACH cites test data carried out in 1951, 1952 and 1987. Test data in 1987, which was carried out recently, has been submitted as key data and was evaluated as Cat.2.</w:t>
            </w:r>
          </w:p>
          <w:p w14:paraId="59426EAC" w14:textId="77777777" w:rsidR="00D7521F" w:rsidRPr="00833388" w:rsidRDefault="00D7521F" w:rsidP="00B44EC9">
            <w:pPr>
              <w:keepNext/>
              <w:keepLines/>
              <w:spacing w:before="40" w:after="40" w:line="240" w:lineRule="auto"/>
              <w:rPr>
                <w:rFonts w:asciiTheme="majorBidi" w:hAnsiTheme="majorBidi" w:cstheme="majorBidi"/>
                <w:sz w:val="18"/>
                <w:szCs w:val="18"/>
                <w:lang w:val="en-US" w:eastAsia="ko-KR"/>
              </w:rPr>
            </w:pPr>
            <w:r w:rsidRPr="00D7521F">
              <w:rPr>
                <w:rFonts w:asciiTheme="majorBidi" w:hAnsiTheme="majorBidi" w:cstheme="majorBidi"/>
                <w:sz w:val="18"/>
                <w:szCs w:val="18"/>
                <w:lang w:val="en-US" w:eastAsia="ko-KR"/>
              </w:rPr>
              <w:t>- Therefore, the acute inhalation toxicity of Dibutylamine is considered to be assigned as Cat.2.</w:t>
            </w:r>
          </w:p>
        </w:tc>
      </w:tr>
    </w:tbl>
    <w:p w14:paraId="682E2994" w14:textId="77777777" w:rsidR="00D7521F" w:rsidRPr="00D7521F" w:rsidRDefault="00D7521F" w:rsidP="00B84AAB">
      <w:pPr>
        <w:spacing w:before="120" w:line="360" w:lineRule="auto"/>
        <w:ind w:left="454"/>
        <w:rPr>
          <w:i/>
          <w:sz w:val="18"/>
          <w:lang w:val="en-US" w:eastAsia="ko-KR"/>
        </w:rPr>
      </w:pPr>
      <w:r w:rsidRPr="00692207">
        <w:rPr>
          <w:lang w:val="en-US"/>
        </w:rPr>
        <w:t>*</w:t>
      </w:r>
      <w:r w:rsidR="00B84AAB">
        <w:rPr>
          <w:rFonts w:eastAsia="Malgun Gothic"/>
          <w:sz w:val="16"/>
          <w:lang w:val="en-US" w:eastAsia="ko-KR"/>
        </w:rPr>
        <w:t xml:space="preserve"> </w:t>
      </w:r>
      <w:r w:rsidRPr="00D7521F">
        <w:rPr>
          <w:rFonts w:eastAsia="Malgun Gothic"/>
          <w:sz w:val="16"/>
          <w:lang w:val="en-US" w:eastAsia="ko-KR"/>
        </w:rPr>
        <w:t xml:space="preserve"> R</w:t>
      </w:r>
      <w:r w:rsidRPr="00D7521F">
        <w:rPr>
          <w:i/>
          <w:sz w:val="18"/>
          <w:lang w:val="en-US" w:eastAsia="ko-KR"/>
        </w:rPr>
        <w:t>eliable with restrictions, according to ECHA</w:t>
      </w:r>
      <w:r w:rsidRPr="00D7521F">
        <w:rPr>
          <w:i/>
          <w:sz w:val="18"/>
          <w:lang w:val="en-US" w:eastAsia="ko-KR"/>
        </w:rPr>
        <w:br w:type="page"/>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8"/>
        <w:gridCol w:w="1446"/>
        <w:gridCol w:w="871"/>
        <w:gridCol w:w="1124"/>
        <w:gridCol w:w="3514"/>
        <w:gridCol w:w="1265"/>
        <w:gridCol w:w="4424"/>
        <w:gridCol w:w="6"/>
      </w:tblGrid>
      <w:tr w:rsidR="00D7521F" w:rsidRPr="00650047" w14:paraId="749720ED" w14:textId="77777777" w:rsidTr="00B84AAB">
        <w:trPr>
          <w:tblHeader/>
        </w:trPr>
        <w:tc>
          <w:tcPr>
            <w:tcW w:w="13778" w:type="dxa"/>
            <w:gridSpan w:val="8"/>
            <w:shd w:val="clear" w:color="auto" w:fill="BDD6EE"/>
            <w:vAlign w:val="center"/>
          </w:tcPr>
          <w:p w14:paraId="4DFE003C" w14:textId="77777777" w:rsidR="00D7521F" w:rsidRPr="001110BF" w:rsidRDefault="00D7521F" w:rsidP="00B84AAB">
            <w:pPr>
              <w:spacing w:before="40" w:after="40" w:line="240" w:lineRule="auto"/>
              <w:ind w:left="57" w:right="57"/>
              <w:jc w:val="center"/>
              <w:rPr>
                <w:b/>
                <w:lang w:val="fr-FR" w:eastAsia="ko-KR"/>
              </w:rPr>
            </w:pPr>
            <w:r w:rsidRPr="001110BF">
              <w:rPr>
                <w:rFonts w:hint="eastAsia"/>
                <w:b/>
                <w:lang w:val="fr-FR" w:eastAsia="ko-KR"/>
              </w:rPr>
              <w:lastRenderedPageBreak/>
              <w:t>UN 22</w:t>
            </w:r>
            <w:r w:rsidRPr="001110BF">
              <w:rPr>
                <w:b/>
                <w:lang w:val="fr-FR" w:eastAsia="ko-KR"/>
              </w:rPr>
              <w:t>64</w:t>
            </w:r>
            <w:r w:rsidRPr="001110BF">
              <w:rPr>
                <w:rFonts w:hint="eastAsia"/>
                <w:b/>
                <w:lang w:val="fr-FR" w:eastAsia="ko-KR"/>
              </w:rPr>
              <w:t xml:space="preserve">, </w:t>
            </w:r>
            <w:r w:rsidRPr="001110BF">
              <w:rPr>
                <w:b/>
                <w:lang w:val="fr-FR" w:eastAsia="ko-KR"/>
              </w:rPr>
              <w:t>N,N</w:t>
            </w:r>
            <w:r w:rsidRPr="001110BF">
              <w:rPr>
                <w:rFonts w:hint="eastAsia"/>
                <w:b/>
                <w:lang w:val="fr-FR" w:eastAsia="ko-KR"/>
              </w:rPr>
              <w:t>-</w:t>
            </w:r>
            <w:r w:rsidRPr="001110BF">
              <w:rPr>
                <w:b/>
                <w:lang w:val="fr-FR" w:eastAsia="ko-KR"/>
              </w:rPr>
              <w:t>Dimethyl cyclohexylamine</w:t>
            </w:r>
          </w:p>
          <w:p w14:paraId="245BE619" w14:textId="77777777" w:rsidR="00D7521F" w:rsidRPr="001110BF" w:rsidRDefault="00D7521F" w:rsidP="00B84AAB">
            <w:pPr>
              <w:spacing w:before="40" w:after="40" w:line="240" w:lineRule="auto"/>
              <w:ind w:left="57" w:right="57"/>
              <w:jc w:val="center"/>
              <w:rPr>
                <w:lang w:val="fr-FR" w:eastAsia="ko-KR"/>
              </w:rPr>
            </w:pPr>
            <w:r w:rsidRPr="001110BF">
              <w:rPr>
                <w:lang w:val="fr-FR" w:eastAsia="ko-KR"/>
              </w:rPr>
              <w:t>CAS no. 98-94-2</w:t>
            </w:r>
          </w:p>
        </w:tc>
      </w:tr>
      <w:tr w:rsidR="00D7521F" w:rsidRPr="00B84AAB" w14:paraId="3F1F0F54" w14:textId="77777777" w:rsidTr="00B84AAB">
        <w:trPr>
          <w:gridAfter w:val="1"/>
          <w:wAfter w:w="6" w:type="dxa"/>
          <w:tblHeader/>
        </w:trPr>
        <w:tc>
          <w:tcPr>
            <w:tcW w:w="1128" w:type="dxa"/>
            <w:shd w:val="clear" w:color="auto" w:fill="DEEAF6"/>
            <w:vAlign w:val="center"/>
          </w:tcPr>
          <w:p w14:paraId="64D707C0" w14:textId="77777777" w:rsidR="00D7521F" w:rsidRPr="00B84AAB" w:rsidRDefault="00D7521F" w:rsidP="00B84AAB">
            <w:pPr>
              <w:spacing w:before="40" w:after="40" w:line="240" w:lineRule="auto"/>
              <w:ind w:left="57" w:right="57"/>
              <w:jc w:val="center"/>
              <w:rPr>
                <w:w w:val="90"/>
                <w:sz w:val="16"/>
                <w:szCs w:val="16"/>
                <w:lang w:eastAsia="ko-KR"/>
              </w:rPr>
            </w:pPr>
            <w:r w:rsidRPr="00B84AAB">
              <w:rPr>
                <w:rFonts w:hint="eastAsia"/>
                <w:w w:val="90"/>
                <w:sz w:val="16"/>
                <w:szCs w:val="16"/>
                <w:lang w:eastAsia="ko-KR"/>
              </w:rPr>
              <w:t xml:space="preserve">Acute </w:t>
            </w:r>
            <w:r w:rsidRPr="00B84AAB">
              <w:rPr>
                <w:w w:val="90"/>
                <w:sz w:val="16"/>
                <w:szCs w:val="16"/>
                <w:lang w:eastAsia="ko-KR"/>
              </w:rPr>
              <w:br/>
              <w:t>t</w:t>
            </w:r>
            <w:r w:rsidRPr="00B84AAB">
              <w:rPr>
                <w:rFonts w:hint="eastAsia"/>
                <w:w w:val="90"/>
                <w:sz w:val="16"/>
                <w:szCs w:val="16"/>
                <w:lang w:eastAsia="ko-KR"/>
              </w:rPr>
              <w:t>oxicity</w:t>
            </w:r>
          </w:p>
        </w:tc>
        <w:tc>
          <w:tcPr>
            <w:tcW w:w="1446" w:type="dxa"/>
            <w:tcBorders>
              <w:bottom w:val="single" w:sz="6" w:space="0" w:color="auto"/>
            </w:tcBorders>
            <w:shd w:val="clear" w:color="auto" w:fill="DEEAF6"/>
            <w:vAlign w:val="center"/>
          </w:tcPr>
          <w:p w14:paraId="28514112" w14:textId="77777777" w:rsidR="00D7521F" w:rsidRPr="00B84AAB" w:rsidRDefault="00D7521F" w:rsidP="00B84AAB">
            <w:pPr>
              <w:spacing w:before="40" w:after="40" w:line="240" w:lineRule="auto"/>
              <w:ind w:left="57" w:right="57"/>
              <w:jc w:val="center"/>
              <w:rPr>
                <w:w w:val="90"/>
                <w:sz w:val="16"/>
                <w:szCs w:val="16"/>
                <w:lang w:eastAsia="ko-KR"/>
              </w:rPr>
            </w:pPr>
            <w:r w:rsidRPr="00B84AAB">
              <w:rPr>
                <w:w w:val="90"/>
                <w:sz w:val="16"/>
                <w:szCs w:val="16"/>
                <w:lang w:eastAsia="ko-KR"/>
              </w:rPr>
              <w:t>R</w:t>
            </w:r>
            <w:r w:rsidRPr="00B84AAB">
              <w:rPr>
                <w:rFonts w:hint="eastAsia"/>
                <w:w w:val="90"/>
                <w:sz w:val="16"/>
                <w:szCs w:val="16"/>
                <w:lang w:eastAsia="ko-KR"/>
              </w:rPr>
              <w:t xml:space="preserve">eference </w:t>
            </w:r>
            <w:r w:rsidRPr="00B84AAB">
              <w:rPr>
                <w:w w:val="90"/>
                <w:sz w:val="16"/>
                <w:szCs w:val="16"/>
                <w:lang w:eastAsia="ko-KR"/>
              </w:rPr>
              <w:t>type</w:t>
            </w:r>
          </w:p>
        </w:tc>
        <w:tc>
          <w:tcPr>
            <w:tcW w:w="871" w:type="dxa"/>
            <w:tcBorders>
              <w:bottom w:val="single" w:sz="6" w:space="0" w:color="auto"/>
            </w:tcBorders>
            <w:shd w:val="clear" w:color="auto" w:fill="DEEAF6"/>
            <w:vAlign w:val="center"/>
          </w:tcPr>
          <w:p w14:paraId="503A0DBB" w14:textId="77777777" w:rsidR="00D7521F" w:rsidRPr="00B84AAB" w:rsidRDefault="00D7521F" w:rsidP="00B84AAB">
            <w:pPr>
              <w:spacing w:before="40" w:after="40" w:line="240" w:lineRule="auto"/>
              <w:ind w:left="57" w:right="57"/>
              <w:jc w:val="center"/>
              <w:rPr>
                <w:w w:val="90"/>
                <w:sz w:val="16"/>
                <w:szCs w:val="16"/>
                <w:lang w:eastAsia="ko-KR"/>
              </w:rPr>
            </w:pPr>
            <w:r w:rsidRPr="00B84AAB">
              <w:rPr>
                <w:w w:val="90"/>
                <w:sz w:val="16"/>
                <w:szCs w:val="16"/>
                <w:lang w:eastAsia="ko-KR"/>
              </w:rPr>
              <w:t xml:space="preserve">GLP </w:t>
            </w:r>
            <w:r w:rsidRPr="00B84AAB">
              <w:rPr>
                <w:w w:val="90"/>
                <w:sz w:val="16"/>
                <w:szCs w:val="16"/>
                <w:lang w:eastAsia="ko-KR"/>
              </w:rPr>
              <w:br/>
              <w:t>compliance</w:t>
            </w:r>
          </w:p>
        </w:tc>
        <w:tc>
          <w:tcPr>
            <w:tcW w:w="1124" w:type="dxa"/>
            <w:tcBorders>
              <w:bottom w:val="single" w:sz="6" w:space="0" w:color="auto"/>
            </w:tcBorders>
            <w:shd w:val="clear" w:color="auto" w:fill="DEEAF6"/>
            <w:vAlign w:val="center"/>
          </w:tcPr>
          <w:p w14:paraId="5E2D8FA1" w14:textId="77777777" w:rsidR="00D7521F" w:rsidRPr="00B84AAB" w:rsidRDefault="00D7521F" w:rsidP="00B84AAB">
            <w:pPr>
              <w:spacing w:before="40" w:after="40" w:line="240" w:lineRule="auto"/>
              <w:ind w:left="57" w:right="57"/>
              <w:jc w:val="center"/>
              <w:rPr>
                <w:w w:val="90"/>
                <w:sz w:val="16"/>
                <w:szCs w:val="16"/>
                <w:lang w:eastAsia="ko-KR"/>
              </w:rPr>
            </w:pPr>
            <w:r w:rsidRPr="00B84AAB">
              <w:rPr>
                <w:w w:val="90"/>
                <w:sz w:val="16"/>
                <w:szCs w:val="16"/>
                <w:lang w:eastAsia="ko-KR"/>
              </w:rPr>
              <w:t>R</w:t>
            </w:r>
            <w:r w:rsidRPr="00B84AAB">
              <w:rPr>
                <w:rFonts w:hint="eastAsia"/>
                <w:w w:val="90"/>
                <w:sz w:val="16"/>
                <w:szCs w:val="16"/>
                <w:lang w:eastAsia="ko-KR"/>
              </w:rPr>
              <w:t>e</w:t>
            </w:r>
            <w:r w:rsidRPr="00B84AAB">
              <w:rPr>
                <w:w w:val="90"/>
                <w:sz w:val="16"/>
                <w:szCs w:val="16"/>
                <w:lang w:eastAsia="ko-KR"/>
              </w:rPr>
              <w:t>liability</w:t>
            </w:r>
          </w:p>
        </w:tc>
        <w:tc>
          <w:tcPr>
            <w:tcW w:w="3514" w:type="dxa"/>
            <w:tcBorders>
              <w:bottom w:val="single" w:sz="6" w:space="0" w:color="auto"/>
            </w:tcBorders>
            <w:shd w:val="clear" w:color="auto" w:fill="DEEAF6"/>
            <w:vAlign w:val="center"/>
          </w:tcPr>
          <w:p w14:paraId="14EC0562" w14:textId="77777777" w:rsidR="00D7521F" w:rsidRPr="00B84AAB" w:rsidRDefault="00D7521F" w:rsidP="00B84AAB">
            <w:pPr>
              <w:spacing w:before="40" w:after="40" w:line="240" w:lineRule="auto"/>
              <w:ind w:left="57" w:right="57"/>
              <w:jc w:val="center"/>
              <w:rPr>
                <w:sz w:val="16"/>
                <w:szCs w:val="16"/>
                <w:lang w:eastAsia="ko-KR"/>
              </w:rPr>
            </w:pPr>
            <w:r w:rsidRPr="00B84AAB">
              <w:rPr>
                <w:rFonts w:hint="eastAsia"/>
                <w:sz w:val="16"/>
                <w:szCs w:val="16"/>
                <w:lang w:eastAsia="ko-KR"/>
              </w:rPr>
              <w:t>result</w:t>
            </w:r>
          </w:p>
        </w:tc>
        <w:tc>
          <w:tcPr>
            <w:tcW w:w="1265" w:type="dxa"/>
            <w:tcBorders>
              <w:bottom w:val="single" w:sz="6" w:space="0" w:color="auto"/>
            </w:tcBorders>
            <w:shd w:val="clear" w:color="auto" w:fill="DEEAF6"/>
            <w:vAlign w:val="center"/>
          </w:tcPr>
          <w:p w14:paraId="3D9737AD" w14:textId="77777777" w:rsidR="00D7521F" w:rsidRPr="00B84AAB" w:rsidRDefault="00D7521F" w:rsidP="00B84AAB">
            <w:pPr>
              <w:spacing w:before="40" w:after="40" w:line="240" w:lineRule="auto"/>
              <w:ind w:left="57" w:right="57"/>
              <w:jc w:val="center"/>
              <w:rPr>
                <w:sz w:val="16"/>
                <w:szCs w:val="16"/>
                <w:lang w:eastAsia="ko-KR"/>
              </w:rPr>
            </w:pPr>
            <w:r w:rsidRPr="00B84AAB">
              <w:rPr>
                <w:rFonts w:hint="eastAsia"/>
                <w:sz w:val="16"/>
                <w:szCs w:val="16"/>
                <w:lang w:eastAsia="ko-KR"/>
              </w:rPr>
              <w:t>GHS</w:t>
            </w:r>
          </w:p>
        </w:tc>
        <w:tc>
          <w:tcPr>
            <w:tcW w:w="4424" w:type="dxa"/>
            <w:tcBorders>
              <w:bottom w:val="single" w:sz="6" w:space="0" w:color="auto"/>
            </w:tcBorders>
            <w:shd w:val="clear" w:color="auto" w:fill="DEEAF6"/>
            <w:vAlign w:val="center"/>
          </w:tcPr>
          <w:p w14:paraId="6D3FAEBA" w14:textId="77777777" w:rsidR="00D7521F" w:rsidRPr="00B84AAB" w:rsidRDefault="00D7521F" w:rsidP="00B84AAB">
            <w:pPr>
              <w:spacing w:before="40" w:after="40" w:line="240" w:lineRule="auto"/>
              <w:ind w:left="57" w:right="57"/>
              <w:jc w:val="center"/>
              <w:rPr>
                <w:sz w:val="16"/>
                <w:szCs w:val="16"/>
                <w:lang w:eastAsia="ko-KR"/>
              </w:rPr>
            </w:pPr>
            <w:r w:rsidRPr="00B84AAB">
              <w:rPr>
                <w:rFonts w:hint="eastAsia"/>
                <w:sz w:val="16"/>
                <w:szCs w:val="16"/>
                <w:lang w:eastAsia="ko-KR"/>
              </w:rPr>
              <w:t>Link</w:t>
            </w:r>
          </w:p>
        </w:tc>
      </w:tr>
      <w:tr w:rsidR="00D7521F" w14:paraId="02A70043" w14:textId="77777777" w:rsidTr="00B84AAB">
        <w:trPr>
          <w:gridAfter w:val="1"/>
          <w:wAfter w:w="7" w:type="dxa"/>
          <w:trHeight w:val="826"/>
        </w:trPr>
        <w:tc>
          <w:tcPr>
            <w:tcW w:w="1128" w:type="dxa"/>
            <w:vMerge w:val="restart"/>
            <w:tcBorders>
              <w:right w:val="single" w:sz="6" w:space="0" w:color="auto"/>
            </w:tcBorders>
            <w:shd w:val="clear" w:color="auto" w:fill="auto"/>
            <w:vAlign w:val="center"/>
          </w:tcPr>
          <w:p w14:paraId="259BE9CD" w14:textId="77777777" w:rsidR="00D7521F" w:rsidRDefault="00D7521F" w:rsidP="00B84AAB">
            <w:pPr>
              <w:spacing w:before="40" w:after="40" w:line="240" w:lineRule="auto"/>
              <w:ind w:left="57" w:right="57"/>
              <w:jc w:val="center"/>
              <w:rPr>
                <w:lang w:eastAsia="ko-KR"/>
              </w:rPr>
            </w:pPr>
            <w:r>
              <w:rPr>
                <w:rFonts w:hint="eastAsia"/>
                <w:lang w:eastAsia="ko-KR"/>
              </w:rPr>
              <w:t>oral</w:t>
            </w:r>
          </w:p>
        </w:tc>
        <w:tc>
          <w:tcPr>
            <w:tcW w:w="1446" w:type="dxa"/>
            <w:tcBorders>
              <w:top w:val="single" w:sz="6" w:space="0" w:color="auto"/>
              <w:left w:val="single" w:sz="6" w:space="0" w:color="auto"/>
              <w:bottom w:val="single" w:sz="6" w:space="0" w:color="auto"/>
              <w:right w:val="single" w:sz="6" w:space="0" w:color="auto"/>
            </w:tcBorders>
            <w:shd w:val="clear" w:color="auto" w:fill="auto"/>
            <w:vAlign w:val="center"/>
          </w:tcPr>
          <w:p w14:paraId="6965209B" w14:textId="77777777" w:rsidR="00D7521F" w:rsidRDefault="00D7521F" w:rsidP="00B84AAB">
            <w:pPr>
              <w:spacing w:before="40" w:after="40" w:line="240" w:lineRule="auto"/>
              <w:ind w:left="57" w:right="57"/>
              <w:jc w:val="center"/>
              <w:rPr>
                <w:lang w:eastAsia="ko-KR"/>
              </w:rPr>
            </w:pPr>
            <w:r>
              <w:rPr>
                <w:lang w:eastAsia="ko-KR"/>
              </w:rPr>
              <w:t>S</w:t>
            </w:r>
            <w:r>
              <w:rPr>
                <w:rFonts w:hint="eastAsia"/>
                <w:lang w:eastAsia="ko-KR"/>
              </w:rPr>
              <w:t xml:space="preserve">tudy </w:t>
            </w:r>
            <w:r>
              <w:rPr>
                <w:lang w:eastAsia="ko-KR"/>
              </w:rPr>
              <w:t>report</w:t>
            </w:r>
          </w:p>
        </w:tc>
        <w:tc>
          <w:tcPr>
            <w:tcW w:w="871" w:type="dxa"/>
            <w:tcBorders>
              <w:top w:val="single" w:sz="6" w:space="0" w:color="auto"/>
              <w:left w:val="single" w:sz="6" w:space="0" w:color="auto"/>
              <w:bottom w:val="single" w:sz="6" w:space="0" w:color="auto"/>
              <w:right w:val="single" w:sz="6" w:space="0" w:color="auto"/>
            </w:tcBorders>
            <w:shd w:val="clear" w:color="auto" w:fill="auto"/>
            <w:vAlign w:val="center"/>
          </w:tcPr>
          <w:p w14:paraId="67A0D0EB" w14:textId="77777777" w:rsidR="00D7521F" w:rsidRDefault="00D7521F" w:rsidP="00B84AAB">
            <w:pPr>
              <w:spacing w:before="40" w:after="40" w:line="240" w:lineRule="auto"/>
              <w:ind w:left="57" w:right="57"/>
              <w:jc w:val="center"/>
              <w:rPr>
                <w:lang w:eastAsia="ko-KR"/>
              </w:rPr>
            </w:pPr>
            <w:r>
              <w:rPr>
                <w:rFonts w:hint="eastAsia"/>
                <w:lang w:eastAsia="ko-KR"/>
              </w:rPr>
              <w:t>No</w:t>
            </w:r>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1F7BB5D1" w14:textId="77777777" w:rsidR="00D7521F" w:rsidRDefault="00D7521F" w:rsidP="00B84AAB">
            <w:pPr>
              <w:spacing w:before="40" w:after="40" w:line="240" w:lineRule="auto"/>
              <w:ind w:left="57" w:right="57"/>
              <w:jc w:val="center"/>
              <w:rPr>
                <w:lang w:eastAsia="ko-KR"/>
              </w:rPr>
            </w:pPr>
            <w:r>
              <w:rPr>
                <w:rFonts w:hint="eastAsia"/>
                <w:lang w:eastAsia="ko-KR"/>
              </w:rPr>
              <w:t>2</w:t>
            </w:r>
          </w:p>
        </w:tc>
        <w:tc>
          <w:tcPr>
            <w:tcW w:w="3513" w:type="dxa"/>
            <w:tcBorders>
              <w:top w:val="single" w:sz="6" w:space="0" w:color="auto"/>
              <w:left w:val="single" w:sz="6" w:space="0" w:color="auto"/>
              <w:bottom w:val="single" w:sz="6" w:space="0" w:color="auto"/>
              <w:right w:val="single" w:sz="6" w:space="0" w:color="auto"/>
            </w:tcBorders>
            <w:shd w:val="clear" w:color="auto" w:fill="F7CAAC"/>
            <w:vAlign w:val="center"/>
          </w:tcPr>
          <w:p w14:paraId="67FAE2B9" w14:textId="77777777" w:rsidR="00D7521F" w:rsidRPr="00D7521F" w:rsidRDefault="00D7521F" w:rsidP="00B84AAB">
            <w:pPr>
              <w:spacing w:before="40" w:after="40" w:line="240" w:lineRule="auto"/>
              <w:ind w:left="57" w:right="57"/>
              <w:jc w:val="center"/>
              <w:rPr>
                <w:lang w:val="en-US" w:eastAsia="ko-KR"/>
              </w:rPr>
            </w:pPr>
            <w:r w:rsidRPr="00D7521F">
              <w:rPr>
                <w:lang w:val="en-US" w:eastAsia="ko-KR"/>
              </w:rPr>
              <w:t xml:space="preserve">272 mg/kg &lt; </w:t>
            </w:r>
            <w:r w:rsidRPr="00D7521F">
              <w:rPr>
                <w:rFonts w:hint="eastAsia"/>
                <w:lang w:val="en-US" w:eastAsia="ko-KR"/>
              </w:rPr>
              <w:t>LD</w:t>
            </w:r>
            <w:r w:rsidRPr="00D7521F">
              <w:rPr>
                <w:rFonts w:hint="eastAsia"/>
                <w:vertAlign w:val="subscript"/>
                <w:lang w:val="en-US" w:eastAsia="ko-KR"/>
              </w:rPr>
              <w:t>50</w:t>
            </w:r>
            <w:r w:rsidRPr="00D7521F">
              <w:rPr>
                <w:rFonts w:hint="eastAsia"/>
                <w:lang w:val="en-US" w:eastAsia="ko-KR"/>
              </w:rPr>
              <w:t xml:space="preserve"> (rat) </w:t>
            </w:r>
            <w:r w:rsidRPr="00D7521F">
              <w:rPr>
                <w:lang w:val="en-US" w:eastAsia="ko-KR"/>
              </w:rPr>
              <w:t>&lt; 289 mg/kg bw</w:t>
            </w:r>
          </w:p>
        </w:tc>
        <w:tc>
          <w:tcPr>
            <w:tcW w:w="1265" w:type="dxa"/>
            <w:tcBorders>
              <w:top w:val="single" w:sz="6" w:space="0" w:color="auto"/>
              <w:left w:val="single" w:sz="6" w:space="0" w:color="auto"/>
              <w:bottom w:val="single" w:sz="6" w:space="0" w:color="auto"/>
              <w:right w:val="single" w:sz="6" w:space="0" w:color="auto"/>
            </w:tcBorders>
            <w:shd w:val="clear" w:color="auto" w:fill="F7CAAC"/>
            <w:vAlign w:val="center"/>
          </w:tcPr>
          <w:p w14:paraId="1ED8BE35" w14:textId="77777777" w:rsidR="00D7521F" w:rsidRDefault="00D7521F" w:rsidP="00B84AAB">
            <w:pPr>
              <w:spacing w:before="40" w:after="40" w:line="240" w:lineRule="auto"/>
              <w:ind w:left="57" w:right="57"/>
              <w:jc w:val="center"/>
              <w:rPr>
                <w:lang w:eastAsia="ko-KR"/>
              </w:rPr>
            </w:pPr>
            <w:r>
              <w:rPr>
                <w:rFonts w:hint="eastAsia"/>
                <w:lang w:eastAsia="ko-KR"/>
              </w:rPr>
              <w:t>Cat.</w:t>
            </w:r>
            <w:r>
              <w:rPr>
                <w:lang w:eastAsia="ko-KR"/>
              </w:rPr>
              <w:t>3</w:t>
            </w:r>
          </w:p>
        </w:tc>
        <w:tc>
          <w:tcPr>
            <w:tcW w:w="4424" w:type="dxa"/>
            <w:tcBorders>
              <w:top w:val="single" w:sz="6" w:space="0" w:color="auto"/>
              <w:left w:val="single" w:sz="6" w:space="0" w:color="auto"/>
              <w:bottom w:val="single" w:sz="6" w:space="0" w:color="auto"/>
              <w:right w:val="single" w:sz="6" w:space="0" w:color="auto"/>
            </w:tcBorders>
            <w:shd w:val="clear" w:color="auto" w:fill="auto"/>
            <w:vAlign w:val="center"/>
          </w:tcPr>
          <w:p w14:paraId="7C05B96A" w14:textId="77777777" w:rsidR="00D7521F" w:rsidRPr="00BB315E" w:rsidRDefault="00627985" w:rsidP="00B84AAB">
            <w:pPr>
              <w:spacing w:before="40" w:after="40" w:line="240" w:lineRule="auto"/>
              <w:ind w:left="57" w:right="57"/>
              <w:jc w:val="center"/>
              <w:rPr>
                <w:color w:val="4F81BD" w:themeColor="accent1"/>
                <w:highlight w:val="yellow"/>
                <w:lang w:eastAsia="ko-KR"/>
              </w:rPr>
            </w:pPr>
            <w:hyperlink r:id="rId26" w:history="1">
              <w:r w:rsidR="00D7521F" w:rsidRPr="00BB315E">
                <w:rPr>
                  <w:rStyle w:val="Hyperlink"/>
                  <w:color w:val="4F81BD" w:themeColor="accent1"/>
                </w:rPr>
                <w:t>https://echa.europa.eu/registration-dossier/-/registered-dossier/13521/7/3/2</w:t>
              </w:r>
            </w:hyperlink>
          </w:p>
        </w:tc>
      </w:tr>
      <w:tr w:rsidR="00D7521F" w:rsidRPr="00692207" w14:paraId="1A79EC0F" w14:textId="77777777" w:rsidTr="00B84AAB">
        <w:trPr>
          <w:gridAfter w:val="1"/>
          <w:wAfter w:w="7" w:type="dxa"/>
          <w:trHeight w:val="1563"/>
        </w:trPr>
        <w:tc>
          <w:tcPr>
            <w:tcW w:w="1128" w:type="dxa"/>
            <w:vMerge/>
            <w:tcBorders>
              <w:right w:val="single" w:sz="6" w:space="0" w:color="auto"/>
            </w:tcBorders>
            <w:shd w:val="clear" w:color="auto" w:fill="auto"/>
            <w:vAlign w:val="center"/>
          </w:tcPr>
          <w:p w14:paraId="5BC1BB6B" w14:textId="77777777" w:rsidR="00D7521F" w:rsidRDefault="00D7521F" w:rsidP="00B84AAB">
            <w:pPr>
              <w:spacing w:before="40" w:after="40" w:line="240" w:lineRule="auto"/>
              <w:ind w:left="57" w:right="57"/>
              <w:jc w:val="center"/>
              <w:rPr>
                <w:lang w:eastAsia="ko-KR"/>
              </w:rPr>
            </w:pPr>
          </w:p>
        </w:tc>
        <w:tc>
          <w:tcPr>
            <w:tcW w:w="1446" w:type="dxa"/>
            <w:tcBorders>
              <w:top w:val="single" w:sz="6" w:space="0" w:color="auto"/>
              <w:left w:val="single" w:sz="6" w:space="0" w:color="auto"/>
              <w:right w:val="single" w:sz="6" w:space="0" w:color="auto"/>
            </w:tcBorders>
            <w:shd w:val="clear" w:color="auto" w:fill="auto"/>
            <w:vAlign w:val="center"/>
          </w:tcPr>
          <w:p w14:paraId="323FD0BD" w14:textId="77777777" w:rsidR="00D7521F" w:rsidRDefault="00D7521F" w:rsidP="00B84AAB">
            <w:pPr>
              <w:spacing w:before="40" w:after="40" w:line="240" w:lineRule="auto"/>
              <w:ind w:left="57" w:right="57"/>
              <w:jc w:val="center"/>
              <w:rPr>
                <w:lang w:eastAsia="ko-KR"/>
              </w:rPr>
            </w:pPr>
            <w:r>
              <w:rPr>
                <w:lang w:eastAsia="ko-KR"/>
              </w:rPr>
              <w:t>S</w:t>
            </w:r>
            <w:r>
              <w:rPr>
                <w:rFonts w:hint="eastAsia"/>
                <w:lang w:eastAsia="ko-KR"/>
              </w:rPr>
              <w:t xml:space="preserve">tudy </w:t>
            </w:r>
            <w:r>
              <w:rPr>
                <w:lang w:eastAsia="ko-KR"/>
              </w:rPr>
              <w:t>report</w:t>
            </w:r>
          </w:p>
        </w:tc>
        <w:tc>
          <w:tcPr>
            <w:tcW w:w="871" w:type="dxa"/>
            <w:tcBorders>
              <w:top w:val="single" w:sz="6" w:space="0" w:color="auto"/>
              <w:left w:val="single" w:sz="6" w:space="0" w:color="auto"/>
              <w:right w:val="single" w:sz="6" w:space="0" w:color="auto"/>
            </w:tcBorders>
            <w:shd w:val="clear" w:color="auto" w:fill="auto"/>
            <w:vAlign w:val="center"/>
          </w:tcPr>
          <w:p w14:paraId="5537BD79" w14:textId="77777777" w:rsidR="00D7521F" w:rsidRDefault="00D7521F" w:rsidP="00B84AAB">
            <w:pPr>
              <w:spacing w:before="40" w:after="40" w:line="240" w:lineRule="auto"/>
              <w:ind w:left="57" w:right="57"/>
              <w:jc w:val="center"/>
              <w:rPr>
                <w:lang w:eastAsia="ko-KR"/>
              </w:rPr>
            </w:pPr>
          </w:p>
        </w:tc>
        <w:tc>
          <w:tcPr>
            <w:tcW w:w="1124" w:type="dxa"/>
            <w:tcBorders>
              <w:top w:val="single" w:sz="6" w:space="0" w:color="auto"/>
              <w:left w:val="single" w:sz="6" w:space="0" w:color="auto"/>
              <w:right w:val="single" w:sz="6" w:space="0" w:color="auto"/>
            </w:tcBorders>
            <w:shd w:val="clear" w:color="auto" w:fill="auto"/>
            <w:vAlign w:val="center"/>
          </w:tcPr>
          <w:p w14:paraId="566CAA7D" w14:textId="77777777" w:rsidR="00D7521F" w:rsidRDefault="00D7521F" w:rsidP="00B84AAB">
            <w:pPr>
              <w:spacing w:before="40" w:after="40" w:line="240" w:lineRule="auto"/>
              <w:ind w:left="57" w:right="57"/>
              <w:jc w:val="center"/>
              <w:rPr>
                <w:lang w:eastAsia="ko-KR"/>
              </w:rPr>
            </w:pPr>
          </w:p>
        </w:tc>
        <w:tc>
          <w:tcPr>
            <w:tcW w:w="3513" w:type="dxa"/>
            <w:tcBorders>
              <w:top w:val="single" w:sz="6" w:space="0" w:color="auto"/>
              <w:left w:val="single" w:sz="6" w:space="0" w:color="auto"/>
              <w:right w:val="single" w:sz="6" w:space="0" w:color="auto"/>
            </w:tcBorders>
            <w:shd w:val="clear" w:color="auto" w:fill="auto"/>
            <w:vAlign w:val="center"/>
          </w:tcPr>
          <w:p w14:paraId="21D56DF4" w14:textId="77777777" w:rsidR="00D7521F" w:rsidRPr="00D7521F" w:rsidRDefault="00D7521F" w:rsidP="00B84AAB">
            <w:pPr>
              <w:spacing w:before="40" w:after="40" w:line="240" w:lineRule="auto"/>
              <w:ind w:left="57" w:right="57"/>
              <w:jc w:val="center"/>
              <w:rPr>
                <w:lang w:val="en-US" w:eastAsia="ko-KR"/>
              </w:rPr>
            </w:pPr>
            <w:r w:rsidRPr="00D7521F">
              <w:rPr>
                <w:lang w:val="en-US" w:eastAsia="ko-KR"/>
              </w:rPr>
              <w:t>LD50 = 337 mg/kg(240-472) (rat)</w:t>
            </w:r>
          </w:p>
          <w:p w14:paraId="13E7FCBD" w14:textId="77777777" w:rsidR="00D7521F" w:rsidRPr="00D7521F" w:rsidRDefault="00D7521F" w:rsidP="00B84AAB">
            <w:pPr>
              <w:spacing w:before="40" w:after="40" w:line="240" w:lineRule="auto"/>
              <w:ind w:left="57" w:right="57"/>
              <w:jc w:val="center"/>
              <w:rPr>
                <w:lang w:val="en-US" w:eastAsia="ko-KR"/>
              </w:rPr>
            </w:pPr>
            <w:r w:rsidRPr="00D7521F">
              <w:rPr>
                <w:lang w:val="en-US" w:eastAsia="ko-KR"/>
              </w:rPr>
              <w:t xml:space="preserve"> 283 </w:t>
            </w:r>
            <w:r w:rsidRPr="00D7521F">
              <w:rPr>
                <w:rFonts w:hint="eastAsia"/>
                <w:lang w:val="en-US" w:eastAsia="ko-KR"/>
              </w:rPr>
              <w:t>mg/kg</w:t>
            </w:r>
            <w:r w:rsidRPr="00D7521F">
              <w:rPr>
                <w:lang w:val="en-US" w:eastAsia="ko-KR"/>
              </w:rPr>
              <w:t>(188-426) (mouse)</w:t>
            </w:r>
          </w:p>
        </w:tc>
        <w:tc>
          <w:tcPr>
            <w:tcW w:w="1265" w:type="dxa"/>
            <w:tcBorders>
              <w:top w:val="single" w:sz="6" w:space="0" w:color="auto"/>
              <w:left w:val="single" w:sz="6" w:space="0" w:color="auto"/>
              <w:right w:val="single" w:sz="6" w:space="0" w:color="auto"/>
            </w:tcBorders>
            <w:shd w:val="clear" w:color="auto" w:fill="auto"/>
            <w:vAlign w:val="center"/>
          </w:tcPr>
          <w:p w14:paraId="45D7A2FF" w14:textId="77777777" w:rsidR="00D7521F" w:rsidRPr="00B77BED" w:rsidRDefault="00D7521F" w:rsidP="00B84AAB">
            <w:pPr>
              <w:spacing w:before="40" w:after="40" w:line="240" w:lineRule="auto"/>
              <w:ind w:left="57" w:right="57"/>
              <w:jc w:val="center"/>
              <w:rPr>
                <w:lang w:eastAsia="ko-KR"/>
              </w:rPr>
            </w:pPr>
            <w:r>
              <w:rPr>
                <w:lang w:eastAsia="ko-KR"/>
              </w:rPr>
              <w:t>Cat. 3</w:t>
            </w:r>
          </w:p>
        </w:tc>
        <w:tc>
          <w:tcPr>
            <w:tcW w:w="4424" w:type="dxa"/>
            <w:tcBorders>
              <w:top w:val="single" w:sz="6" w:space="0" w:color="auto"/>
              <w:left w:val="single" w:sz="6" w:space="0" w:color="auto"/>
              <w:right w:val="single" w:sz="6" w:space="0" w:color="auto"/>
            </w:tcBorders>
            <w:shd w:val="clear" w:color="auto" w:fill="auto"/>
            <w:vAlign w:val="center"/>
          </w:tcPr>
          <w:p w14:paraId="7C94DD49" w14:textId="77777777" w:rsidR="00D7521F" w:rsidRPr="00D7521F" w:rsidRDefault="00D7521F" w:rsidP="00B84AAB">
            <w:pPr>
              <w:spacing w:before="40" w:after="40" w:line="240" w:lineRule="auto"/>
              <w:ind w:left="57" w:right="57"/>
              <w:jc w:val="center"/>
              <w:rPr>
                <w:color w:val="4F81BD" w:themeColor="accent1"/>
                <w:lang w:val="en-US"/>
              </w:rPr>
            </w:pPr>
            <w:r w:rsidRPr="00D7521F">
              <w:rPr>
                <w:color w:val="4F81BD" w:themeColor="accent1"/>
                <w:lang w:val="en-US"/>
              </w:rPr>
              <w:t>Health, Safety, and Human Factors Laboratory, Eastman Kodak Company</w:t>
            </w:r>
          </w:p>
          <w:p w14:paraId="75FA32C0" w14:textId="77777777" w:rsidR="00D7521F" w:rsidRPr="00D7521F" w:rsidRDefault="00D7521F" w:rsidP="00B84AAB">
            <w:pPr>
              <w:spacing w:before="40" w:after="40" w:line="240" w:lineRule="auto"/>
              <w:ind w:left="57" w:right="57"/>
              <w:jc w:val="center"/>
              <w:rPr>
                <w:color w:val="4F81BD" w:themeColor="accent1"/>
                <w:lang w:val="en-US"/>
              </w:rPr>
            </w:pPr>
            <w:r w:rsidRPr="00D7521F">
              <w:rPr>
                <w:b/>
                <w:color w:val="4F81BD" w:themeColor="accent1"/>
                <w:lang w:val="en-US"/>
              </w:rPr>
              <w:t>(</w:t>
            </w:r>
            <w:r w:rsidRPr="00D7521F">
              <w:rPr>
                <w:rFonts w:hint="eastAsia"/>
                <w:b/>
                <w:color w:val="4F81BD" w:themeColor="accent1"/>
                <w:lang w:val="en-US"/>
              </w:rPr>
              <w:t>Refer to attached report p.17)</w:t>
            </w:r>
          </w:p>
        </w:tc>
      </w:tr>
      <w:tr w:rsidR="00D7521F" w14:paraId="47358C50" w14:textId="77777777" w:rsidTr="00B84AAB">
        <w:trPr>
          <w:gridAfter w:val="1"/>
          <w:wAfter w:w="7" w:type="dxa"/>
          <w:trHeight w:val="115"/>
        </w:trPr>
        <w:tc>
          <w:tcPr>
            <w:tcW w:w="1128" w:type="dxa"/>
            <w:vMerge/>
            <w:shd w:val="clear" w:color="auto" w:fill="auto"/>
            <w:vAlign w:val="center"/>
          </w:tcPr>
          <w:p w14:paraId="5261BC1D" w14:textId="77777777" w:rsidR="00D7521F" w:rsidRPr="00D7521F" w:rsidRDefault="00D7521F" w:rsidP="00B84AAB">
            <w:pPr>
              <w:spacing w:before="40" w:after="40" w:line="240" w:lineRule="auto"/>
              <w:ind w:left="57" w:right="57"/>
              <w:jc w:val="center"/>
              <w:rPr>
                <w:lang w:val="en-US" w:eastAsia="ko-KR"/>
              </w:rPr>
            </w:pPr>
          </w:p>
        </w:tc>
        <w:tc>
          <w:tcPr>
            <w:tcW w:w="1446" w:type="dxa"/>
            <w:tcBorders>
              <w:top w:val="single" w:sz="6" w:space="0" w:color="auto"/>
              <w:bottom w:val="single" w:sz="4" w:space="0" w:color="auto"/>
              <w:right w:val="single" w:sz="4" w:space="0" w:color="auto"/>
            </w:tcBorders>
            <w:shd w:val="clear" w:color="auto" w:fill="auto"/>
            <w:vAlign w:val="center"/>
          </w:tcPr>
          <w:p w14:paraId="0A7A7503" w14:textId="77777777" w:rsidR="00D7521F" w:rsidRDefault="00D7521F" w:rsidP="00B84AAB">
            <w:pPr>
              <w:spacing w:before="40" w:after="40" w:line="240" w:lineRule="auto"/>
              <w:ind w:left="57" w:right="57"/>
              <w:jc w:val="center"/>
            </w:pPr>
            <w:r w:rsidRPr="00DB405A">
              <w:rPr>
                <w:rFonts w:hint="eastAsia"/>
                <w:lang w:eastAsia="ko-KR"/>
              </w:rPr>
              <w:t>Publication</w:t>
            </w:r>
          </w:p>
        </w:tc>
        <w:tc>
          <w:tcPr>
            <w:tcW w:w="871" w:type="dxa"/>
            <w:tcBorders>
              <w:top w:val="single" w:sz="6" w:space="0" w:color="auto"/>
              <w:left w:val="single" w:sz="4" w:space="0" w:color="auto"/>
              <w:bottom w:val="single" w:sz="4" w:space="0" w:color="auto"/>
              <w:right w:val="single" w:sz="4" w:space="0" w:color="auto"/>
            </w:tcBorders>
            <w:shd w:val="clear" w:color="auto" w:fill="auto"/>
            <w:vAlign w:val="center"/>
          </w:tcPr>
          <w:p w14:paraId="16E7AAB7" w14:textId="77777777" w:rsidR="00D7521F" w:rsidRDefault="00D7521F" w:rsidP="00B84AAB">
            <w:pPr>
              <w:spacing w:before="40" w:after="40" w:line="240" w:lineRule="auto"/>
              <w:ind w:left="57" w:right="57"/>
              <w:jc w:val="center"/>
              <w:rPr>
                <w:lang w:eastAsia="ko-KR"/>
              </w:rPr>
            </w:pPr>
          </w:p>
        </w:tc>
        <w:tc>
          <w:tcPr>
            <w:tcW w:w="1124" w:type="dxa"/>
            <w:tcBorders>
              <w:top w:val="single" w:sz="6" w:space="0" w:color="auto"/>
              <w:left w:val="single" w:sz="4" w:space="0" w:color="auto"/>
              <w:bottom w:val="single" w:sz="4" w:space="0" w:color="auto"/>
              <w:right w:val="single" w:sz="4" w:space="0" w:color="auto"/>
            </w:tcBorders>
            <w:shd w:val="clear" w:color="auto" w:fill="auto"/>
            <w:vAlign w:val="center"/>
          </w:tcPr>
          <w:p w14:paraId="508CF1EA" w14:textId="77777777" w:rsidR="00D7521F" w:rsidRDefault="00D7521F" w:rsidP="00B84AAB">
            <w:pPr>
              <w:spacing w:before="40" w:after="40" w:line="240" w:lineRule="auto"/>
              <w:ind w:left="57" w:right="57"/>
              <w:jc w:val="center"/>
              <w:rPr>
                <w:lang w:eastAsia="ko-KR"/>
              </w:rPr>
            </w:pPr>
          </w:p>
        </w:tc>
        <w:tc>
          <w:tcPr>
            <w:tcW w:w="3513" w:type="dxa"/>
            <w:tcBorders>
              <w:top w:val="single" w:sz="6" w:space="0" w:color="auto"/>
              <w:left w:val="single" w:sz="4" w:space="0" w:color="auto"/>
              <w:bottom w:val="single" w:sz="4" w:space="0" w:color="auto"/>
              <w:right w:val="single" w:sz="4" w:space="0" w:color="auto"/>
            </w:tcBorders>
            <w:shd w:val="clear" w:color="auto" w:fill="auto"/>
            <w:vAlign w:val="center"/>
          </w:tcPr>
          <w:p w14:paraId="4A298A21" w14:textId="77777777" w:rsidR="00D7521F" w:rsidRPr="001110BF" w:rsidRDefault="00D7521F" w:rsidP="00B84AAB">
            <w:pPr>
              <w:spacing w:before="40" w:after="40" w:line="240" w:lineRule="auto"/>
              <w:ind w:left="57" w:right="57"/>
              <w:jc w:val="center"/>
              <w:rPr>
                <w:lang w:val="it-IT" w:eastAsia="ko-KR"/>
              </w:rPr>
            </w:pPr>
            <w:r w:rsidRPr="001110BF">
              <w:rPr>
                <w:rFonts w:hint="eastAsia"/>
                <w:lang w:val="it-IT" w:eastAsia="ko-KR"/>
              </w:rPr>
              <w:t>LD</w:t>
            </w:r>
            <w:r w:rsidRPr="001110BF">
              <w:rPr>
                <w:rFonts w:hint="eastAsia"/>
                <w:vertAlign w:val="subscript"/>
                <w:lang w:val="it-IT" w:eastAsia="ko-KR"/>
              </w:rPr>
              <w:t>50</w:t>
            </w:r>
            <w:r w:rsidRPr="001110BF">
              <w:rPr>
                <w:rFonts w:hint="eastAsia"/>
                <w:lang w:val="it-IT" w:eastAsia="ko-KR"/>
              </w:rPr>
              <w:t>=520</w:t>
            </w:r>
            <w:r w:rsidRPr="001110BF">
              <w:rPr>
                <w:lang w:val="it-IT" w:eastAsia="ko-KR"/>
              </w:rPr>
              <w:t xml:space="preserve"> </w:t>
            </w:r>
            <w:r w:rsidRPr="001110BF">
              <w:rPr>
                <w:rFonts w:hint="eastAsia"/>
                <w:lang w:val="it-IT" w:eastAsia="ko-KR"/>
              </w:rPr>
              <w:t>mg/kg</w:t>
            </w:r>
            <w:r w:rsidRPr="001110BF">
              <w:rPr>
                <w:lang w:val="it-IT" w:eastAsia="ko-KR"/>
              </w:rPr>
              <w:t xml:space="preserve"> (</w:t>
            </w:r>
            <w:r w:rsidRPr="001110BF">
              <w:rPr>
                <w:rFonts w:hint="eastAsia"/>
                <w:lang w:val="it-IT" w:eastAsia="ko-KR"/>
              </w:rPr>
              <w:t>guinea pig)</w:t>
            </w:r>
          </w:p>
        </w:tc>
        <w:tc>
          <w:tcPr>
            <w:tcW w:w="1265" w:type="dxa"/>
            <w:tcBorders>
              <w:top w:val="single" w:sz="6" w:space="0" w:color="auto"/>
              <w:left w:val="single" w:sz="4" w:space="0" w:color="auto"/>
              <w:bottom w:val="single" w:sz="4" w:space="0" w:color="auto"/>
              <w:right w:val="single" w:sz="4" w:space="0" w:color="auto"/>
            </w:tcBorders>
            <w:shd w:val="clear" w:color="auto" w:fill="auto"/>
            <w:vAlign w:val="center"/>
          </w:tcPr>
          <w:p w14:paraId="36A4F1F3" w14:textId="77777777" w:rsidR="00D7521F" w:rsidRDefault="00D7521F" w:rsidP="00B84AAB">
            <w:pPr>
              <w:spacing w:before="40" w:after="40" w:line="240" w:lineRule="auto"/>
              <w:ind w:left="57" w:right="57"/>
              <w:jc w:val="center"/>
              <w:rPr>
                <w:lang w:eastAsia="ko-KR"/>
              </w:rPr>
            </w:pPr>
            <w:r>
              <w:rPr>
                <w:rFonts w:hint="eastAsia"/>
                <w:lang w:eastAsia="ko-KR"/>
              </w:rPr>
              <w:t xml:space="preserve">Cat. </w:t>
            </w:r>
            <w:r>
              <w:rPr>
                <w:lang w:eastAsia="ko-KR"/>
              </w:rPr>
              <w:t>4</w:t>
            </w:r>
          </w:p>
        </w:tc>
        <w:tc>
          <w:tcPr>
            <w:tcW w:w="4424" w:type="dxa"/>
            <w:tcBorders>
              <w:top w:val="single" w:sz="6" w:space="0" w:color="auto"/>
              <w:left w:val="single" w:sz="4" w:space="0" w:color="auto"/>
            </w:tcBorders>
            <w:shd w:val="clear" w:color="auto" w:fill="auto"/>
            <w:vAlign w:val="center"/>
          </w:tcPr>
          <w:p w14:paraId="70E2C892" w14:textId="77777777" w:rsidR="00D7521F" w:rsidRPr="00BB315E" w:rsidRDefault="00627985" w:rsidP="00B84AAB">
            <w:pPr>
              <w:spacing w:before="40" w:after="40" w:line="240" w:lineRule="auto"/>
              <w:ind w:left="57" w:right="57"/>
              <w:jc w:val="center"/>
              <w:rPr>
                <w:color w:val="4F81BD" w:themeColor="accent1"/>
              </w:rPr>
            </w:pPr>
            <w:hyperlink r:id="rId27" w:anchor="section=NIOSH-Toxicity-Data&amp;fullscreen=true" w:history="1">
              <w:r w:rsidR="00D7521F" w:rsidRPr="00BB315E">
                <w:rPr>
                  <w:rStyle w:val="Hyperlink"/>
                  <w:color w:val="4F81BD" w:themeColor="accent1"/>
                </w:rPr>
                <w:t>https://pubchem.ncbi.nlm.nih.gov/compound/7415#section=NIOSH-Toxicity-Data&amp;fullscreen=true</w:t>
              </w:r>
            </w:hyperlink>
          </w:p>
        </w:tc>
      </w:tr>
      <w:tr w:rsidR="00D7521F" w14:paraId="010421D6" w14:textId="77777777" w:rsidTr="00B84AAB">
        <w:trPr>
          <w:gridAfter w:val="1"/>
          <w:wAfter w:w="7" w:type="dxa"/>
          <w:trHeight w:val="115"/>
        </w:trPr>
        <w:tc>
          <w:tcPr>
            <w:tcW w:w="1128" w:type="dxa"/>
            <w:vMerge/>
            <w:shd w:val="clear" w:color="auto" w:fill="auto"/>
            <w:vAlign w:val="center"/>
          </w:tcPr>
          <w:p w14:paraId="6C54BBE4" w14:textId="77777777" w:rsidR="00D7521F" w:rsidRDefault="00D7521F" w:rsidP="00B84AAB">
            <w:pPr>
              <w:spacing w:before="40" w:after="40" w:line="240" w:lineRule="auto"/>
              <w:ind w:left="57" w:right="57"/>
              <w:jc w:val="center"/>
              <w:rPr>
                <w:lang w:eastAsia="ko-KR"/>
              </w:rPr>
            </w:pPr>
          </w:p>
        </w:tc>
        <w:tc>
          <w:tcPr>
            <w:tcW w:w="1446" w:type="dxa"/>
            <w:tcBorders>
              <w:top w:val="single" w:sz="4" w:space="0" w:color="auto"/>
              <w:bottom w:val="single" w:sz="4" w:space="0" w:color="auto"/>
              <w:right w:val="single" w:sz="4" w:space="0" w:color="auto"/>
            </w:tcBorders>
            <w:shd w:val="clear" w:color="auto" w:fill="auto"/>
            <w:vAlign w:val="center"/>
          </w:tcPr>
          <w:p w14:paraId="09B90A13" w14:textId="77777777" w:rsidR="00D7521F" w:rsidRDefault="00D7521F" w:rsidP="00B84AAB">
            <w:pPr>
              <w:spacing w:before="40" w:after="40" w:line="240" w:lineRule="auto"/>
              <w:ind w:left="57" w:right="57"/>
              <w:jc w:val="center"/>
            </w:pPr>
            <w:r w:rsidRPr="00DB405A">
              <w:rPr>
                <w:rFonts w:hint="eastAsia"/>
                <w:lang w:eastAsia="ko-KR"/>
              </w:rPr>
              <w:t>Publication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1AC43247" w14:textId="77777777" w:rsidR="00D7521F" w:rsidRDefault="00D7521F" w:rsidP="00B84AAB">
            <w:pPr>
              <w:spacing w:before="40" w:after="40" w:line="240" w:lineRule="auto"/>
              <w:ind w:left="57" w:right="57"/>
              <w:jc w:val="center"/>
              <w:rPr>
                <w:lang w:eastAsia="ko-KR"/>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3C98A2F" w14:textId="77777777" w:rsidR="00D7521F" w:rsidRDefault="00D7521F" w:rsidP="00B84AAB">
            <w:pPr>
              <w:spacing w:before="40" w:after="40" w:line="240" w:lineRule="auto"/>
              <w:ind w:left="57" w:right="57"/>
              <w:jc w:val="center"/>
              <w:rPr>
                <w:lang w:eastAsia="ko-KR"/>
              </w:rPr>
            </w:pP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14:paraId="15C7165A" w14:textId="77777777" w:rsidR="00D7521F" w:rsidRDefault="00D7521F" w:rsidP="00B84AAB">
            <w:pPr>
              <w:spacing w:before="40" w:after="40" w:line="240" w:lineRule="auto"/>
              <w:ind w:left="57" w:right="57"/>
              <w:jc w:val="center"/>
              <w:rPr>
                <w:lang w:eastAsia="ko-KR"/>
              </w:rPr>
            </w:pPr>
            <w:r>
              <w:rPr>
                <w:rFonts w:hint="eastAsia"/>
                <w:lang w:eastAsia="ko-KR"/>
              </w:rPr>
              <w:t>LD</w:t>
            </w:r>
            <w:r w:rsidRPr="00471534">
              <w:rPr>
                <w:rFonts w:hint="eastAsia"/>
                <w:vertAlign w:val="subscript"/>
                <w:lang w:eastAsia="ko-KR"/>
              </w:rPr>
              <w:t>50</w:t>
            </w:r>
            <w:r>
              <w:rPr>
                <w:rFonts w:hint="eastAsia"/>
                <w:lang w:eastAsia="ko-KR"/>
              </w:rPr>
              <w:t>=</w:t>
            </w:r>
            <w:r>
              <w:rPr>
                <w:lang w:eastAsia="ko-KR"/>
              </w:rPr>
              <w:t>3</w:t>
            </w:r>
            <w:r>
              <w:rPr>
                <w:rFonts w:hint="eastAsia"/>
                <w:lang w:eastAsia="ko-KR"/>
              </w:rPr>
              <w:t>20</w:t>
            </w:r>
            <w:r>
              <w:rPr>
                <w:lang w:eastAsia="ko-KR"/>
              </w:rPr>
              <w:t xml:space="preserve"> </w:t>
            </w:r>
            <w:r>
              <w:rPr>
                <w:rFonts w:hint="eastAsia"/>
                <w:lang w:eastAsia="ko-KR"/>
              </w:rPr>
              <w:t>mg/kg</w:t>
            </w:r>
            <w:r>
              <w:rPr>
                <w:lang w:eastAsia="ko-KR"/>
              </w:rPr>
              <w:t xml:space="preserve"> (mouse)</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11B1361E" w14:textId="77777777" w:rsidR="00D7521F" w:rsidRDefault="00D7521F" w:rsidP="00B84AAB">
            <w:pPr>
              <w:spacing w:before="40" w:after="40" w:line="240" w:lineRule="auto"/>
              <w:ind w:left="57" w:right="57"/>
              <w:jc w:val="center"/>
              <w:rPr>
                <w:lang w:eastAsia="ko-KR"/>
              </w:rPr>
            </w:pPr>
            <w:r>
              <w:rPr>
                <w:rFonts w:hint="eastAsia"/>
                <w:lang w:eastAsia="ko-KR"/>
              </w:rPr>
              <w:t xml:space="preserve">Cat. </w:t>
            </w:r>
            <w:r>
              <w:rPr>
                <w:lang w:eastAsia="ko-KR"/>
              </w:rPr>
              <w:t>4</w:t>
            </w:r>
          </w:p>
        </w:tc>
        <w:tc>
          <w:tcPr>
            <w:tcW w:w="4424" w:type="dxa"/>
            <w:tcBorders>
              <w:left w:val="single" w:sz="4" w:space="0" w:color="auto"/>
              <w:bottom w:val="single" w:sz="4" w:space="0" w:color="auto"/>
            </w:tcBorders>
            <w:shd w:val="clear" w:color="auto" w:fill="auto"/>
          </w:tcPr>
          <w:p w14:paraId="5675D1F2" w14:textId="77777777" w:rsidR="00D7521F" w:rsidRPr="00BB315E" w:rsidRDefault="00627985" w:rsidP="00B84AAB">
            <w:pPr>
              <w:spacing w:before="40" w:after="40" w:line="240" w:lineRule="auto"/>
              <w:ind w:left="57" w:right="57"/>
              <w:rPr>
                <w:color w:val="4F81BD" w:themeColor="accent1"/>
              </w:rPr>
            </w:pPr>
            <w:hyperlink r:id="rId28" w:anchor="section=NIOSH-Toxicity-Data&amp;fullscreen=true" w:history="1">
              <w:r w:rsidR="00D7521F" w:rsidRPr="00BB315E">
                <w:rPr>
                  <w:rStyle w:val="Hyperlink"/>
                  <w:color w:val="4F81BD" w:themeColor="accent1"/>
                </w:rPr>
                <w:t>https://pubchem.ncbi.nlm.nih.gov/compound/7415#section=NIOSH-Toxicity-Data&amp;fullscreen=true</w:t>
              </w:r>
            </w:hyperlink>
          </w:p>
        </w:tc>
      </w:tr>
      <w:tr w:rsidR="00D7521F" w14:paraId="117D1FC7" w14:textId="77777777" w:rsidTr="00B84AAB">
        <w:trPr>
          <w:gridAfter w:val="1"/>
          <w:wAfter w:w="7" w:type="dxa"/>
          <w:trHeight w:val="125"/>
        </w:trPr>
        <w:tc>
          <w:tcPr>
            <w:tcW w:w="1128" w:type="dxa"/>
            <w:vMerge/>
            <w:shd w:val="clear" w:color="auto" w:fill="auto"/>
            <w:vAlign w:val="center"/>
          </w:tcPr>
          <w:p w14:paraId="1692B7F5" w14:textId="77777777" w:rsidR="00D7521F" w:rsidRDefault="00D7521F" w:rsidP="00B84AAB">
            <w:pPr>
              <w:spacing w:before="40" w:after="40" w:line="240" w:lineRule="auto"/>
              <w:ind w:left="57" w:right="57"/>
              <w:jc w:val="center"/>
              <w:rPr>
                <w:lang w:eastAsia="ko-KR"/>
              </w:rPr>
            </w:pPr>
          </w:p>
        </w:tc>
        <w:tc>
          <w:tcPr>
            <w:tcW w:w="1446" w:type="dxa"/>
            <w:tcBorders>
              <w:top w:val="single" w:sz="4" w:space="0" w:color="auto"/>
              <w:bottom w:val="single" w:sz="4" w:space="0" w:color="auto"/>
              <w:right w:val="single" w:sz="4" w:space="0" w:color="auto"/>
            </w:tcBorders>
            <w:shd w:val="clear" w:color="auto" w:fill="auto"/>
            <w:vAlign w:val="center"/>
          </w:tcPr>
          <w:p w14:paraId="15A7E1BD" w14:textId="77777777" w:rsidR="00D7521F" w:rsidRDefault="00D7521F" w:rsidP="00B84AAB">
            <w:pPr>
              <w:spacing w:before="40" w:after="40" w:line="240" w:lineRule="auto"/>
              <w:ind w:left="57" w:right="57"/>
              <w:jc w:val="center"/>
            </w:pPr>
            <w:r w:rsidRPr="00DB405A">
              <w:rPr>
                <w:rFonts w:hint="eastAsia"/>
                <w:lang w:eastAsia="ko-KR"/>
              </w:rPr>
              <w:t>Publication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648BC352" w14:textId="77777777" w:rsidR="00D7521F" w:rsidRDefault="00D7521F" w:rsidP="00B84AAB">
            <w:pPr>
              <w:spacing w:before="40" w:after="40" w:line="240" w:lineRule="auto"/>
              <w:ind w:left="57" w:right="57"/>
              <w:jc w:val="center"/>
              <w:rPr>
                <w:lang w:eastAsia="ko-KR"/>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60D11710" w14:textId="77777777" w:rsidR="00D7521F" w:rsidRDefault="00D7521F" w:rsidP="00B84AAB">
            <w:pPr>
              <w:spacing w:before="40" w:after="40" w:line="240" w:lineRule="auto"/>
              <w:ind w:left="57" w:right="57"/>
              <w:jc w:val="center"/>
              <w:rPr>
                <w:lang w:eastAsia="ko-KR"/>
              </w:rPr>
            </w:pP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14:paraId="506EA31E" w14:textId="77777777" w:rsidR="00D7521F" w:rsidRDefault="00D7521F" w:rsidP="00B84AAB">
            <w:pPr>
              <w:spacing w:before="40" w:after="40" w:line="240" w:lineRule="auto"/>
              <w:ind w:left="57" w:right="57"/>
              <w:jc w:val="center"/>
              <w:rPr>
                <w:lang w:eastAsia="ko-KR"/>
              </w:rPr>
            </w:pPr>
            <w:r>
              <w:rPr>
                <w:rFonts w:hint="eastAsia"/>
                <w:lang w:eastAsia="ko-KR"/>
              </w:rPr>
              <w:t>LD</w:t>
            </w:r>
            <w:r w:rsidRPr="00471534">
              <w:rPr>
                <w:rFonts w:hint="eastAsia"/>
                <w:vertAlign w:val="subscript"/>
                <w:lang w:eastAsia="ko-KR"/>
              </w:rPr>
              <w:t>50</w:t>
            </w:r>
            <w:r>
              <w:rPr>
                <w:rFonts w:hint="eastAsia"/>
                <w:lang w:eastAsia="ko-KR"/>
              </w:rPr>
              <w:t>=</w:t>
            </w:r>
            <w:r>
              <w:rPr>
                <w:lang w:eastAsia="ko-KR"/>
              </w:rPr>
              <w:t>6</w:t>
            </w:r>
            <w:r>
              <w:rPr>
                <w:rFonts w:hint="eastAsia"/>
                <w:lang w:eastAsia="ko-KR"/>
              </w:rPr>
              <w:t>20</w:t>
            </w:r>
            <w:r>
              <w:rPr>
                <w:lang w:eastAsia="ko-KR"/>
              </w:rPr>
              <w:t xml:space="preserve"> </w:t>
            </w:r>
            <w:r>
              <w:rPr>
                <w:rFonts w:hint="eastAsia"/>
                <w:lang w:eastAsia="ko-KR"/>
              </w:rPr>
              <w:t>mg/kg</w:t>
            </w:r>
            <w:r>
              <w:rPr>
                <w:lang w:eastAsia="ko-KR"/>
              </w:rPr>
              <w:t xml:space="preserve"> (rabbit)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3F749BBA" w14:textId="77777777" w:rsidR="00D7521F" w:rsidRDefault="00D7521F" w:rsidP="00B84AAB">
            <w:pPr>
              <w:spacing w:before="40" w:after="40" w:line="240" w:lineRule="auto"/>
              <w:ind w:left="57" w:right="57"/>
              <w:jc w:val="center"/>
              <w:rPr>
                <w:lang w:eastAsia="ko-KR"/>
              </w:rPr>
            </w:pPr>
            <w:r>
              <w:rPr>
                <w:rFonts w:hint="eastAsia"/>
                <w:lang w:eastAsia="ko-KR"/>
              </w:rPr>
              <w:t xml:space="preserve">Cat. </w:t>
            </w:r>
            <w:r>
              <w:rPr>
                <w:lang w:eastAsia="ko-KR"/>
              </w:rPr>
              <w:t>4</w:t>
            </w:r>
          </w:p>
        </w:tc>
        <w:tc>
          <w:tcPr>
            <w:tcW w:w="4424" w:type="dxa"/>
            <w:tcBorders>
              <w:left w:val="single" w:sz="4" w:space="0" w:color="auto"/>
              <w:bottom w:val="single" w:sz="4" w:space="0" w:color="auto"/>
            </w:tcBorders>
            <w:shd w:val="clear" w:color="auto" w:fill="auto"/>
          </w:tcPr>
          <w:p w14:paraId="778702A3" w14:textId="77777777" w:rsidR="00D7521F" w:rsidRPr="00BB315E" w:rsidRDefault="00627985" w:rsidP="00B84AAB">
            <w:pPr>
              <w:spacing w:before="40" w:after="40" w:line="240" w:lineRule="auto"/>
              <w:ind w:left="57" w:right="57"/>
              <w:rPr>
                <w:color w:val="4F81BD" w:themeColor="accent1"/>
              </w:rPr>
            </w:pPr>
            <w:hyperlink r:id="rId29" w:anchor="section=NIOSH-Toxicity-Data&amp;fullscreen=true" w:history="1">
              <w:r w:rsidR="00D7521F" w:rsidRPr="00BB315E">
                <w:rPr>
                  <w:rStyle w:val="Hyperlink"/>
                  <w:color w:val="4F81BD" w:themeColor="accent1"/>
                </w:rPr>
                <w:t>https://pubchem.ncbi.nlm.nih.gov/compound/7415#section=NIOSH-Toxicity-Data&amp;fullscreen=true</w:t>
              </w:r>
            </w:hyperlink>
          </w:p>
        </w:tc>
      </w:tr>
      <w:tr w:rsidR="00D7521F" w14:paraId="4641F443" w14:textId="77777777" w:rsidTr="00B84AAB">
        <w:trPr>
          <w:gridAfter w:val="1"/>
          <w:wAfter w:w="7" w:type="dxa"/>
          <w:trHeight w:val="78"/>
        </w:trPr>
        <w:tc>
          <w:tcPr>
            <w:tcW w:w="1128" w:type="dxa"/>
            <w:vMerge/>
            <w:shd w:val="clear" w:color="auto" w:fill="auto"/>
            <w:vAlign w:val="center"/>
          </w:tcPr>
          <w:p w14:paraId="0838D2D0" w14:textId="77777777" w:rsidR="00D7521F" w:rsidRDefault="00D7521F" w:rsidP="00B84AAB">
            <w:pPr>
              <w:spacing w:before="40" w:after="40" w:line="240" w:lineRule="auto"/>
              <w:ind w:left="57" w:right="57"/>
              <w:jc w:val="center"/>
              <w:rPr>
                <w:lang w:eastAsia="ko-KR"/>
              </w:rPr>
            </w:pPr>
          </w:p>
        </w:tc>
        <w:tc>
          <w:tcPr>
            <w:tcW w:w="1446" w:type="dxa"/>
            <w:tcBorders>
              <w:top w:val="single" w:sz="4" w:space="0" w:color="auto"/>
              <w:bottom w:val="single" w:sz="4" w:space="0" w:color="auto"/>
              <w:right w:val="single" w:sz="4" w:space="0" w:color="auto"/>
            </w:tcBorders>
            <w:shd w:val="clear" w:color="auto" w:fill="auto"/>
            <w:vAlign w:val="center"/>
          </w:tcPr>
          <w:p w14:paraId="06FC2DEA" w14:textId="77777777" w:rsidR="00D7521F" w:rsidRDefault="00D7521F" w:rsidP="00B84AAB">
            <w:pPr>
              <w:spacing w:before="40" w:after="40" w:line="240" w:lineRule="auto"/>
              <w:ind w:left="57" w:right="57"/>
              <w:jc w:val="center"/>
            </w:pPr>
            <w:r w:rsidRPr="00DB405A">
              <w:rPr>
                <w:rFonts w:hint="eastAsia"/>
                <w:lang w:eastAsia="ko-KR"/>
              </w:rPr>
              <w:t>Publication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137A0DE7" w14:textId="77777777" w:rsidR="00D7521F" w:rsidRDefault="00D7521F" w:rsidP="00B84AAB">
            <w:pPr>
              <w:spacing w:before="40" w:after="40" w:line="240" w:lineRule="auto"/>
              <w:ind w:left="57" w:right="57"/>
              <w:jc w:val="center"/>
              <w:rPr>
                <w:lang w:eastAsia="ko-KR"/>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4C740A9E" w14:textId="77777777" w:rsidR="00D7521F" w:rsidRDefault="00D7521F" w:rsidP="00B84AAB">
            <w:pPr>
              <w:spacing w:before="40" w:after="40" w:line="240" w:lineRule="auto"/>
              <w:ind w:left="57" w:right="57"/>
              <w:jc w:val="center"/>
              <w:rPr>
                <w:lang w:eastAsia="ko-KR"/>
              </w:rPr>
            </w:pP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14:paraId="1AC835FA" w14:textId="77777777" w:rsidR="00D7521F" w:rsidRDefault="00D7521F" w:rsidP="00B84AAB">
            <w:pPr>
              <w:spacing w:before="40" w:after="40" w:line="240" w:lineRule="auto"/>
              <w:ind w:left="57" w:right="57"/>
              <w:jc w:val="center"/>
              <w:rPr>
                <w:lang w:eastAsia="ko-KR"/>
              </w:rPr>
            </w:pPr>
            <w:r>
              <w:rPr>
                <w:rFonts w:hint="eastAsia"/>
                <w:lang w:eastAsia="ko-KR"/>
              </w:rPr>
              <w:t>LD</w:t>
            </w:r>
            <w:r w:rsidRPr="00471534">
              <w:rPr>
                <w:rFonts w:hint="eastAsia"/>
                <w:vertAlign w:val="subscript"/>
                <w:lang w:eastAsia="ko-KR"/>
              </w:rPr>
              <w:t>50</w:t>
            </w:r>
            <w:r>
              <w:rPr>
                <w:rFonts w:hint="eastAsia"/>
                <w:lang w:eastAsia="ko-KR"/>
              </w:rPr>
              <w:t>=</w:t>
            </w:r>
            <w:r>
              <w:rPr>
                <w:lang w:eastAsia="ko-KR"/>
              </w:rPr>
              <w:t xml:space="preserve">348 </w:t>
            </w:r>
            <w:r>
              <w:rPr>
                <w:rFonts w:hint="eastAsia"/>
                <w:lang w:eastAsia="ko-KR"/>
              </w:rPr>
              <w:t>mg/kg</w:t>
            </w:r>
            <w:r>
              <w:rPr>
                <w:lang w:eastAsia="ko-KR"/>
              </w:rPr>
              <w:t xml:space="preserve"> (rat)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0DCB84DA" w14:textId="77777777" w:rsidR="00D7521F" w:rsidRDefault="00D7521F" w:rsidP="00B84AAB">
            <w:pPr>
              <w:spacing w:before="40" w:after="40" w:line="240" w:lineRule="auto"/>
              <w:ind w:left="57" w:right="57"/>
              <w:jc w:val="center"/>
              <w:rPr>
                <w:lang w:eastAsia="ko-KR"/>
              </w:rPr>
            </w:pPr>
            <w:r>
              <w:rPr>
                <w:rFonts w:hint="eastAsia"/>
                <w:lang w:eastAsia="ko-KR"/>
              </w:rPr>
              <w:t xml:space="preserve">Cat. </w:t>
            </w:r>
            <w:r>
              <w:rPr>
                <w:lang w:eastAsia="ko-KR"/>
              </w:rPr>
              <w:t>4</w:t>
            </w:r>
          </w:p>
        </w:tc>
        <w:tc>
          <w:tcPr>
            <w:tcW w:w="4424" w:type="dxa"/>
            <w:tcBorders>
              <w:left w:val="single" w:sz="4" w:space="0" w:color="auto"/>
              <w:bottom w:val="single" w:sz="4" w:space="0" w:color="auto"/>
            </w:tcBorders>
            <w:shd w:val="clear" w:color="auto" w:fill="auto"/>
          </w:tcPr>
          <w:p w14:paraId="53B4482E" w14:textId="77777777" w:rsidR="00D7521F" w:rsidRPr="00BB315E" w:rsidRDefault="00627985" w:rsidP="00B84AAB">
            <w:pPr>
              <w:spacing w:before="40" w:after="40" w:line="240" w:lineRule="auto"/>
              <w:ind w:left="57" w:right="57"/>
              <w:rPr>
                <w:color w:val="4F81BD" w:themeColor="accent1"/>
              </w:rPr>
            </w:pPr>
            <w:hyperlink r:id="rId30" w:anchor="section=NIOSH-Toxicity-Data&amp;fullscreen=true" w:history="1">
              <w:r w:rsidR="00D7521F" w:rsidRPr="00BB315E">
                <w:rPr>
                  <w:rStyle w:val="Hyperlink"/>
                  <w:color w:val="4F81BD" w:themeColor="accent1"/>
                </w:rPr>
                <w:t>https://pubchem.ncbi.nlm.nih.gov/compound/7415#section=NIOSH-Toxicity-Data&amp;fullscreen=true</w:t>
              </w:r>
            </w:hyperlink>
          </w:p>
        </w:tc>
      </w:tr>
      <w:tr w:rsidR="00D7521F" w:rsidRPr="00692207" w14:paraId="32AB7848" w14:textId="77777777" w:rsidTr="00B84AAB">
        <w:trPr>
          <w:gridAfter w:val="1"/>
          <w:wAfter w:w="6" w:type="dxa"/>
          <w:trHeight w:val="1187"/>
        </w:trPr>
        <w:tc>
          <w:tcPr>
            <w:tcW w:w="1128" w:type="dxa"/>
            <w:vMerge/>
            <w:shd w:val="clear" w:color="auto" w:fill="auto"/>
            <w:vAlign w:val="center"/>
          </w:tcPr>
          <w:p w14:paraId="6B44893A" w14:textId="77777777" w:rsidR="00D7521F" w:rsidRDefault="00D7521F" w:rsidP="00B84AAB">
            <w:pPr>
              <w:spacing w:before="40" w:after="40" w:line="240" w:lineRule="auto"/>
              <w:ind w:left="57" w:right="57"/>
              <w:jc w:val="center"/>
              <w:rPr>
                <w:lang w:eastAsia="ko-KR"/>
              </w:rPr>
            </w:pPr>
          </w:p>
        </w:tc>
        <w:tc>
          <w:tcPr>
            <w:tcW w:w="12644" w:type="dxa"/>
            <w:gridSpan w:val="6"/>
            <w:tcBorders>
              <w:top w:val="single" w:sz="4" w:space="0" w:color="auto"/>
            </w:tcBorders>
            <w:shd w:val="clear" w:color="auto" w:fill="auto"/>
            <w:vAlign w:val="center"/>
          </w:tcPr>
          <w:p w14:paraId="3F515C93" w14:textId="77777777" w:rsidR="00D7521F" w:rsidRPr="00CE5FDF" w:rsidRDefault="00D7521F" w:rsidP="00B84AAB">
            <w:pPr>
              <w:spacing w:before="40" w:after="40" w:line="240" w:lineRule="auto"/>
              <w:ind w:left="57" w:right="57"/>
              <w:rPr>
                <w:lang w:val="en-US" w:eastAsia="ko-KR"/>
              </w:rPr>
            </w:pPr>
            <w:r w:rsidRPr="00B44EC9">
              <w:rPr>
                <w:rFonts w:hint="eastAsia"/>
                <w:lang w:val="en-US" w:eastAsia="ko-KR"/>
              </w:rPr>
              <w:t xml:space="preserve">- </w:t>
            </w:r>
            <w:r w:rsidRPr="00B44EC9">
              <w:rPr>
                <w:lang w:val="en-US" w:eastAsia="ko-KR"/>
              </w:rPr>
              <w:t>Highly reliable studies on acute oral toxicity of N.N-Dimethyl cyclohexylamine are very limited.</w:t>
            </w:r>
          </w:p>
          <w:p w14:paraId="2F593976" w14:textId="77777777" w:rsidR="00D7521F" w:rsidRPr="00B44EC9" w:rsidRDefault="00D7521F" w:rsidP="00B84AAB">
            <w:pPr>
              <w:spacing w:before="40" w:after="40" w:line="240" w:lineRule="auto"/>
              <w:ind w:left="57" w:right="57"/>
              <w:rPr>
                <w:lang w:val="en-US" w:eastAsia="ko-KR"/>
              </w:rPr>
            </w:pPr>
            <w:r w:rsidRPr="00B44EC9">
              <w:rPr>
                <w:rFonts w:hint="eastAsia"/>
                <w:lang w:val="en-US" w:eastAsia="ko-KR"/>
              </w:rPr>
              <w:t xml:space="preserve">- </w:t>
            </w:r>
            <w:r w:rsidRPr="00B44EC9">
              <w:rPr>
                <w:lang w:val="en-US" w:eastAsia="ko-KR"/>
              </w:rPr>
              <w:t>The EU REACH registration data only cites one test report conducted in 1979 and represents GHS Cat.3.</w:t>
            </w:r>
          </w:p>
          <w:p w14:paraId="0CFE3757" w14:textId="77777777" w:rsidR="00D7521F" w:rsidRPr="009D1434" w:rsidRDefault="00D7521F" w:rsidP="00B84AAB">
            <w:pPr>
              <w:spacing w:before="40" w:after="40" w:line="240" w:lineRule="auto"/>
              <w:ind w:left="57" w:right="57"/>
              <w:rPr>
                <w:lang w:val="en-US" w:eastAsia="ko-KR"/>
              </w:rPr>
            </w:pPr>
            <w:r w:rsidRPr="00B44EC9">
              <w:rPr>
                <w:lang w:val="en-US" w:eastAsia="ko-KR"/>
              </w:rPr>
              <w:t xml:space="preserve">- </w:t>
            </w:r>
            <w:r w:rsidRPr="00B44EC9">
              <w:rPr>
                <w:rFonts w:hint="eastAsia"/>
                <w:lang w:val="en-US" w:eastAsia="ko-KR"/>
              </w:rPr>
              <w:t>S</w:t>
            </w:r>
            <w:r w:rsidRPr="00B44EC9">
              <w:rPr>
                <w:lang w:val="en-US" w:eastAsia="ko-KR"/>
              </w:rPr>
              <w:t>everal data were available on other literature and NIOSH TOXICITY DATA, and all of the data were assigned as Cat.4.</w:t>
            </w:r>
          </w:p>
          <w:p w14:paraId="0F9DC56C" w14:textId="77777777" w:rsidR="00D7521F" w:rsidRPr="00B44EC9" w:rsidRDefault="00D7521F" w:rsidP="00B84AAB">
            <w:pPr>
              <w:spacing w:before="40" w:after="40" w:line="240" w:lineRule="auto"/>
              <w:ind w:left="57" w:right="57"/>
              <w:rPr>
                <w:lang w:val="en-US" w:eastAsia="ko-KR"/>
              </w:rPr>
            </w:pPr>
            <w:r w:rsidRPr="00B44EC9">
              <w:rPr>
                <w:rFonts w:hint="eastAsia"/>
                <w:lang w:val="en-US" w:eastAsia="ko-KR"/>
              </w:rPr>
              <w:t>-</w:t>
            </w:r>
            <w:r w:rsidRPr="00B44EC9">
              <w:rPr>
                <w:lang w:val="en-US" w:eastAsia="ko-KR"/>
              </w:rPr>
              <w:t xml:space="preserve"> </w:t>
            </w:r>
            <w:r w:rsidRPr="00B44EC9">
              <w:rPr>
                <w:rFonts w:hint="eastAsia"/>
                <w:lang w:val="en-US" w:eastAsia="ko-KR"/>
              </w:rPr>
              <w:t>P</w:t>
            </w:r>
            <w:r w:rsidRPr="00B44EC9">
              <w:rPr>
                <w:lang w:val="en-US" w:eastAsia="ko-KR"/>
              </w:rPr>
              <w:t>rovided that the data is equally reliable, the acute oral toxicity of N,N-Dimethyl cyclohexylamine is considered to be assigned as GHS Cat.3 and therefore, it meets the classification criteria of PG</w:t>
            </w:r>
            <w:r w:rsidRPr="00B44EC9">
              <w:rPr>
                <w:rFonts w:ascii="NanumGothic" w:eastAsia="NanumGothic" w:hAnsi="NanumGothic" w:hint="eastAsia"/>
                <w:lang w:val="en-US" w:eastAsia="ko-KR"/>
              </w:rPr>
              <w:t>Ⅲ</w:t>
            </w:r>
            <w:r w:rsidRPr="00B44EC9">
              <w:rPr>
                <w:lang w:val="en-US" w:eastAsia="ko-KR"/>
              </w:rPr>
              <w:t xml:space="preserve"> for Division 6.1, according to the worst data cited in</w:t>
            </w:r>
            <w:r w:rsidRPr="00B44EC9">
              <w:rPr>
                <w:rFonts w:hint="eastAsia"/>
                <w:lang w:val="en-US" w:eastAsia="ko-KR"/>
              </w:rPr>
              <w:t xml:space="preserve"> </w:t>
            </w:r>
            <w:r w:rsidRPr="00B44EC9">
              <w:rPr>
                <w:lang w:val="en-US" w:eastAsia="ko-KR"/>
              </w:rPr>
              <w:t>SIDS Initial assessment profile</w:t>
            </w:r>
            <w:r w:rsidRPr="00B44EC9">
              <w:rPr>
                <w:rFonts w:hint="eastAsia"/>
                <w:lang w:val="en-US" w:eastAsia="ko-KR"/>
              </w:rPr>
              <w:t>s</w:t>
            </w:r>
            <w:r w:rsidRPr="00B44EC9">
              <w:rPr>
                <w:lang w:val="en-US" w:eastAsia="ko-KR"/>
              </w:rPr>
              <w:t xml:space="preserve"> (</w:t>
            </w:r>
            <w:hyperlink r:id="rId31" w:history="1">
              <w:r w:rsidRPr="00B44EC9">
                <w:rPr>
                  <w:lang w:val="en-US" w:eastAsia="ko-KR"/>
                </w:rPr>
                <w:t>https://hpvchemicals.oecd.org/UI/handler.axd?id=ee5efcff-697d-48f7-ab7d-032356a83370</w:t>
              </w:r>
            </w:hyperlink>
            <w:r w:rsidRPr="00B44EC9">
              <w:rPr>
                <w:lang w:val="en-US" w:eastAsia="ko-KR"/>
              </w:rPr>
              <w:t>).</w:t>
            </w:r>
          </w:p>
        </w:tc>
      </w:tr>
      <w:tr w:rsidR="00D7521F" w14:paraId="0D946BD1" w14:textId="77777777" w:rsidTr="00B84AAB">
        <w:trPr>
          <w:gridAfter w:val="1"/>
          <w:wAfter w:w="7" w:type="dxa"/>
        </w:trPr>
        <w:tc>
          <w:tcPr>
            <w:tcW w:w="1128" w:type="dxa"/>
            <w:vMerge w:val="restart"/>
            <w:shd w:val="clear" w:color="auto" w:fill="auto"/>
            <w:vAlign w:val="center"/>
          </w:tcPr>
          <w:p w14:paraId="773236E6" w14:textId="77777777" w:rsidR="00D7521F" w:rsidRDefault="00D7521F" w:rsidP="00B84AAB">
            <w:pPr>
              <w:keepNext/>
              <w:keepLines/>
              <w:spacing w:before="40" w:after="40" w:line="240" w:lineRule="auto"/>
              <w:ind w:left="57" w:right="57"/>
              <w:jc w:val="center"/>
              <w:rPr>
                <w:lang w:eastAsia="ko-KR"/>
              </w:rPr>
            </w:pPr>
            <w:r w:rsidRPr="00B44EC9">
              <w:rPr>
                <w:lang w:val="en-US" w:eastAsia="ko-KR"/>
              </w:rPr>
              <w:lastRenderedPageBreak/>
              <w:t xml:space="preserve"> </w:t>
            </w:r>
            <w:r>
              <w:rPr>
                <w:lang w:eastAsia="ko-KR"/>
              </w:rPr>
              <w:t>Dermal</w:t>
            </w:r>
          </w:p>
        </w:tc>
        <w:tc>
          <w:tcPr>
            <w:tcW w:w="1446" w:type="dxa"/>
            <w:shd w:val="clear" w:color="auto" w:fill="auto"/>
            <w:vAlign w:val="center"/>
          </w:tcPr>
          <w:p w14:paraId="5C71001A" w14:textId="77777777" w:rsidR="00D7521F" w:rsidRDefault="00D7521F" w:rsidP="00B84AAB">
            <w:pPr>
              <w:keepNext/>
              <w:keepLines/>
              <w:spacing w:before="40" w:after="40" w:line="240" w:lineRule="auto"/>
              <w:ind w:left="57" w:right="57"/>
              <w:jc w:val="center"/>
              <w:rPr>
                <w:lang w:eastAsia="ko-KR"/>
              </w:rPr>
            </w:pPr>
            <w:r>
              <w:rPr>
                <w:rFonts w:hint="eastAsia"/>
                <w:lang w:eastAsia="ko-KR"/>
              </w:rPr>
              <w:t>Study report</w:t>
            </w:r>
          </w:p>
        </w:tc>
        <w:tc>
          <w:tcPr>
            <w:tcW w:w="871" w:type="dxa"/>
            <w:shd w:val="clear" w:color="auto" w:fill="auto"/>
            <w:vAlign w:val="center"/>
          </w:tcPr>
          <w:p w14:paraId="761DCAAC" w14:textId="77777777" w:rsidR="00D7521F" w:rsidRDefault="00D7521F" w:rsidP="00B84AAB">
            <w:pPr>
              <w:keepNext/>
              <w:keepLines/>
              <w:spacing w:before="40" w:after="40" w:line="240" w:lineRule="auto"/>
              <w:ind w:left="57" w:right="57"/>
              <w:jc w:val="center"/>
              <w:rPr>
                <w:lang w:eastAsia="ko-KR"/>
              </w:rPr>
            </w:pPr>
            <w:r>
              <w:rPr>
                <w:rFonts w:hint="eastAsia"/>
                <w:lang w:eastAsia="ko-KR"/>
              </w:rPr>
              <w:t>Yes</w:t>
            </w:r>
          </w:p>
        </w:tc>
        <w:tc>
          <w:tcPr>
            <w:tcW w:w="1124" w:type="dxa"/>
            <w:tcBorders>
              <w:right w:val="single" w:sz="4" w:space="0" w:color="auto"/>
            </w:tcBorders>
            <w:shd w:val="clear" w:color="auto" w:fill="auto"/>
            <w:vAlign w:val="center"/>
          </w:tcPr>
          <w:p w14:paraId="6FF51188" w14:textId="77777777" w:rsidR="00D7521F" w:rsidRDefault="00D7521F" w:rsidP="00B84AAB">
            <w:pPr>
              <w:keepNext/>
              <w:keepLines/>
              <w:spacing w:before="40" w:after="40" w:line="240" w:lineRule="auto"/>
              <w:ind w:left="57" w:right="57"/>
              <w:jc w:val="center"/>
              <w:rPr>
                <w:lang w:eastAsia="ko-KR"/>
              </w:rPr>
            </w:pPr>
            <w:r>
              <w:rPr>
                <w:rFonts w:hint="eastAsia"/>
                <w:lang w:eastAsia="ko-KR"/>
              </w:rPr>
              <w:t>2</w:t>
            </w:r>
          </w:p>
        </w:tc>
        <w:tc>
          <w:tcPr>
            <w:tcW w:w="3513" w:type="dxa"/>
            <w:tcBorders>
              <w:top w:val="single" w:sz="4" w:space="0" w:color="auto"/>
              <w:left w:val="single" w:sz="4" w:space="0" w:color="auto"/>
              <w:bottom w:val="single" w:sz="4" w:space="0" w:color="auto"/>
            </w:tcBorders>
            <w:shd w:val="clear" w:color="auto" w:fill="F7CAAC"/>
            <w:vAlign w:val="center"/>
          </w:tcPr>
          <w:p w14:paraId="27AE81B9" w14:textId="77777777" w:rsidR="00D7521F" w:rsidRDefault="00D7521F" w:rsidP="00B84AAB">
            <w:pPr>
              <w:keepNext/>
              <w:keepLines/>
              <w:spacing w:before="40" w:after="40" w:line="240" w:lineRule="auto"/>
              <w:ind w:left="57" w:right="57"/>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w:t>
            </w:r>
            <w:r w:rsidRPr="00C75D48">
              <w:rPr>
                <w:lang w:eastAsia="ko-KR"/>
              </w:rPr>
              <w:t>rat</w:t>
            </w:r>
            <w:r w:rsidRPr="00C75D48">
              <w:rPr>
                <w:rFonts w:hint="eastAsia"/>
                <w:lang w:eastAsia="ko-KR"/>
              </w:rPr>
              <w:t xml:space="preserve">) </w:t>
            </w:r>
            <w:r w:rsidRPr="00AC5A27">
              <w:rPr>
                <w:lang w:eastAsia="ko-KR"/>
              </w:rPr>
              <w:t>380</w:t>
            </w:r>
            <w:r w:rsidRPr="00AC5A27">
              <w:rPr>
                <w:rFonts w:hint="eastAsia"/>
                <w:lang w:eastAsia="ko-KR"/>
              </w:rPr>
              <w:t xml:space="preserve"> mg</w:t>
            </w:r>
            <w:r>
              <w:rPr>
                <w:rFonts w:hint="eastAsia"/>
                <w:lang w:eastAsia="ko-KR"/>
              </w:rPr>
              <w:t>/kg</w:t>
            </w:r>
          </w:p>
        </w:tc>
        <w:tc>
          <w:tcPr>
            <w:tcW w:w="1265" w:type="dxa"/>
            <w:tcBorders>
              <w:top w:val="single" w:sz="4" w:space="0" w:color="auto"/>
              <w:bottom w:val="single" w:sz="4" w:space="0" w:color="auto"/>
              <w:right w:val="single" w:sz="4" w:space="0" w:color="auto"/>
            </w:tcBorders>
            <w:shd w:val="clear" w:color="auto" w:fill="F7CAAC"/>
            <w:vAlign w:val="center"/>
          </w:tcPr>
          <w:p w14:paraId="6CB35EA9" w14:textId="77777777" w:rsidR="00D7521F" w:rsidRDefault="00D7521F" w:rsidP="00B84AAB">
            <w:pPr>
              <w:keepNext/>
              <w:keepLines/>
              <w:spacing w:before="40" w:after="40" w:line="240" w:lineRule="auto"/>
              <w:ind w:left="57" w:right="57"/>
              <w:jc w:val="center"/>
              <w:rPr>
                <w:lang w:eastAsia="ko-KR"/>
              </w:rPr>
            </w:pPr>
            <w:r>
              <w:rPr>
                <w:rFonts w:hint="eastAsia"/>
                <w:lang w:eastAsia="ko-KR"/>
              </w:rPr>
              <w:t>Cat.3</w:t>
            </w:r>
          </w:p>
        </w:tc>
        <w:tc>
          <w:tcPr>
            <w:tcW w:w="4424" w:type="dxa"/>
            <w:tcBorders>
              <w:left w:val="single" w:sz="4" w:space="0" w:color="auto"/>
            </w:tcBorders>
            <w:shd w:val="clear" w:color="auto" w:fill="auto"/>
            <w:vAlign w:val="center"/>
          </w:tcPr>
          <w:p w14:paraId="38436C09" w14:textId="77777777" w:rsidR="00D7521F" w:rsidRPr="00BB315E" w:rsidRDefault="00627985" w:rsidP="00B84AAB">
            <w:pPr>
              <w:keepNext/>
              <w:keepLines/>
              <w:spacing w:before="40" w:after="40" w:line="240" w:lineRule="auto"/>
              <w:ind w:left="57" w:right="57"/>
              <w:jc w:val="center"/>
              <w:rPr>
                <w:color w:val="4F81BD" w:themeColor="accent1"/>
                <w:highlight w:val="yellow"/>
                <w:lang w:eastAsia="ko-KR"/>
              </w:rPr>
            </w:pPr>
            <w:hyperlink r:id="rId32" w:history="1">
              <w:r w:rsidR="00D7521F" w:rsidRPr="00BB315E">
                <w:rPr>
                  <w:rStyle w:val="Hyperlink"/>
                  <w:color w:val="4F81BD" w:themeColor="accent1"/>
                </w:rPr>
                <w:t>https://echa.europa.eu/registration-dossier/-/registered-dossier/13521/7/3/4</w:t>
              </w:r>
            </w:hyperlink>
          </w:p>
        </w:tc>
      </w:tr>
      <w:tr w:rsidR="00D7521F" w14:paraId="0AE8C5EF" w14:textId="77777777" w:rsidTr="00B84AAB">
        <w:trPr>
          <w:gridAfter w:val="1"/>
          <w:wAfter w:w="7" w:type="dxa"/>
        </w:trPr>
        <w:tc>
          <w:tcPr>
            <w:tcW w:w="1128" w:type="dxa"/>
            <w:vMerge/>
            <w:shd w:val="clear" w:color="auto" w:fill="auto"/>
            <w:vAlign w:val="center"/>
          </w:tcPr>
          <w:p w14:paraId="11F8DC8A" w14:textId="77777777" w:rsidR="00D7521F" w:rsidRDefault="00D7521F" w:rsidP="00B84AAB">
            <w:pPr>
              <w:keepNext/>
              <w:keepLines/>
              <w:spacing w:before="40" w:after="40" w:line="240" w:lineRule="auto"/>
              <w:ind w:left="57" w:right="57"/>
              <w:jc w:val="center"/>
              <w:rPr>
                <w:lang w:eastAsia="ko-KR"/>
              </w:rPr>
            </w:pPr>
          </w:p>
        </w:tc>
        <w:tc>
          <w:tcPr>
            <w:tcW w:w="1446" w:type="dxa"/>
            <w:tcBorders>
              <w:bottom w:val="single" w:sz="6" w:space="0" w:color="auto"/>
            </w:tcBorders>
            <w:shd w:val="clear" w:color="auto" w:fill="auto"/>
            <w:vAlign w:val="center"/>
          </w:tcPr>
          <w:p w14:paraId="133142AC" w14:textId="77777777" w:rsidR="00D7521F" w:rsidRDefault="00D7521F" w:rsidP="00B84AAB">
            <w:pPr>
              <w:keepNext/>
              <w:keepLines/>
              <w:spacing w:before="40" w:after="40" w:line="240" w:lineRule="auto"/>
              <w:ind w:left="57" w:right="57"/>
              <w:jc w:val="center"/>
              <w:rPr>
                <w:lang w:eastAsia="ko-KR"/>
              </w:rPr>
            </w:pPr>
            <w:r>
              <w:rPr>
                <w:rFonts w:hint="eastAsia"/>
                <w:lang w:eastAsia="ko-KR"/>
              </w:rPr>
              <w:t>Study report</w:t>
            </w:r>
          </w:p>
        </w:tc>
        <w:tc>
          <w:tcPr>
            <w:tcW w:w="871" w:type="dxa"/>
            <w:tcBorders>
              <w:bottom w:val="single" w:sz="6" w:space="0" w:color="auto"/>
            </w:tcBorders>
            <w:shd w:val="clear" w:color="auto" w:fill="auto"/>
            <w:vAlign w:val="center"/>
          </w:tcPr>
          <w:p w14:paraId="63D77E39" w14:textId="77777777" w:rsidR="00D7521F" w:rsidRDefault="00D7521F" w:rsidP="00B84AAB">
            <w:pPr>
              <w:keepNext/>
              <w:keepLines/>
              <w:spacing w:before="40" w:after="40" w:line="240" w:lineRule="auto"/>
              <w:ind w:left="57" w:right="57"/>
              <w:jc w:val="center"/>
              <w:rPr>
                <w:lang w:eastAsia="ko-KR"/>
              </w:rPr>
            </w:pPr>
            <w:r>
              <w:rPr>
                <w:rFonts w:hint="eastAsia"/>
                <w:lang w:eastAsia="ko-KR"/>
              </w:rPr>
              <w:t>Yes</w:t>
            </w:r>
          </w:p>
        </w:tc>
        <w:tc>
          <w:tcPr>
            <w:tcW w:w="1124" w:type="dxa"/>
            <w:tcBorders>
              <w:bottom w:val="single" w:sz="6" w:space="0" w:color="auto"/>
              <w:right w:val="single" w:sz="4" w:space="0" w:color="auto"/>
            </w:tcBorders>
            <w:shd w:val="clear" w:color="auto" w:fill="auto"/>
            <w:vAlign w:val="center"/>
          </w:tcPr>
          <w:p w14:paraId="5D124452" w14:textId="77777777" w:rsidR="00D7521F" w:rsidRDefault="00D7521F" w:rsidP="00B84AAB">
            <w:pPr>
              <w:keepNext/>
              <w:keepLines/>
              <w:spacing w:before="40" w:after="40" w:line="240" w:lineRule="auto"/>
              <w:ind w:left="57" w:right="57"/>
              <w:jc w:val="center"/>
              <w:rPr>
                <w:lang w:eastAsia="ko-KR"/>
              </w:rPr>
            </w:pPr>
            <w:r>
              <w:rPr>
                <w:rFonts w:hint="eastAsia"/>
                <w:lang w:eastAsia="ko-KR"/>
              </w:rPr>
              <w:t>2</w:t>
            </w:r>
          </w:p>
        </w:tc>
        <w:tc>
          <w:tcPr>
            <w:tcW w:w="3513" w:type="dxa"/>
            <w:tcBorders>
              <w:top w:val="single" w:sz="4" w:space="0" w:color="auto"/>
              <w:left w:val="single" w:sz="4" w:space="0" w:color="auto"/>
              <w:bottom w:val="single" w:sz="6" w:space="0" w:color="auto"/>
            </w:tcBorders>
            <w:shd w:val="clear" w:color="auto" w:fill="auto"/>
            <w:vAlign w:val="center"/>
          </w:tcPr>
          <w:p w14:paraId="20D3E20C" w14:textId="77777777" w:rsidR="00D7521F" w:rsidRPr="00AF7071" w:rsidRDefault="00D7521F" w:rsidP="00B84AAB">
            <w:pPr>
              <w:keepNext/>
              <w:keepLines/>
              <w:spacing w:before="40" w:after="40" w:line="240" w:lineRule="auto"/>
              <w:ind w:left="57" w:right="57"/>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(r</w:t>
            </w:r>
            <w:r>
              <w:rPr>
                <w:lang w:eastAsia="ko-KR"/>
              </w:rPr>
              <w:t>at</w:t>
            </w:r>
            <w:r>
              <w:rPr>
                <w:rFonts w:hint="eastAsia"/>
                <w:lang w:eastAsia="ko-KR"/>
              </w:rPr>
              <w:t>) &gt; 400 mg/kg</w:t>
            </w:r>
          </w:p>
        </w:tc>
        <w:tc>
          <w:tcPr>
            <w:tcW w:w="1265" w:type="dxa"/>
            <w:tcBorders>
              <w:top w:val="single" w:sz="4" w:space="0" w:color="auto"/>
              <w:bottom w:val="single" w:sz="6" w:space="0" w:color="auto"/>
              <w:right w:val="single" w:sz="4" w:space="0" w:color="auto"/>
            </w:tcBorders>
            <w:shd w:val="clear" w:color="auto" w:fill="auto"/>
            <w:vAlign w:val="center"/>
          </w:tcPr>
          <w:p w14:paraId="7B939B2E" w14:textId="77777777" w:rsidR="00D7521F" w:rsidRDefault="00D7521F" w:rsidP="00B84AAB">
            <w:pPr>
              <w:keepNext/>
              <w:keepLines/>
              <w:spacing w:before="40" w:after="40" w:line="240" w:lineRule="auto"/>
              <w:ind w:left="57" w:right="57"/>
              <w:jc w:val="center"/>
              <w:rPr>
                <w:lang w:eastAsia="ko-KR"/>
              </w:rPr>
            </w:pPr>
            <w:r>
              <w:rPr>
                <w:lang w:eastAsia="ko-KR"/>
              </w:rPr>
              <w:t>Not classified</w:t>
            </w:r>
          </w:p>
        </w:tc>
        <w:tc>
          <w:tcPr>
            <w:tcW w:w="4424" w:type="dxa"/>
            <w:tcBorders>
              <w:left w:val="single" w:sz="4" w:space="0" w:color="auto"/>
              <w:bottom w:val="single" w:sz="6" w:space="0" w:color="auto"/>
            </w:tcBorders>
            <w:shd w:val="clear" w:color="auto" w:fill="auto"/>
            <w:vAlign w:val="center"/>
          </w:tcPr>
          <w:p w14:paraId="68B53616" w14:textId="77777777" w:rsidR="00D7521F" w:rsidRPr="00BB315E" w:rsidRDefault="00627985" w:rsidP="00B84AAB">
            <w:pPr>
              <w:keepNext/>
              <w:keepLines/>
              <w:spacing w:before="40" w:after="40" w:line="240" w:lineRule="auto"/>
              <w:ind w:left="57" w:right="57"/>
              <w:jc w:val="center"/>
              <w:rPr>
                <w:color w:val="4F81BD" w:themeColor="accent1"/>
                <w:highlight w:val="yellow"/>
                <w:lang w:eastAsia="ko-KR"/>
              </w:rPr>
            </w:pPr>
            <w:hyperlink r:id="rId33" w:history="1">
              <w:r w:rsidR="00D7521F" w:rsidRPr="00BB315E">
                <w:rPr>
                  <w:rStyle w:val="Hyperlink"/>
                  <w:color w:val="4F81BD" w:themeColor="accent1"/>
                </w:rPr>
                <w:t>https://echa.europa.eu/registration-dossier/-/registered-dossier/13521/7/3/4/?documentUUID=c63bdc9f-e4f3-41c7-a94e-fcdb1c56ecaa</w:t>
              </w:r>
            </w:hyperlink>
          </w:p>
        </w:tc>
      </w:tr>
      <w:tr w:rsidR="00D7521F" w14:paraId="39DFD32F" w14:textId="77777777" w:rsidTr="00B84AAB">
        <w:trPr>
          <w:gridAfter w:val="1"/>
          <w:wAfter w:w="7" w:type="dxa"/>
          <w:trHeight w:val="1528"/>
        </w:trPr>
        <w:tc>
          <w:tcPr>
            <w:tcW w:w="1128" w:type="dxa"/>
            <w:vMerge/>
            <w:tcBorders>
              <w:right w:val="single" w:sz="6" w:space="0" w:color="auto"/>
            </w:tcBorders>
            <w:shd w:val="clear" w:color="auto" w:fill="auto"/>
            <w:vAlign w:val="center"/>
          </w:tcPr>
          <w:p w14:paraId="1EFE106F" w14:textId="77777777" w:rsidR="00D7521F" w:rsidRDefault="00D7521F" w:rsidP="00B84AAB">
            <w:pPr>
              <w:spacing w:before="40" w:after="40" w:line="240" w:lineRule="auto"/>
              <w:ind w:left="57" w:right="57"/>
              <w:jc w:val="center"/>
              <w:rPr>
                <w:lang w:eastAsia="ko-KR"/>
              </w:rPr>
            </w:pPr>
          </w:p>
        </w:tc>
        <w:tc>
          <w:tcPr>
            <w:tcW w:w="1446" w:type="dxa"/>
            <w:tcBorders>
              <w:top w:val="single" w:sz="6" w:space="0" w:color="auto"/>
              <w:left w:val="single" w:sz="6" w:space="0" w:color="auto"/>
              <w:bottom w:val="single" w:sz="6" w:space="0" w:color="auto"/>
              <w:right w:val="single" w:sz="6" w:space="0" w:color="auto"/>
            </w:tcBorders>
            <w:shd w:val="clear" w:color="auto" w:fill="auto"/>
            <w:vAlign w:val="center"/>
          </w:tcPr>
          <w:p w14:paraId="13C9250E" w14:textId="77777777" w:rsidR="00D7521F" w:rsidRDefault="00D7521F" w:rsidP="00B84AAB">
            <w:pPr>
              <w:spacing w:before="40" w:after="40" w:line="240" w:lineRule="auto"/>
              <w:ind w:left="57" w:right="57"/>
              <w:jc w:val="center"/>
              <w:rPr>
                <w:lang w:eastAsia="ko-KR"/>
              </w:rPr>
            </w:pPr>
            <w:r>
              <w:rPr>
                <w:rFonts w:hint="eastAsia"/>
                <w:lang w:eastAsia="ko-KR"/>
              </w:rPr>
              <w:t>Study report</w:t>
            </w:r>
          </w:p>
        </w:tc>
        <w:tc>
          <w:tcPr>
            <w:tcW w:w="871" w:type="dxa"/>
            <w:tcBorders>
              <w:top w:val="single" w:sz="6" w:space="0" w:color="auto"/>
              <w:left w:val="single" w:sz="6" w:space="0" w:color="auto"/>
              <w:bottom w:val="single" w:sz="6" w:space="0" w:color="auto"/>
              <w:right w:val="single" w:sz="6" w:space="0" w:color="auto"/>
            </w:tcBorders>
            <w:shd w:val="clear" w:color="auto" w:fill="auto"/>
            <w:vAlign w:val="center"/>
          </w:tcPr>
          <w:p w14:paraId="269F3C71" w14:textId="77777777" w:rsidR="00D7521F" w:rsidRDefault="00D7521F" w:rsidP="00B84AAB">
            <w:pPr>
              <w:spacing w:before="40" w:after="40" w:line="240" w:lineRule="auto"/>
              <w:ind w:left="57" w:right="57"/>
              <w:jc w:val="center"/>
              <w:rPr>
                <w:lang w:eastAsia="ko-KR"/>
              </w:rPr>
            </w:pPr>
            <w:r>
              <w:rPr>
                <w:rFonts w:hint="eastAsia"/>
                <w:lang w:eastAsia="ko-KR"/>
              </w:rPr>
              <w:t>Yes</w:t>
            </w:r>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45DE70ED" w14:textId="77777777" w:rsidR="00D7521F" w:rsidRDefault="00D7521F" w:rsidP="00B84AAB">
            <w:pPr>
              <w:spacing w:before="40" w:after="40" w:line="240" w:lineRule="auto"/>
              <w:ind w:left="57" w:right="57"/>
              <w:jc w:val="center"/>
              <w:rPr>
                <w:lang w:eastAsia="ko-KR"/>
              </w:rPr>
            </w:pPr>
            <w:r>
              <w:rPr>
                <w:rFonts w:hint="eastAsia"/>
                <w:lang w:eastAsia="ko-KR"/>
              </w:rPr>
              <w:t>2</w:t>
            </w:r>
          </w:p>
        </w:tc>
        <w:tc>
          <w:tcPr>
            <w:tcW w:w="3513" w:type="dxa"/>
            <w:tcBorders>
              <w:top w:val="single" w:sz="6" w:space="0" w:color="auto"/>
              <w:left w:val="single" w:sz="6" w:space="0" w:color="auto"/>
              <w:bottom w:val="single" w:sz="6" w:space="0" w:color="auto"/>
              <w:right w:val="single" w:sz="6" w:space="0" w:color="auto"/>
            </w:tcBorders>
            <w:shd w:val="clear" w:color="auto" w:fill="auto"/>
            <w:vAlign w:val="center"/>
          </w:tcPr>
          <w:p w14:paraId="019EFE95" w14:textId="77777777" w:rsidR="00D7521F" w:rsidRPr="00AF7071" w:rsidRDefault="00D7521F" w:rsidP="00B84AAB">
            <w:pPr>
              <w:spacing w:before="40" w:after="40" w:line="240" w:lineRule="auto"/>
              <w:ind w:left="57" w:right="57"/>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(rat) </w:t>
            </w:r>
            <w:r>
              <w:rPr>
                <w:lang w:eastAsia="ko-KR"/>
              </w:rPr>
              <w:t>&gt; 40</w:t>
            </w:r>
            <w:r>
              <w:rPr>
                <w:rFonts w:hint="eastAsia"/>
                <w:lang w:eastAsia="ko-KR"/>
              </w:rPr>
              <w:t>0 mg/kg</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14:paraId="4B993C5F" w14:textId="77777777" w:rsidR="00D7521F" w:rsidRDefault="00D7521F" w:rsidP="00B84AAB">
            <w:pPr>
              <w:spacing w:before="40" w:after="40" w:line="240" w:lineRule="auto"/>
              <w:ind w:left="57" w:right="57"/>
              <w:jc w:val="center"/>
              <w:rPr>
                <w:lang w:eastAsia="ko-KR"/>
              </w:rPr>
            </w:pPr>
            <w:r>
              <w:rPr>
                <w:rFonts w:hint="eastAsia"/>
                <w:lang w:eastAsia="ko-KR"/>
              </w:rPr>
              <w:t>Not classified</w:t>
            </w:r>
          </w:p>
        </w:tc>
        <w:tc>
          <w:tcPr>
            <w:tcW w:w="4424" w:type="dxa"/>
            <w:tcBorders>
              <w:top w:val="single" w:sz="6" w:space="0" w:color="auto"/>
              <w:left w:val="single" w:sz="6" w:space="0" w:color="auto"/>
              <w:bottom w:val="single" w:sz="6" w:space="0" w:color="auto"/>
              <w:right w:val="single" w:sz="6" w:space="0" w:color="auto"/>
            </w:tcBorders>
            <w:shd w:val="clear" w:color="auto" w:fill="auto"/>
            <w:vAlign w:val="center"/>
          </w:tcPr>
          <w:p w14:paraId="50ADE2BA" w14:textId="77777777" w:rsidR="00D7521F" w:rsidRPr="00BB315E" w:rsidRDefault="00627985" w:rsidP="00B84AAB">
            <w:pPr>
              <w:spacing w:before="40" w:after="40" w:line="240" w:lineRule="auto"/>
              <w:ind w:left="57" w:right="57"/>
              <w:jc w:val="center"/>
              <w:rPr>
                <w:color w:val="4F81BD" w:themeColor="accent1"/>
                <w:highlight w:val="yellow"/>
                <w:lang w:eastAsia="ko-KR"/>
              </w:rPr>
            </w:pPr>
            <w:hyperlink r:id="rId34" w:history="1">
              <w:r w:rsidR="00D7521F" w:rsidRPr="00BB315E">
                <w:rPr>
                  <w:rStyle w:val="Hyperlink"/>
                  <w:color w:val="4F81BD" w:themeColor="accent1"/>
                </w:rPr>
                <w:t>https://echa.europa.eu/registration-dossier/-/registered-dossier/13521/7/3/4/?documentUUID=1d745de2-2814-4d76-a245-52d02a5be09a</w:t>
              </w:r>
            </w:hyperlink>
          </w:p>
        </w:tc>
      </w:tr>
      <w:tr w:rsidR="00D7521F" w14:paraId="136A1E85" w14:textId="77777777" w:rsidTr="00B84AAB">
        <w:trPr>
          <w:gridAfter w:val="1"/>
          <w:wAfter w:w="7" w:type="dxa"/>
          <w:trHeight w:val="238"/>
        </w:trPr>
        <w:tc>
          <w:tcPr>
            <w:tcW w:w="1128" w:type="dxa"/>
            <w:vMerge/>
            <w:tcBorders>
              <w:right w:val="single" w:sz="6" w:space="0" w:color="auto"/>
            </w:tcBorders>
            <w:shd w:val="clear" w:color="auto" w:fill="auto"/>
            <w:vAlign w:val="center"/>
          </w:tcPr>
          <w:p w14:paraId="5AB59534" w14:textId="77777777" w:rsidR="00D7521F" w:rsidRDefault="00D7521F" w:rsidP="00B84AAB">
            <w:pPr>
              <w:spacing w:before="40" w:after="40" w:line="240" w:lineRule="auto"/>
              <w:ind w:left="57" w:right="57"/>
              <w:jc w:val="center"/>
              <w:rPr>
                <w:lang w:eastAsia="ko-KR"/>
              </w:rPr>
            </w:pPr>
          </w:p>
        </w:tc>
        <w:tc>
          <w:tcPr>
            <w:tcW w:w="1446" w:type="dxa"/>
            <w:tcBorders>
              <w:top w:val="single" w:sz="6" w:space="0" w:color="auto"/>
              <w:left w:val="single" w:sz="6" w:space="0" w:color="auto"/>
              <w:bottom w:val="single" w:sz="6" w:space="0" w:color="auto"/>
              <w:right w:val="single" w:sz="6" w:space="0" w:color="auto"/>
            </w:tcBorders>
            <w:shd w:val="clear" w:color="auto" w:fill="auto"/>
            <w:vAlign w:val="center"/>
          </w:tcPr>
          <w:p w14:paraId="0329D1A6" w14:textId="77777777" w:rsidR="00D7521F" w:rsidRDefault="00D7521F" w:rsidP="00B84AAB">
            <w:pPr>
              <w:spacing w:before="40" w:after="40" w:line="240" w:lineRule="auto"/>
              <w:ind w:left="57" w:right="57"/>
              <w:jc w:val="center"/>
              <w:rPr>
                <w:lang w:eastAsia="ko-KR"/>
              </w:rPr>
            </w:pPr>
            <w:r w:rsidRPr="00DB405A">
              <w:rPr>
                <w:rFonts w:hint="eastAsia"/>
                <w:lang w:eastAsia="ko-KR"/>
              </w:rPr>
              <w:t>Publication</w:t>
            </w:r>
          </w:p>
        </w:tc>
        <w:tc>
          <w:tcPr>
            <w:tcW w:w="871" w:type="dxa"/>
            <w:tcBorders>
              <w:top w:val="single" w:sz="6" w:space="0" w:color="auto"/>
              <w:left w:val="single" w:sz="6" w:space="0" w:color="auto"/>
              <w:bottom w:val="single" w:sz="6" w:space="0" w:color="auto"/>
              <w:right w:val="single" w:sz="6" w:space="0" w:color="auto"/>
            </w:tcBorders>
            <w:shd w:val="clear" w:color="auto" w:fill="auto"/>
            <w:vAlign w:val="center"/>
          </w:tcPr>
          <w:p w14:paraId="765C740A" w14:textId="77777777" w:rsidR="00D7521F" w:rsidRDefault="00D7521F" w:rsidP="00B84AAB">
            <w:pPr>
              <w:spacing w:before="40" w:after="40" w:line="240" w:lineRule="auto"/>
              <w:ind w:left="57" w:right="57"/>
              <w:jc w:val="center"/>
              <w:rPr>
                <w:lang w:eastAsia="ko-KR"/>
              </w:rPr>
            </w:pPr>
          </w:p>
        </w:tc>
        <w:tc>
          <w:tcPr>
            <w:tcW w:w="1124" w:type="dxa"/>
            <w:tcBorders>
              <w:top w:val="single" w:sz="6" w:space="0" w:color="auto"/>
              <w:left w:val="single" w:sz="6" w:space="0" w:color="auto"/>
              <w:bottom w:val="single" w:sz="6" w:space="0" w:color="auto"/>
              <w:right w:val="single" w:sz="6" w:space="0" w:color="auto"/>
            </w:tcBorders>
            <w:shd w:val="clear" w:color="auto" w:fill="auto"/>
            <w:vAlign w:val="center"/>
          </w:tcPr>
          <w:p w14:paraId="53DCA051" w14:textId="77777777" w:rsidR="00D7521F" w:rsidRDefault="00D7521F" w:rsidP="00B84AAB">
            <w:pPr>
              <w:spacing w:before="40" w:after="40" w:line="240" w:lineRule="auto"/>
              <w:ind w:left="57" w:right="57"/>
              <w:jc w:val="center"/>
              <w:rPr>
                <w:lang w:eastAsia="ko-KR"/>
              </w:rPr>
            </w:pPr>
          </w:p>
        </w:tc>
        <w:tc>
          <w:tcPr>
            <w:tcW w:w="3513" w:type="dxa"/>
            <w:tcBorders>
              <w:top w:val="single" w:sz="6" w:space="0" w:color="auto"/>
              <w:left w:val="single" w:sz="6" w:space="0" w:color="auto"/>
              <w:bottom w:val="single" w:sz="6" w:space="0" w:color="auto"/>
              <w:right w:val="single" w:sz="6" w:space="0" w:color="auto"/>
            </w:tcBorders>
            <w:shd w:val="clear" w:color="auto" w:fill="auto"/>
            <w:vAlign w:val="center"/>
          </w:tcPr>
          <w:p w14:paraId="51FF1792" w14:textId="77777777" w:rsidR="00D7521F" w:rsidRDefault="00D7521F" w:rsidP="00B84AAB">
            <w:pPr>
              <w:spacing w:before="40" w:after="40" w:line="240" w:lineRule="auto"/>
              <w:ind w:left="57" w:right="57"/>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w:t>
            </w:r>
            <w:r>
              <w:rPr>
                <w:lang w:eastAsia="ko-KR"/>
              </w:rPr>
              <w:t>= 370</w:t>
            </w:r>
            <w:r>
              <w:rPr>
                <w:rFonts w:hint="eastAsia"/>
                <w:lang w:eastAsia="ko-KR"/>
              </w:rPr>
              <w:t xml:space="preserve"> mg/kg</w:t>
            </w:r>
          </w:p>
        </w:tc>
        <w:tc>
          <w:tcPr>
            <w:tcW w:w="1265" w:type="dxa"/>
            <w:tcBorders>
              <w:top w:val="single" w:sz="6" w:space="0" w:color="auto"/>
              <w:left w:val="single" w:sz="6" w:space="0" w:color="auto"/>
              <w:bottom w:val="single" w:sz="6" w:space="0" w:color="auto"/>
              <w:right w:val="single" w:sz="6" w:space="0" w:color="auto"/>
            </w:tcBorders>
            <w:shd w:val="clear" w:color="auto" w:fill="auto"/>
            <w:vAlign w:val="center"/>
          </w:tcPr>
          <w:p w14:paraId="42381534" w14:textId="77777777" w:rsidR="00D7521F" w:rsidRDefault="00D7521F" w:rsidP="00B84AAB">
            <w:pPr>
              <w:spacing w:before="40" w:after="40" w:line="240" w:lineRule="auto"/>
              <w:ind w:left="57" w:right="57"/>
              <w:jc w:val="center"/>
              <w:rPr>
                <w:lang w:eastAsia="ko-KR"/>
              </w:rPr>
            </w:pPr>
            <w:r>
              <w:rPr>
                <w:rFonts w:hint="eastAsia"/>
                <w:lang w:eastAsia="ko-KR"/>
              </w:rPr>
              <w:t>Cat.3</w:t>
            </w:r>
          </w:p>
        </w:tc>
        <w:tc>
          <w:tcPr>
            <w:tcW w:w="4424" w:type="dxa"/>
            <w:tcBorders>
              <w:top w:val="single" w:sz="6" w:space="0" w:color="auto"/>
              <w:left w:val="single" w:sz="6" w:space="0" w:color="auto"/>
              <w:bottom w:val="single" w:sz="6" w:space="0" w:color="auto"/>
              <w:right w:val="single" w:sz="6" w:space="0" w:color="auto"/>
            </w:tcBorders>
            <w:shd w:val="clear" w:color="auto" w:fill="auto"/>
            <w:vAlign w:val="center"/>
          </w:tcPr>
          <w:p w14:paraId="7C924B92" w14:textId="77777777" w:rsidR="00D7521F" w:rsidRPr="00BB315E" w:rsidRDefault="00627985" w:rsidP="00B84AAB">
            <w:pPr>
              <w:spacing w:before="40" w:after="40" w:line="240" w:lineRule="auto"/>
              <w:ind w:left="57" w:right="57"/>
              <w:jc w:val="center"/>
              <w:rPr>
                <w:color w:val="4F81BD" w:themeColor="accent1"/>
              </w:rPr>
            </w:pPr>
            <w:hyperlink r:id="rId35" w:anchor="section=NIOSH-Toxicity-Data&amp;fullscreen=true" w:history="1">
              <w:r w:rsidR="00D7521F" w:rsidRPr="00BB315E">
                <w:rPr>
                  <w:rStyle w:val="Hyperlink"/>
                  <w:color w:val="4F81BD" w:themeColor="accent1"/>
                </w:rPr>
                <w:t>https://pubchem.ncbi.nlm.nih.gov/compound/7415#section=NIOSH-Toxicity-Data&amp;fullscreen=true</w:t>
              </w:r>
            </w:hyperlink>
          </w:p>
        </w:tc>
      </w:tr>
      <w:tr w:rsidR="00D7521F" w:rsidRPr="00692207" w14:paraId="64BB4ABF" w14:textId="77777777" w:rsidTr="00B84AAB">
        <w:trPr>
          <w:gridAfter w:val="1"/>
          <w:wAfter w:w="6" w:type="dxa"/>
        </w:trPr>
        <w:tc>
          <w:tcPr>
            <w:tcW w:w="1128" w:type="dxa"/>
            <w:vMerge/>
            <w:shd w:val="clear" w:color="auto" w:fill="auto"/>
            <w:vAlign w:val="center"/>
          </w:tcPr>
          <w:p w14:paraId="69219F2B" w14:textId="77777777" w:rsidR="00D7521F" w:rsidRDefault="00D7521F" w:rsidP="00B84AAB">
            <w:pPr>
              <w:spacing w:before="40" w:after="40" w:line="240" w:lineRule="auto"/>
              <w:ind w:left="57" w:right="57"/>
              <w:jc w:val="center"/>
              <w:rPr>
                <w:lang w:eastAsia="ko-KR"/>
              </w:rPr>
            </w:pPr>
          </w:p>
        </w:tc>
        <w:tc>
          <w:tcPr>
            <w:tcW w:w="12644" w:type="dxa"/>
            <w:gridSpan w:val="6"/>
            <w:tcBorders>
              <w:top w:val="single" w:sz="6" w:space="0" w:color="auto"/>
            </w:tcBorders>
            <w:shd w:val="clear" w:color="auto" w:fill="auto"/>
            <w:vAlign w:val="center"/>
          </w:tcPr>
          <w:p w14:paraId="49E42011" w14:textId="77777777" w:rsidR="00D7521F" w:rsidRPr="00B44EC9" w:rsidRDefault="00D7521F" w:rsidP="00B84AAB">
            <w:pPr>
              <w:spacing w:before="40" w:after="40" w:line="240" w:lineRule="auto"/>
              <w:ind w:left="57" w:right="57"/>
              <w:rPr>
                <w:lang w:val="en-US" w:eastAsia="ko-KR"/>
              </w:rPr>
            </w:pPr>
            <w:r w:rsidRPr="00B44EC9">
              <w:rPr>
                <w:rFonts w:hint="eastAsia"/>
                <w:lang w:val="en-US" w:eastAsia="ko-KR"/>
              </w:rPr>
              <w:t xml:space="preserve">- </w:t>
            </w:r>
            <w:r w:rsidRPr="00B44EC9">
              <w:rPr>
                <w:lang w:val="en-US" w:eastAsia="ko-KR"/>
              </w:rPr>
              <w:t>Most studies of acute dermal toxicity of N.N-Dimethyl cyclohexylamine are available from the data tested in the 1980s and 1990s.</w:t>
            </w:r>
            <w:r w:rsidRPr="00B44EC9">
              <w:rPr>
                <w:rFonts w:hint="eastAsia"/>
                <w:lang w:val="en-US" w:eastAsia="ko-KR"/>
              </w:rPr>
              <w:t xml:space="preserve"> </w:t>
            </w:r>
          </w:p>
          <w:p w14:paraId="4FAF1826" w14:textId="77777777" w:rsidR="00D7521F" w:rsidRPr="00B44EC9" w:rsidRDefault="00D7521F" w:rsidP="00B84AAB">
            <w:pPr>
              <w:spacing w:before="40" w:after="40" w:line="240" w:lineRule="auto"/>
              <w:ind w:left="57" w:right="57"/>
              <w:rPr>
                <w:lang w:val="en-US" w:eastAsia="ko-KR"/>
              </w:rPr>
            </w:pPr>
            <w:r w:rsidRPr="00B44EC9">
              <w:rPr>
                <w:lang w:val="en-US" w:eastAsia="ko-KR"/>
              </w:rPr>
              <w:t>- Two out of three data showed no lethal action, and the data of lethal action was used as a key data in the EU REACH registration.</w:t>
            </w:r>
          </w:p>
          <w:p w14:paraId="0B3E39D5" w14:textId="77777777" w:rsidR="00D7521F" w:rsidRPr="00B44EC9" w:rsidRDefault="00D7521F" w:rsidP="00B84AAB">
            <w:pPr>
              <w:spacing w:before="40" w:after="40" w:line="240" w:lineRule="auto"/>
              <w:ind w:left="57" w:right="57"/>
              <w:rPr>
                <w:lang w:val="en-US" w:eastAsia="ko-KR"/>
              </w:rPr>
            </w:pPr>
            <w:r w:rsidRPr="00B44EC9">
              <w:rPr>
                <w:lang w:val="en-US" w:eastAsia="ko-KR"/>
              </w:rPr>
              <w:t xml:space="preserve">- </w:t>
            </w:r>
            <w:r w:rsidRPr="00B44EC9">
              <w:rPr>
                <w:rFonts w:hint="eastAsia"/>
                <w:lang w:val="en-US" w:eastAsia="ko-KR"/>
              </w:rPr>
              <w:t>I</w:t>
            </w:r>
            <w:r w:rsidRPr="00B44EC9">
              <w:rPr>
                <w:lang w:val="en-US" w:eastAsia="ko-KR"/>
              </w:rPr>
              <w:t>n addition, a data was available on NIOSH TOXICITY DATA and it is assigned as Cat.3.</w:t>
            </w:r>
          </w:p>
          <w:p w14:paraId="6D3D538D" w14:textId="77777777" w:rsidR="00D7521F" w:rsidRPr="00B44EC9" w:rsidRDefault="00D7521F" w:rsidP="00B84AAB">
            <w:pPr>
              <w:spacing w:before="40" w:after="40" w:line="240" w:lineRule="auto"/>
              <w:ind w:left="57" w:right="57"/>
              <w:rPr>
                <w:color w:val="0000FF"/>
                <w:lang w:val="en-US" w:eastAsia="ko-KR"/>
              </w:rPr>
            </w:pPr>
            <w:r w:rsidRPr="00B44EC9">
              <w:rPr>
                <w:rFonts w:hint="eastAsia"/>
                <w:lang w:val="en-US" w:eastAsia="ko-KR"/>
              </w:rPr>
              <w:t xml:space="preserve">- </w:t>
            </w:r>
            <w:r w:rsidRPr="00B44EC9">
              <w:rPr>
                <w:lang w:val="en-US" w:eastAsia="ko-KR"/>
              </w:rPr>
              <w:t>Provided that the data from EU REACH key data and NIOSH are equally reliable</w:t>
            </w:r>
            <w:r w:rsidRPr="00B44EC9">
              <w:rPr>
                <w:rFonts w:hint="eastAsia"/>
                <w:lang w:val="en-US" w:eastAsia="ko-KR"/>
              </w:rPr>
              <w:t>,</w:t>
            </w:r>
            <w:r w:rsidRPr="00B44EC9">
              <w:rPr>
                <w:lang w:val="en-US" w:eastAsia="ko-KR"/>
              </w:rPr>
              <w:t xml:space="preserve"> the acute dermal toxicity of N.N-Dimethyl cyclohexylamine is considered to be assigned as GHS Cat.3, and therefore, it meets the classification criteria of PG III for Division 6.1.</w:t>
            </w:r>
          </w:p>
        </w:tc>
      </w:tr>
      <w:tr w:rsidR="00D7521F" w14:paraId="356AF457" w14:textId="77777777" w:rsidTr="00B84AAB">
        <w:trPr>
          <w:gridAfter w:val="1"/>
          <w:wAfter w:w="7" w:type="dxa"/>
        </w:trPr>
        <w:tc>
          <w:tcPr>
            <w:tcW w:w="1128" w:type="dxa"/>
            <w:vMerge w:val="restart"/>
            <w:shd w:val="clear" w:color="auto" w:fill="auto"/>
            <w:vAlign w:val="center"/>
          </w:tcPr>
          <w:p w14:paraId="002F6B6A" w14:textId="77777777" w:rsidR="00D7521F" w:rsidRDefault="00D7521F" w:rsidP="00B84AAB">
            <w:pPr>
              <w:spacing w:before="40" w:after="40" w:line="240" w:lineRule="auto"/>
              <w:ind w:left="57" w:right="57"/>
              <w:jc w:val="center"/>
              <w:rPr>
                <w:lang w:eastAsia="ko-KR"/>
              </w:rPr>
            </w:pPr>
            <w:r>
              <w:rPr>
                <w:lang w:eastAsia="ko-KR"/>
              </w:rPr>
              <w:t>Inhalation</w:t>
            </w:r>
          </w:p>
        </w:tc>
        <w:tc>
          <w:tcPr>
            <w:tcW w:w="1446" w:type="dxa"/>
            <w:shd w:val="clear" w:color="auto" w:fill="auto"/>
            <w:vAlign w:val="center"/>
          </w:tcPr>
          <w:p w14:paraId="363875CF" w14:textId="77777777" w:rsidR="00D7521F" w:rsidRDefault="00D7521F" w:rsidP="00B84AAB">
            <w:pPr>
              <w:spacing w:before="40" w:after="40" w:line="240" w:lineRule="auto"/>
              <w:ind w:left="57" w:right="57"/>
              <w:jc w:val="center"/>
              <w:rPr>
                <w:lang w:eastAsia="ko-KR"/>
              </w:rPr>
            </w:pPr>
            <w:r>
              <w:rPr>
                <w:rFonts w:hint="eastAsia"/>
                <w:lang w:eastAsia="ko-KR"/>
              </w:rPr>
              <w:t>Study report</w:t>
            </w:r>
          </w:p>
        </w:tc>
        <w:tc>
          <w:tcPr>
            <w:tcW w:w="871" w:type="dxa"/>
            <w:shd w:val="clear" w:color="auto" w:fill="auto"/>
            <w:vAlign w:val="center"/>
          </w:tcPr>
          <w:p w14:paraId="2F0C57CD" w14:textId="77777777" w:rsidR="00D7521F" w:rsidRPr="00D2598C" w:rsidRDefault="00D7521F" w:rsidP="00B84AAB">
            <w:pPr>
              <w:spacing w:before="40" w:after="40" w:line="240" w:lineRule="auto"/>
              <w:ind w:left="57" w:right="57"/>
              <w:jc w:val="center"/>
              <w:rPr>
                <w:lang w:eastAsia="ko-KR"/>
              </w:rPr>
            </w:pPr>
            <w:r w:rsidRPr="00D2598C">
              <w:rPr>
                <w:rFonts w:hint="eastAsia"/>
                <w:lang w:eastAsia="ko-KR"/>
              </w:rPr>
              <w:t>Yes</w:t>
            </w:r>
          </w:p>
        </w:tc>
        <w:tc>
          <w:tcPr>
            <w:tcW w:w="1124" w:type="dxa"/>
            <w:tcBorders>
              <w:right w:val="single" w:sz="4" w:space="0" w:color="auto"/>
            </w:tcBorders>
            <w:shd w:val="clear" w:color="auto" w:fill="auto"/>
            <w:vAlign w:val="center"/>
          </w:tcPr>
          <w:p w14:paraId="07910DEC" w14:textId="77777777" w:rsidR="00D7521F" w:rsidRPr="00D2598C" w:rsidRDefault="00D7521F" w:rsidP="00B84AAB">
            <w:pPr>
              <w:spacing w:before="40" w:after="40" w:line="240" w:lineRule="auto"/>
              <w:ind w:left="57" w:right="57"/>
              <w:jc w:val="center"/>
              <w:rPr>
                <w:lang w:eastAsia="ko-KR"/>
              </w:rPr>
            </w:pPr>
            <w:r w:rsidRPr="00D2598C">
              <w:rPr>
                <w:rFonts w:hint="eastAsia"/>
                <w:lang w:eastAsia="ko-KR"/>
              </w:rPr>
              <w:t>2</w:t>
            </w:r>
          </w:p>
        </w:tc>
        <w:tc>
          <w:tcPr>
            <w:tcW w:w="3513" w:type="dxa"/>
            <w:tcBorders>
              <w:top w:val="single" w:sz="4" w:space="0" w:color="auto"/>
              <w:left w:val="single" w:sz="4" w:space="0" w:color="auto"/>
            </w:tcBorders>
            <w:shd w:val="clear" w:color="auto" w:fill="F7CAAC"/>
            <w:vAlign w:val="center"/>
          </w:tcPr>
          <w:p w14:paraId="62CFBDEC" w14:textId="77777777" w:rsidR="00D7521F" w:rsidRPr="00B44EC9" w:rsidRDefault="00D7521F" w:rsidP="00B84AAB">
            <w:pPr>
              <w:spacing w:before="40" w:after="40" w:line="240" w:lineRule="auto"/>
              <w:ind w:left="57" w:right="57"/>
              <w:jc w:val="center"/>
              <w:rPr>
                <w:lang w:val="en-US" w:eastAsia="ko-KR"/>
              </w:rPr>
            </w:pPr>
            <w:r w:rsidRPr="00B44EC9">
              <w:rPr>
                <w:rFonts w:hint="eastAsia"/>
                <w:lang w:val="en-US" w:eastAsia="ko-KR"/>
              </w:rPr>
              <w:t>LC</w:t>
            </w:r>
            <w:r w:rsidRPr="00B44EC9">
              <w:rPr>
                <w:rFonts w:hint="eastAsia"/>
                <w:vertAlign w:val="subscript"/>
                <w:lang w:val="en-US" w:eastAsia="ko-KR"/>
              </w:rPr>
              <w:t>50</w:t>
            </w:r>
            <w:r w:rsidRPr="00B44EC9">
              <w:rPr>
                <w:rFonts w:hint="eastAsia"/>
                <w:lang w:val="en-US" w:eastAsia="ko-KR"/>
              </w:rPr>
              <w:t xml:space="preserve"> </w:t>
            </w:r>
            <w:r w:rsidRPr="00B44EC9">
              <w:rPr>
                <w:lang w:val="en-US" w:eastAsia="ko-KR"/>
              </w:rPr>
              <w:t xml:space="preserve">1.7-5.8 </w:t>
            </w:r>
            <w:r w:rsidRPr="00B44EC9">
              <w:rPr>
                <w:rFonts w:hint="eastAsia"/>
                <w:lang w:val="en-US" w:eastAsia="ko-KR"/>
              </w:rPr>
              <w:t>mg/L</w:t>
            </w:r>
            <w:r w:rsidRPr="00B44EC9">
              <w:rPr>
                <w:lang w:val="en-US" w:eastAsia="ko-KR"/>
              </w:rPr>
              <w:t xml:space="preserve"> </w:t>
            </w:r>
          </w:p>
          <w:p w14:paraId="56B5E07F" w14:textId="77777777" w:rsidR="00D7521F" w:rsidRPr="00B44EC9" w:rsidRDefault="00D7521F" w:rsidP="00B84AAB">
            <w:pPr>
              <w:spacing w:before="40" w:after="40" w:line="240" w:lineRule="auto"/>
              <w:ind w:left="57" w:right="57"/>
              <w:jc w:val="center"/>
              <w:rPr>
                <w:lang w:val="en-US" w:eastAsia="ko-KR"/>
              </w:rPr>
            </w:pPr>
            <w:r w:rsidRPr="00B44EC9">
              <w:rPr>
                <w:lang w:val="en-US" w:eastAsia="ko-KR"/>
              </w:rPr>
              <w:t>(6h, rat)</w:t>
            </w:r>
          </w:p>
          <w:p w14:paraId="1A725935" w14:textId="77777777" w:rsidR="00D7521F" w:rsidRPr="00B44EC9" w:rsidRDefault="00D7521F" w:rsidP="00B84AAB">
            <w:pPr>
              <w:spacing w:before="40" w:after="40" w:line="240" w:lineRule="auto"/>
              <w:ind w:left="57" w:right="57"/>
              <w:jc w:val="center"/>
              <w:rPr>
                <w:lang w:val="en-US" w:eastAsia="ko-KR"/>
              </w:rPr>
            </w:pPr>
            <w:r w:rsidRPr="00B44EC9">
              <w:rPr>
                <w:lang w:val="en-US" w:eastAsia="ko-KR"/>
              </w:rPr>
              <w:t>(= 320 ppm to 1120 ppm)</w:t>
            </w:r>
          </w:p>
        </w:tc>
        <w:tc>
          <w:tcPr>
            <w:tcW w:w="1265" w:type="dxa"/>
            <w:tcBorders>
              <w:top w:val="single" w:sz="4" w:space="0" w:color="auto"/>
              <w:right w:val="single" w:sz="4" w:space="0" w:color="auto"/>
            </w:tcBorders>
            <w:shd w:val="clear" w:color="auto" w:fill="F7CAAC"/>
            <w:vAlign w:val="center"/>
          </w:tcPr>
          <w:p w14:paraId="2FD4FD67" w14:textId="77777777" w:rsidR="00D7521F" w:rsidRDefault="00D7521F" w:rsidP="00B84AAB">
            <w:pPr>
              <w:spacing w:before="40" w:after="40" w:line="240" w:lineRule="auto"/>
              <w:ind w:left="57" w:right="57"/>
              <w:jc w:val="center"/>
              <w:rPr>
                <w:lang w:eastAsia="ko-KR"/>
              </w:rPr>
            </w:pPr>
            <w:r>
              <w:rPr>
                <w:rFonts w:hint="eastAsia"/>
                <w:lang w:eastAsia="ko-KR"/>
              </w:rPr>
              <w:t>Cat.</w:t>
            </w:r>
            <w:r>
              <w:rPr>
                <w:lang w:eastAsia="ko-KR"/>
              </w:rPr>
              <w:t>3</w:t>
            </w:r>
          </w:p>
        </w:tc>
        <w:tc>
          <w:tcPr>
            <w:tcW w:w="4424" w:type="dxa"/>
            <w:tcBorders>
              <w:left w:val="single" w:sz="4" w:space="0" w:color="auto"/>
            </w:tcBorders>
            <w:shd w:val="clear" w:color="auto" w:fill="auto"/>
            <w:vAlign w:val="center"/>
          </w:tcPr>
          <w:p w14:paraId="190A2645" w14:textId="77777777" w:rsidR="00D7521F" w:rsidRPr="00BB315E" w:rsidRDefault="00627985" w:rsidP="00B84AAB">
            <w:pPr>
              <w:spacing w:before="40" w:after="40" w:line="240" w:lineRule="auto"/>
              <w:ind w:left="57" w:right="57"/>
              <w:jc w:val="center"/>
              <w:rPr>
                <w:color w:val="4F81BD" w:themeColor="accent1"/>
                <w:highlight w:val="yellow"/>
                <w:lang w:eastAsia="ko-KR"/>
              </w:rPr>
            </w:pPr>
            <w:hyperlink r:id="rId36" w:history="1">
              <w:r w:rsidR="00D7521F" w:rsidRPr="00BB315E">
                <w:rPr>
                  <w:rStyle w:val="Hyperlink"/>
                  <w:color w:val="4F81BD" w:themeColor="accent1"/>
                </w:rPr>
                <w:t>https://echa.europa.eu/registration-dossier/-/registered-dossier/13521/7/3/3</w:t>
              </w:r>
            </w:hyperlink>
          </w:p>
        </w:tc>
      </w:tr>
      <w:tr w:rsidR="00D7521F" w14:paraId="18E642D7" w14:textId="77777777" w:rsidTr="00B84AAB">
        <w:trPr>
          <w:gridAfter w:val="1"/>
          <w:wAfter w:w="7" w:type="dxa"/>
          <w:trHeight w:val="1515"/>
        </w:trPr>
        <w:tc>
          <w:tcPr>
            <w:tcW w:w="1128" w:type="dxa"/>
            <w:vMerge/>
            <w:shd w:val="clear" w:color="auto" w:fill="auto"/>
            <w:vAlign w:val="center"/>
          </w:tcPr>
          <w:p w14:paraId="632C8E30" w14:textId="77777777" w:rsidR="00D7521F" w:rsidRDefault="00D7521F" w:rsidP="00B84AAB">
            <w:pPr>
              <w:spacing w:before="40" w:after="40" w:line="240" w:lineRule="auto"/>
              <w:ind w:left="57" w:right="57"/>
              <w:jc w:val="center"/>
              <w:rPr>
                <w:lang w:eastAsia="ko-KR"/>
              </w:rPr>
            </w:pPr>
          </w:p>
        </w:tc>
        <w:tc>
          <w:tcPr>
            <w:tcW w:w="1446" w:type="dxa"/>
            <w:tcBorders>
              <w:bottom w:val="single" w:sz="6" w:space="0" w:color="auto"/>
            </w:tcBorders>
            <w:shd w:val="clear" w:color="auto" w:fill="auto"/>
            <w:vAlign w:val="center"/>
          </w:tcPr>
          <w:p w14:paraId="3F57A672" w14:textId="77777777" w:rsidR="00D7521F" w:rsidRDefault="00D7521F" w:rsidP="00B84AAB">
            <w:pPr>
              <w:spacing w:before="40" w:after="40" w:line="240" w:lineRule="auto"/>
              <w:ind w:left="57" w:right="57"/>
              <w:jc w:val="center"/>
              <w:rPr>
                <w:lang w:eastAsia="ko-KR"/>
              </w:rPr>
            </w:pPr>
            <w:r>
              <w:rPr>
                <w:rFonts w:hint="eastAsia"/>
                <w:lang w:eastAsia="ko-KR"/>
              </w:rPr>
              <w:t>Study report</w:t>
            </w:r>
          </w:p>
        </w:tc>
        <w:tc>
          <w:tcPr>
            <w:tcW w:w="871" w:type="dxa"/>
            <w:tcBorders>
              <w:bottom w:val="single" w:sz="6" w:space="0" w:color="auto"/>
            </w:tcBorders>
            <w:shd w:val="clear" w:color="auto" w:fill="auto"/>
            <w:vAlign w:val="center"/>
          </w:tcPr>
          <w:p w14:paraId="2099498B" w14:textId="77777777" w:rsidR="00D7521F" w:rsidRDefault="00D7521F" w:rsidP="00B84AAB">
            <w:pPr>
              <w:spacing w:before="40" w:after="40" w:line="240" w:lineRule="auto"/>
              <w:ind w:left="57" w:right="57"/>
              <w:jc w:val="center"/>
              <w:rPr>
                <w:lang w:eastAsia="ko-KR"/>
              </w:rPr>
            </w:pPr>
            <w:r>
              <w:rPr>
                <w:rFonts w:hint="eastAsia"/>
                <w:lang w:eastAsia="ko-KR"/>
              </w:rPr>
              <w:t>No</w:t>
            </w:r>
          </w:p>
        </w:tc>
        <w:tc>
          <w:tcPr>
            <w:tcW w:w="1124" w:type="dxa"/>
            <w:tcBorders>
              <w:bottom w:val="single" w:sz="6" w:space="0" w:color="auto"/>
              <w:right w:val="single" w:sz="4" w:space="0" w:color="auto"/>
            </w:tcBorders>
            <w:shd w:val="clear" w:color="auto" w:fill="auto"/>
            <w:vAlign w:val="center"/>
          </w:tcPr>
          <w:p w14:paraId="33A72314" w14:textId="77777777" w:rsidR="00D7521F" w:rsidRDefault="00D7521F" w:rsidP="00B84AAB">
            <w:pPr>
              <w:spacing w:before="40" w:after="40" w:line="240" w:lineRule="auto"/>
              <w:ind w:left="57" w:right="57"/>
              <w:jc w:val="center"/>
              <w:rPr>
                <w:lang w:eastAsia="ko-KR"/>
              </w:rPr>
            </w:pPr>
            <w:r>
              <w:rPr>
                <w:rFonts w:hint="eastAsia"/>
                <w:lang w:eastAsia="ko-KR"/>
              </w:rPr>
              <w:t>2</w:t>
            </w:r>
          </w:p>
        </w:tc>
        <w:tc>
          <w:tcPr>
            <w:tcW w:w="3513" w:type="dxa"/>
            <w:tcBorders>
              <w:top w:val="single" w:sz="4" w:space="0" w:color="auto"/>
              <w:left w:val="single" w:sz="4" w:space="0" w:color="auto"/>
              <w:bottom w:val="single" w:sz="6" w:space="0" w:color="auto"/>
            </w:tcBorders>
            <w:shd w:val="clear" w:color="auto" w:fill="auto"/>
            <w:vAlign w:val="center"/>
          </w:tcPr>
          <w:p w14:paraId="2DF977FB" w14:textId="77777777" w:rsidR="00D7521F" w:rsidRDefault="00D7521F" w:rsidP="00B84AAB">
            <w:pPr>
              <w:spacing w:before="40" w:after="40" w:line="240" w:lineRule="auto"/>
              <w:ind w:left="57" w:right="57"/>
              <w:jc w:val="center"/>
              <w:rPr>
                <w:lang w:eastAsia="ko-KR"/>
              </w:rPr>
            </w:pPr>
            <w:r>
              <w:rPr>
                <w:rFonts w:hint="eastAsia"/>
                <w:lang w:eastAsia="ko-KR"/>
              </w:rPr>
              <w:t>LC</w:t>
            </w:r>
            <w:r w:rsidRPr="007463C1">
              <w:rPr>
                <w:rFonts w:hint="eastAsia"/>
                <w:vertAlign w:val="subscript"/>
                <w:lang w:eastAsia="ko-KR"/>
              </w:rPr>
              <w:t>50</w:t>
            </w:r>
            <w:r>
              <w:rPr>
                <w:rFonts w:hint="eastAsia"/>
                <w:lang w:eastAsia="ko-KR"/>
              </w:rPr>
              <w:t xml:space="preserve"> </w:t>
            </w:r>
            <w:r>
              <w:rPr>
                <w:lang w:eastAsia="ko-KR"/>
              </w:rPr>
              <w:t>= 9,000 mg/m</w:t>
            </w:r>
            <w:r w:rsidRPr="007463C1">
              <w:rPr>
                <w:vertAlign w:val="superscript"/>
                <w:lang w:eastAsia="ko-KR"/>
              </w:rPr>
              <w:t>3</w:t>
            </w:r>
          </w:p>
        </w:tc>
        <w:tc>
          <w:tcPr>
            <w:tcW w:w="1265" w:type="dxa"/>
            <w:tcBorders>
              <w:top w:val="single" w:sz="4" w:space="0" w:color="auto"/>
              <w:bottom w:val="single" w:sz="6" w:space="0" w:color="auto"/>
              <w:right w:val="single" w:sz="4" w:space="0" w:color="auto"/>
            </w:tcBorders>
            <w:shd w:val="clear" w:color="auto" w:fill="auto"/>
            <w:vAlign w:val="center"/>
          </w:tcPr>
          <w:p w14:paraId="567C971F" w14:textId="77777777" w:rsidR="00D7521F" w:rsidRDefault="00D7521F" w:rsidP="00B84AAB">
            <w:pPr>
              <w:spacing w:before="40" w:after="40" w:line="240" w:lineRule="auto"/>
              <w:ind w:left="57" w:right="57"/>
              <w:jc w:val="center"/>
              <w:rPr>
                <w:lang w:eastAsia="ko-KR"/>
              </w:rPr>
            </w:pPr>
            <w:r>
              <w:rPr>
                <w:rFonts w:hint="eastAsia"/>
                <w:lang w:eastAsia="ko-KR"/>
              </w:rPr>
              <w:t>Cat.3</w:t>
            </w:r>
          </w:p>
        </w:tc>
        <w:tc>
          <w:tcPr>
            <w:tcW w:w="4424" w:type="dxa"/>
            <w:tcBorders>
              <w:left w:val="single" w:sz="4" w:space="0" w:color="auto"/>
              <w:bottom w:val="single" w:sz="6" w:space="0" w:color="auto"/>
            </w:tcBorders>
            <w:shd w:val="clear" w:color="auto" w:fill="auto"/>
            <w:vAlign w:val="center"/>
          </w:tcPr>
          <w:p w14:paraId="04BE7049" w14:textId="77777777" w:rsidR="00D7521F" w:rsidRPr="00BB315E" w:rsidRDefault="00627985" w:rsidP="00B84AAB">
            <w:pPr>
              <w:spacing w:before="40" w:after="40" w:line="240" w:lineRule="auto"/>
              <w:ind w:left="57" w:right="57"/>
              <w:jc w:val="center"/>
              <w:rPr>
                <w:color w:val="4F81BD" w:themeColor="accent1"/>
                <w:highlight w:val="yellow"/>
                <w:lang w:eastAsia="ko-KR"/>
              </w:rPr>
            </w:pPr>
            <w:hyperlink r:id="rId37" w:history="1">
              <w:r w:rsidR="00D7521F" w:rsidRPr="00BB315E">
                <w:rPr>
                  <w:rStyle w:val="Hyperlink"/>
                  <w:color w:val="4F81BD" w:themeColor="accent1"/>
                </w:rPr>
                <w:t>https://echa.europa.eu/registration-dossier/-/registered-dossier/13521/7/3/3/?documentUUID=3b895cb8-c1e2-442d-ba9b-ef103e53f24a</w:t>
              </w:r>
            </w:hyperlink>
          </w:p>
        </w:tc>
      </w:tr>
      <w:tr w:rsidR="00D7521F" w14:paraId="57318FF6" w14:textId="77777777" w:rsidTr="00B84AAB">
        <w:trPr>
          <w:gridAfter w:val="1"/>
          <w:wAfter w:w="7" w:type="dxa"/>
          <w:trHeight w:val="250"/>
        </w:trPr>
        <w:tc>
          <w:tcPr>
            <w:tcW w:w="1128" w:type="dxa"/>
            <w:vMerge/>
            <w:shd w:val="clear" w:color="auto" w:fill="auto"/>
            <w:vAlign w:val="center"/>
          </w:tcPr>
          <w:p w14:paraId="549EECEC" w14:textId="77777777" w:rsidR="00D7521F" w:rsidRDefault="00D7521F" w:rsidP="00B84AAB">
            <w:pPr>
              <w:spacing w:before="40" w:after="40" w:line="240" w:lineRule="auto"/>
              <w:ind w:left="57" w:right="57"/>
              <w:jc w:val="center"/>
              <w:rPr>
                <w:lang w:eastAsia="ko-KR"/>
              </w:rPr>
            </w:pPr>
          </w:p>
        </w:tc>
        <w:tc>
          <w:tcPr>
            <w:tcW w:w="1446" w:type="dxa"/>
            <w:tcBorders>
              <w:top w:val="single" w:sz="6" w:space="0" w:color="auto"/>
              <w:bottom w:val="single" w:sz="6" w:space="0" w:color="auto"/>
            </w:tcBorders>
            <w:shd w:val="clear" w:color="auto" w:fill="auto"/>
            <w:vAlign w:val="center"/>
          </w:tcPr>
          <w:p w14:paraId="6FF40A20" w14:textId="77777777" w:rsidR="00D7521F" w:rsidRDefault="00D7521F" w:rsidP="00B84AAB">
            <w:pPr>
              <w:keepNext/>
              <w:keepLines/>
              <w:spacing w:before="40" w:after="40" w:line="240" w:lineRule="auto"/>
              <w:ind w:left="57" w:right="57"/>
              <w:jc w:val="center"/>
              <w:rPr>
                <w:lang w:eastAsia="ko-KR"/>
              </w:rPr>
            </w:pPr>
            <w:r>
              <w:rPr>
                <w:rFonts w:hint="eastAsia"/>
                <w:lang w:eastAsia="ko-KR"/>
              </w:rPr>
              <w:t>Study report</w:t>
            </w:r>
          </w:p>
        </w:tc>
        <w:tc>
          <w:tcPr>
            <w:tcW w:w="871" w:type="dxa"/>
            <w:tcBorders>
              <w:top w:val="single" w:sz="6" w:space="0" w:color="auto"/>
              <w:bottom w:val="single" w:sz="6" w:space="0" w:color="auto"/>
            </w:tcBorders>
            <w:shd w:val="clear" w:color="auto" w:fill="auto"/>
            <w:vAlign w:val="center"/>
          </w:tcPr>
          <w:p w14:paraId="00355927" w14:textId="77777777" w:rsidR="00D7521F" w:rsidRDefault="00D7521F" w:rsidP="00B84AAB">
            <w:pPr>
              <w:keepNext/>
              <w:keepLines/>
              <w:spacing w:before="40" w:after="40" w:line="240" w:lineRule="auto"/>
              <w:ind w:left="57" w:right="57"/>
              <w:jc w:val="center"/>
              <w:rPr>
                <w:lang w:eastAsia="ko-KR"/>
              </w:rPr>
            </w:pPr>
            <w:r>
              <w:rPr>
                <w:rFonts w:hint="eastAsia"/>
                <w:lang w:eastAsia="ko-KR"/>
              </w:rPr>
              <w:t>No</w:t>
            </w:r>
          </w:p>
        </w:tc>
        <w:tc>
          <w:tcPr>
            <w:tcW w:w="1124" w:type="dxa"/>
            <w:tcBorders>
              <w:top w:val="single" w:sz="6" w:space="0" w:color="auto"/>
              <w:bottom w:val="single" w:sz="6" w:space="0" w:color="auto"/>
              <w:right w:val="single" w:sz="4" w:space="0" w:color="auto"/>
            </w:tcBorders>
            <w:shd w:val="clear" w:color="auto" w:fill="auto"/>
            <w:vAlign w:val="center"/>
          </w:tcPr>
          <w:p w14:paraId="19A9D376" w14:textId="77777777" w:rsidR="00D7521F" w:rsidRDefault="00D7521F" w:rsidP="00B84AAB">
            <w:pPr>
              <w:keepNext/>
              <w:keepLines/>
              <w:spacing w:before="40" w:after="40" w:line="240" w:lineRule="auto"/>
              <w:ind w:left="57" w:right="57"/>
              <w:jc w:val="center"/>
              <w:rPr>
                <w:lang w:eastAsia="ko-KR"/>
              </w:rPr>
            </w:pPr>
            <w:r>
              <w:rPr>
                <w:rFonts w:hint="eastAsia"/>
                <w:lang w:eastAsia="ko-KR"/>
              </w:rPr>
              <w:t>2</w:t>
            </w:r>
          </w:p>
        </w:tc>
        <w:tc>
          <w:tcPr>
            <w:tcW w:w="3513" w:type="dxa"/>
            <w:tcBorders>
              <w:top w:val="single" w:sz="6" w:space="0" w:color="auto"/>
              <w:left w:val="single" w:sz="4" w:space="0" w:color="auto"/>
              <w:bottom w:val="single" w:sz="6" w:space="0" w:color="auto"/>
            </w:tcBorders>
            <w:shd w:val="clear" w:color="auto" w:fill="auto"/>
            <w:vAlign w:val="center"/>
          </w:tcPr>
          <w:p w14:paraId="23220261" w14:textId="77777777" w:rsidR="00D7521F" w:rsidRDefault="00D7521F" w:rsidP="00B84AAB">
            <w:pPr>
              <w:keepNext/>
              <w:keepLines/>
              <w:spacing w:before="40" w:after="40" w:line="240" w:lineRule="auto"/>
              <w:ind w:left="57" w:right="57"/>
              <w:jc w:val="center"/>
              <w:rPr>
                <w:lang w:eastAsia="ko-KR"/>
              </w:rPr>
            </w:pPr>
            <w:r>
              <w:rPr>
                <w:rFonts w:hint="eastAsia"/>
                <w:lang w:eastAsia="ko-KR"/>
              </w:rPr>
              <w:t>LC</w:t>
            </w:r>
            <w:r w:rsidRPr="007463C1">
              <w:rPr>
                <w:rFonts w:hint="eastAsia"/>
                <w:vertAlign w:val="subscript"/>
                <w:lang w:eastAsia="ko-KR"/>
              </w:rPr>
              <w:t>50</w:t>
            </w:r>
            <w:r w:rsidRPr="00955502">
              <w:rPr>
                <w:lang w:eastAsia="ko-KR"/>
              </w:rPr>
              <w:t xml:space="preserve"> &lt; 11,710 mg/m³ air</w:t>
            </w:r>
            <w:r>
              <w:rPr>
                <w:lang w:eastAsia="ko-KR"/>
              </w:rPr>
              <w:t xml:space="preserve"> (1H)</w:t>
            </w:r>
          </w:p>
        </w:tc>
        <w:tc>
          <w:tcPr>
            <w:tcW w:w="1265" w:type="dxa"/>
            <w:tcBorders>
              <w:top w:val="single" w:sz="6" w:space="0" w:color="auto"/>
              <w:bottom w:val="single" w:sz="6" w:space="0" w:color="auto"/>
              <w:right w:val="single" w:sz="4" w:space="0" w:color="auto"/>
            </w:tcBorders>
            <w:shd w:val="clear" w:color="auto" w:fill="auto"/>
            <w:vAlign w:val="center"/>
          </w:tcPr>
          <w:p w14:paraId="6AC20108" w14:textId="77777777" w:rsidR="00D7521F" w:rsidRPr="00955502" w:rsidRDefault="00D7521F" w:rsidP="00B84AAB">
            <w:pPr>
              <w:keepNext/>
              <w:keepLines/>
              <w:spacing w:before="40" w:after="40" w:line="240" w:lineRule="auto"/>
              <w:ind w:left="57" w:right="57"/>
              <w:jc w:val="center"/>
              <w:rPr>
                <w:lang w:eastAsia="ko-KR"/>
              </w:rPr>
            </w:pPr>
            <w:r>
              <w:rPr>
                <w:rFonts w:hint="eastAsia"/>
                <w:lang w:eastAsia="ko-KR"/>
              </w:rPr>
              <w:t>Cat.3</w:t>
            </w:r>
          </w:p>
        </w:tc>
        <w:tc>
          <w:tcPr>
            <w:tcW w:w="4424" w:type="dxa"/>
            <w:tcBorders>
              <w:top w:val="single" w:sz="6" w:space="0" w:color="auto"/>
              <w:left w:val="single" w:sz="4" w:space="0" w:color="auto"/>
              <w:bottom w:val="single" w:sz="6" w:space="0" w:color="auto"/>
            </w:tcBorders>
            <w:shd w:val="clear" w:color="auto" w:fill="auto"/>
            <w:vAlign w:val="center"/>
          </w:tcPr>
          <w:p w14:paraId="2FAE925C" w14:textId="77777777" w:rsidR="00D7521F" w:rsidRPr="00BB315E" w:rsidRDefault="00627985" w:rsidP="00B84AAB">
            <w:pPr>
              <w:keepNext/>
              <w:keepLines/>
              <w:spacing w:before="40" w:after="40" w:line="240" w:lineRule="auto"/>
              <w:ind w:left="57" w:right="57"/>
              <w:jc w:val="center"/>
              <w:rPr>
                <w:color w:val="4F81BD" w:themeColor="accent1"/>
              </w:rPr>
            </w:pPr>
            <w:hyperlink r:id="rId38" w:history="1">
              <w:r w:rsidR="00D7521F" w:rsidRPr="00BB315E">
                <w:rPr>
                  <w:rStyle w:val="Hyperlink"/>
                  <w:color w:val="4F81BD" w:themeColor="accent1"/>
                </w:rPr>
                <w:t>https://echa.europa.eu/sv/registration-dossier/-/registered-dossier/13521/7/3/3/?documentUUID=8b0dbaef-c4e3-443b-961d-77fdea82aa07</w:t>
              </w:r>
            </w:hyperlink>
          </w:p>
        </w:tc>
      </w:tr>
      <w:tr w:rsidR="00D7521F" w14:paraId="51E148AF" w14:textId="77777777" w:rsidTr="00B84AAB">
        <w:trPr>
          <w:gridAfter w:val="1"/>
          <w:wAfter w:w="7" w:type="dxa"/>
          <w:trHeight w:val="138"/>
        </w:trPr>
        <w:tc>
          <w:tcPr>
            <w:tcW w:w="1128" w:type="dxa"/>
            <w:vMerge/>
            <w:shd w:val="clear" w:color="auto" w:fill="auto"/>
            <w:vAlign w:val="center"/>
          </w:tcPr>
          <w:p w14:paraId="236CC795" w14:textId="77777777" w:rsidR="00D7521F" w:rsidRDefault="00D7521F" w:rsidP="00B84AAB">
            <w:pPr>
              <w:spacing w:before="40" w:after="40" w:line="240" w:lineRule="auto"/>
              <w:ind w:left="57" w:right="57"/>
              <w:jc w:val="center"/>
              <w:rPr>
                <w:lang w:eastAsia="ko-KR"/>
              </w:rPr>
            </w:pPr>
          </w:p>
        </w:tc>
        <w:tc>
          <w:tcPr>
            <w:tcW w:w="1446" w:type="dxa"/>
            <w:tcBorders>
              <w:top w:val="single" w:sz="6" w:space="0" w:color="auto"/>
              <w:bottom w:val="single" w:sz="6" w:space="0" w:color="auto"/>
            </w:tcBorders>
            <w:shd w:val="clear" w:color="auto" w:fill="auto"/>
            <w:vAlign w:val="center"/>
          </w:tcPr>
          <w:p w14:paraId="1F31523B" w14:textId="77777777" w:rsidR="00D7521F" w:rsidRDefault="00D7521F" w:rsidP="00B84AAB">
            <w:pPr>
              <w:spacing w:before="40" w:after="40" w:line="240" w:lineRule="auto"/>
              <w:ind w:left="57" w:right="57"/>
              <w:jc w:val="center"/>
              <w:rPr>
                <w:lang w:eastAsia="ko-KR"/>
              </w:rPr>
            </w:pPr>
            <w:r w:rsidRPr="00DB405A">
              <w:rPr>
                <w:rFonts w:hint="eastAsia"/>
                <w:lang w:eastAsia="ko-KR"/>
              </w:rPr>
              <w:t>Publication</w:t>
            </w:r>
          </w:p>
        </w:tc>
        <w:tc>
          <w:tcPr>
            <w:tcW w:w="871" w:type="dxa"/>
            <w:tcBorders>
              <w:top w:val="single" w:sz="6" w:space="0" w:color="auto"/>
              <w:bottom w:val="single" w:sz="6" w:space="0" w:color="auto"/>
            </w:tcBorders>
            <w:shd w:val="clear" w:color="auto" w:fill="auto"/>
            <w:vAlign w:val="center"/>
          </w:tcPr>
          <w:p w14:paraId="422C76A1" w14:textId="77777777" w:rsidR="00D7521F" w:rsidRDefault="00D7521F" w:rsidP="00B84AAB">
            <w:pPr>
              <w:spacing w:before="40" w:after="40" w:line="240" w:lineRule="auto"/>
              <w:ind w:left="57" w:right="57"/>
              <w:jc w:val="center"/>
              <w:rPr>
                <w:lang w:eastAsia="ko-KR"/>
              </w:rPr>
            </w:pPr>
          </w:p>
        </w:tc>
        <w:tc>
          <w:tcPr>
            <w:tcW w:w="1124" w:type="dxa"/>
            <w:tcBorders>
              <w:top w:val="single" w:sz="6" w:space="0" w:color="auto"/>
              <w:bottom w:val="single" w:sz="6" w:space="0" w:color="auto"/>
              <w:right w:val="single" w:sz="4" w:space="0" w:color="auto"/>
            </w:tcBorders>
            <w:shd w:val="clear" w:color="auto" w:fill="auto"/>
            <w:vAlign w:val="center"/>
          </w:tcPr>
          <w:p w14:paraId="3ECFC61F" w14:textId="77777777" w:rsidR="00D7521F" w:rsidRDefault="00D7521F" w:rsidP="00B84AAB">
            <w:pPr>
              <w:spacing w:before="40" w:after="40" w:line="240" w:lineRule="auto"/>
              <w:ind w:left="57" w:right="57"/>
              <w:jc w:val="center"/>
              <w:rPr>
                <w:lang w:eastAsia="ko-KR"/>
              </w:rPr>
            </w:pPr>
          </w:p>
        </w:tc>
        <w:tc>
          <w:tcPr>
            <w:tcW w:w="3513" w:type="dxa"/>
            <w:tcBorders>
              <w:top w:val="single" w:sz="6" w:space="0" w:color="auto"/>
              <w:left w:val="single" w:sz="4" w:space="0" w:color="auto"/>
              <w:bottom w:val="single" w:sz="6" w:space="0" w:color="auto"/>
            </w:tcBorders>
            <w:shd w:val="clear" w:color="auto" w:fill="auto"/>
            <w:vAlign w:val="center"/>
          </w:tcPr>
          <w:p w14:paraId="43F05F9D" w14:textId="77777777" w:rsidR="00D7521F" w:rsidRPr="00955502" w:rsidRDefault="00D7521F" w:rsidP="00B84AAB">
            <w:pPr>
              <w:spacing w:before="40" w:after="40" w:line="240" w:lineRule="auto"/>
              <w:ind w:left="57" w:right="57"/>
              <w:jc w:val="center"/>
              <w:rPr>
                <w:lang w:eastAsia="ko-KR"/>
              </w:rPr>
            </w:pPr>
            <w:r>
              <w:rPr>
                <w:rFonts w:hint="eastAsia"/>
                <w:lang w:eastAsia="ko-KR"/>
              </w:rPr>
              <w:t>LC</w:t>
            </w:r>
            <w:r w:rsidRPr="007463C1">
              <w:rPr>
                <w:rFonts w:hint="eastAsia"/>
                <w:vertAlign w:val="subscript"/>
                <w:lang w:eastAsia="ko-KR"/>
              </w:rPr>
              <w:t>50</w:t>
            </w:r>
            <w:r>
              <w:rPr>
                <w:rFonts w:hint="eastAsia"/>
                <w:lang w:eastAsia="ko-KR"/>
              </w:rPr>
              <w:t xml:space="preserve"> </w:t>
            </w:r>
            <w:r>
              <w:rPr>
                <w:lang w:eastAsia="ko-KR"/>
              </w:rPr>
              <w:t>= 1,100 mg/m</w:t>
            </w:r>
            <w:r w:rsidRPr="007463C1">
              <w:rPr>
                <w:vertAlign w:val="superscript"/>
                <w:lang w:eastAsia="ko-KR"/>
              </w:rPr>
              <w:t>3</w:t>
            </w:r>
            <w:r>
              <w:rPr>
                <w:lang w:eastAsia="ko-KR"/>
              </w:rPr>
              <w:t>(2</w:t>
            </w:r>
            <w:r>
              <w:rPr>
                <w:rFonts w:hint="eastAsia"/>
                <w:lang w:eastAsia="ko-KR"/>
              </w:rPr>
              <w:t>H)</w:t>
            </w:r>
          </w:p>
        </w:tc>
        <w:tc>
          <w:tcPr>
            <w:tcW w:w="1265" w:type="dxa"/>
            <w:tcBorders>
              <w:top w:val="single" w:sz="6" w:space="0" w:color="auto"/>
              <w:bottom w:val="single" w:sz="6" w:space="0" w:color="auto"/>
              <w:right w:val="single" w:sz="4" w:space="0" w:color="auto"/>
            </w:tcBorders>
            <w:shd w:val="clear" w:color="auto" w:fill="auto"/>
            <w:vAlign w:val="center"/>
          </w:tcPr>
          <w:p w14:paraId="7790E765" w14:textId="77777777" w:rsidR="00D7521F" w:rsidRDefault="00D7521F" w:rsidP="00B84AAB">
            <w:pPr>
              <w:spacing w:before="40" w:after="40" w:line="240" w:lineRule="auto"/>
              <w:ind w:left="57" w:right="57"/>
              <w:jc w:val="center"/>
              <w:rPr>
                <w:lang w:eastAsia="ko-KR"/>
              </w:rPr>
            </w:pPr>
            <w:r>
              <w:rPr>
                <w:rFonts w:hint="eastAsia"/>
                <w:lang w:eastAsia="ko-KR"/>
              </w:rPr>
              <w:t>Cat. 2</w:t>
            </w:r>
          </w:p>
        </w:tc>
        <w:tc>
          <w:tcPr>
            <w:tcW w:w="4424" w:type="dxa"/>
            <w:tcBorders>
              <w:top w:val="single" w:sz="6" w:space="0" w:color="auto"/>
              <w:left w:val="single" w:sz="4" w:space="0" w:color="auto"/>
              <w:bottom w:val="single" w:sz="6" w:space="0" w:color="auto"/>
            </w:tcBorders>
            <w:shd w:val="clear" w:color="auto" w:fill="auto"/>
            <w:vAlign w:val="center"/>
          </w:tcPr>
          <w:p w14:paraId="0D09F3F9" w14:textId="77777777" w:rsidR="00D7521F" w:rsidRPr="00BB315E" w:rsidRDefault="00627985" w:rsidP="00B84AAB">
            <w:pPr>
              <w:spacing w:before="40" w:after="40" w:line="240" w:lineRule="auto"/>
              <w:ind w:left="57" w:right="57"/>
              <w:jc w:val="center"/>
              <w:rPr>
                <w:color w:val="4F81BD" w:themeColor="accent1"/>
              </w:rPr>
            </w:pPr>
            <w:hyperlink r:id="rId39" w:anchor="section=NIOSH-Toxicity-Data&amp;fullscreen=true" w:history="1">
              <w:r w:rsidR="00D7521F" w:rsidRPr="00BB315E">
                <w:rPr>
                  <w:rStyle w:val="Hyperlink"/>
                  <w:color w:val="4F81BD" w:themeColor="accent1"/>
                </w:rPr>
                <w:t>https://pubchem.ncbi.nlm.nih.gov/compound/7415#section=NIOSH-Toxicity-Data&amp;fullscreen=true</w:t>
              </w:r>
            </w:hyperlink>
          </w:p>
        </w:tc>
      </w:tr>
      <w:tr w:rsidR="00D7521F" w14:paraId="27289ECD" w14:textId="77777777" w:rsidTr="00B84AAB">
        <w:trPr>
          <w:gridAfter w:val="1"/>
          <w:wAfter w:w="7" w:type="dxa"/>
          <w:trHeight w:val="250"/>
        </w:trPr>
        <w:tc>
          <w:tcPr>
            <w:tcW w:w="1128" w:type="dxa"/>
            <w:vMerge/>
            <w:shd w:val="clear" w:color="auto" w:fill="auto"/>
            <w:vAlign w:val="center"/>
          </w:tcPr>
          <w:p w14:paraId="4AAE4860" w14:textId="77777777" w:rsidR="00D7521F" w:rsidRDefault="00D7521F" w:rsidP="00B84AAB">
            <w:pPr>
              <w:spacing w:before="40" w:after="40" w:line="240" w:lineRule="auto"/>
              <w:ind w:left="57" w:right="57"/>
              <w:jc w:val="center"/>
              <w:rPr>
                <w:lang w:eastAsia="ko-KR"/>
              </w:rPr>
            </w:pPr>
          </w:p>
        </w:tc>
        <w:tc>
          <w:tcPr>
            <w:tcW w:w="1446" w:type="dxa"/>
            <w:tcBorders>
              <w:top w:val="single" w:sz="6" w:space="0" w:color="auto"/>
            </w:tcBorders>
            <w:shd w:val="clear" w:color="auto" w:fill="auto"/>
            <w:vAlign w:val="center"/>
          </w:tcPr>
          <w:p w14:paraId="1B1B6CCF" w14:textId="77777777" w:rsidR="00D7521F" w:rsidRDefault="00D7521F" w:rsidP="00B84AAB">
            <w:pPr>
              <w:spacing w:before="40" w:after="40" w:line="240" w:lineRule="auto"/>
              <w:ind w:left="57" w:right="57"/>
              <w:jc w:val="center"/>
              <w:rPr>
                <w:lang w:eastAsia="ko-KR"/>
              </w:rPr>
            </w:pPr>
            <w:r w:rsidRPr="00DB405A">
              <w:rPr>
                <w:rFonts w:hint="eastAsia"/>
                <w:lang w:eastAsia="ko-KR"/>
              </w:rPr>
              <w:t>Publication</w:t>
            </w:r>
          </w:p>
        </w:tc>
        <w:tc>
          <w:tcPr>
            <w:tcW w:w="871" w:type="dxa"/>
            <w:tcBorders>
              <w:top w:val="single" w:sz="6" w:space="0" w:color="auto"/>
            </w:tcBorders>
            <w:shd w:val="clear" w:color="auto" w:fill="auto"/>
            <w:vAlign w:val="center"/>
          </w:tcPr>
          <w:p w14:paraId="062A0430" w14:textId="77777777" w:rsidR="00D7521F" w:rsidRDefault="00D7521F" w:rsidP="00B84AAB">
            <w:pPr>
              <w:spacing w:before="40" w:after="40" w:line="240" w:lineRule="auto"/>
              <w:ind w:left="57" w:right="57"/>
              <w:jc w:val="center"/>
              <w:rPr>
                <w:lang w:eastAsia="ko-KR"/>
              </w:rPr>
            </w:pPr>
          </w:p>
        </w:tc>
        <w:tc>
          <w:tcPr>
            <w:tcW w:w="1124" w:type="dxa"/>
            <w:tcBorders>
              <w:top w:val="single" w:sz="6" w:space="0" w:color="auto"/>
              <w:right w:val="single" w:sz="4" w:space="0" w:color="auto"/>
            </w:tcBorders>
            <w:shd w:val="clear" w:color="auto" w:fill="auto"/>
            <w:vAlign w:val="center"/>
          </w:tcPr>
          <w:p w14:paraId="14EF67C1" w14:textId="77777777" w:rsidR="00D7521F" w:rsidRDefault="00D7521F" w:rsidP="00B84AAB">
            <w:pPr>
              <w:spacing w:before="40" w:after="40" w:line="240" w:lineRule="auto"/>
              <w:ind w:left="57" w:right="57"/>
              <w:jc w:val="center"/>
              <w:rPr>
                <w:lang w:eastAsia="ko-KR"/>
              </w:rPr>
            </w:pPr>
          </w:p>
        </w:tc>
        <w:tc>
          <w:tcPr>
            <w:tcW w:w="3513" w:type="dxa"/>
            <w:tcBorders>
              <w:top w:val="single" w:sz="6" w:space="0" w:color="auto"/>
              <w:left w:val="single" w:sz="4" w:space="0" w:color="auto"/>
            </w:tcBorders>
            <w:shd w:val="clear" w:color="auto" w:fill="auto"/>
            <w:vAlign w:val="center"/>
          </w:tcPr>
          <w:p w14:paraId="3F6C0113" w14:textId="77777777" w:rsidR="00D7521F" w:rsidRDefault="00D7521F" w:rsidP="00B84AAB">
            <w:pPr>
              <w:spacing w:before="40" w:after="40" w:line="240" w:lineRule="auto"/>
              <w:ind w:left="57" w:right="57"/>
              <w:jc w:val="center"/>
              <w:rPr>
                <w:lang w:eastAsia="ko-KR"/>
              </w:rPr>
            </w:pPr>
            <w:r>
              <w:rPr>
                <w:rFonts w:hint="eastAsia"/>
                <w:lang w:eastAsia="ko-KR"/>
              </w:rPr>
              <w:t>LC</w:t>
            </w:r>
            <w:r w:rsidRPr="007463C1">
              <w:rPr>
                <w:rFonts w:hint="eastAsia"/>
                <w:vertAlign w:val="subscript"/>
                <w:lang w:eastAsia="ko-KR"/>
              </w:rPr>
              <w:t>50</w:t>
            </w:r>
            <w:r>
              <w:rPr>
                <w:rFonts w:hint="eastAsia"/>
                <w:lang w:eastAsia="ko-KR"/>
              </w:rPr>
              <w:t xml:space="preserve"> </w:t>
            </w:r>
            <w:r>
              <w:rPr>
                <w:lang w:eastAsia="ko-KR"/>
              </w:rPr>
              <w:t>= 1,889 mg/m</w:t>
            </w:r>
            <w:r w:rsidRPr="007463C1">
              <w:rPr>
                <w:vertAlign w:val="superscript"/>
                <w:lang w:eastAsia="ko-KR"/>
              </w:rPr>
              <w:t>3</w:t>
            </w:r>
            <w:r>
              <w:rPr>
                <w:lang w:eastAsia="ko-KR"/>
              </w:rPr>
              <w:t>(2</w:t>
            </w:r>
            <w:r>
              <w:rPr>
                <w:rFonts w:hint="eastAsia"/>
                <w:lang w:eastAsia="ko-KR"/>
              </w:rPr>
              <w:t>H)</w:t>
            </w:r>
          </w:p>
        </w:tc>
        <w:tc>
          <w:tcPr>
            <w:tcW w:w="1265" w:type="dxa"/>
            <w:tcBorders>
              <w:top w:val="single" w:sz="6" w:space="0" w:color="auto"/>
              <w:right w:val="single" w:sz="4" w:space="0" w:color="auto"/>
            </w:tcBorders>
            <w:shd w:val="clear" w:color="auto" w:fill="auto"/>
            <w:vAlign w:val="center"/>
          </w:tcPr>
          <w:p w14:paraId="2D7204F4" w14:textId="77777777" w:rsidR="00D7521F" w:rsidRDefault="00D7521F" w:rsidP="00B84AAB">
            <w:pPr>
              <w:spacing w:before="40" w:after="40" w:line="240" w:lineRule="auto"/>
              <w:ind w:left="57" w:right="57"/>
              <w:jc w:val="center"/>
              <w:rPr>
                <w:lang w:eastAsia="ko-KR"/>
              </w:rPr>
            </w:pPr>
            <w:r>
              <w:rPr>
                <w:rFonts w:hint="eastAsia"/>
                <w:lang w:eastAsia="ko-KR"/>
              </w:rPr>
              <w:t>Cat.</w:t>
            </w:r>
            <w:r>
              <w:rPr>
                <w:lang w:eastAsia="ko-KR"/>
              </w:rPr>
              <w:t xml:space="preserve"> </w:t>
            </w:r>
            <w:r>
              <w:rPr>
                <w:rFonts w:hint="eastAsia"/>
                <w:lang w:eastAsia="ko-KR"/>
              </w:rPr>
              <w:t>2</w:t>
            </w:r>
          </w:p>
        </w:tc>
        <w:tc>
          <w:tcPr>
            <w:tcW w:w="4424" w:type="dxa"/>
            <w:tcBorders>
              <w:top w:val="single" w:sz="6" w:space="0" w:color="auto"/>
              <w:left w:val="single" w:sz="4" w:space="0" w:color="auto"/>
            </w:tcBorders>
            <w:shd w:val="clear" w:color="auto" w:fill="auto"/>
            <w:vAlign w:val="center"/>
          </w:tcPr>
          <w:p w14:paraId="0A34D052" w14:textId="77777777" w:rsidR="00D7521F" w:rsidRPr="00BB315E" w:rsidRDefault="00627985" w:rsidP="00B84AAB">
            <w:pPr>
              <w:spacing w:before="40" w:after="40" w:line="240" w:lineRule="auto"/>
              <w:ind w:left="57" w:right="57"/>
              <w:jc w:val="center"/>
              <w:rPr>
                <w:color w:val="4F81BD" w:themeColor="accent1"/>
              </w:rPr>
            </w:pPr>
            <w:hyperlink r:id="rId40" w:anchor="section=NIOSH-Toxicity-Data&amp;fullscreen=true" w:history="1">
              <w:r w:rsidR="00D7521F" w:rsidRPr="00BB315E">
                <w:rPr>
                  <w:rStyle w:val="Hyperlink"/>
                  <w:color w:val="4F81BD" w:themeColor="accent1"/>
                </w:rPr>
                <w:t>https://pubchem.ncbi.nlm.nih.gov/compound/7415#section=NIOSH-Toxicity-Data&amp;fullscreen=true</w:t>
              </w:r>
            </w:hyperlink>
          </w:p>
        </w:tc>
      </w:tr>
      <w:tr w:rsidR="00D7521F" w:rsidRPr="00692207" w14:paraId="06DE97E7" w14:textId="77777777" w:rsidTr="00B84AAB">
        <w:trPr>
          <w:gridAfter w:val="1"/>
          <w:wAfter w:w="6" w:type="dxa"/>
          <w:trHeight w:val="60"/>
        </w:trPr>
        <w:tc>
          <w:tcPr>
            <w:tcW w:w="1128" w:type="dxa"/>
            <w:vMerge/>
            <w:shd w:val="clear" w:color="auto" w:fill="auto"/>
            <w:vAlign w:val="center"/>
          </w:tcPr>
          <w:p w14:paraId="5C60DD1C" w14:textId="77777777" w:rsidR="00D7521F" w:rsidRDefault="00D7521F" w:rsidP="00B84AAB">
            <w:pPr>
              <w:spacing w:before="40" w:after="40" w:line="240" w:lineRule="auto"/>
              <w:ind w:left="57" w:right="57"/>
              <w:jc w:val="center"/>
              <w:rPr>
                <w:lang w:eastAsia="ko-KR"/>
              </w:rPr>
            </w:pPr>
          </w:p>
        </w:tc>
        <w:tc>
          <w:tcPr>
            <w:tcW w:w="12644" w:type="dxa"/>
            <w:gridSpan w:val="6"/>
            <w:shd w:val="clear" w:color="auto" w:fill="auto"/>
            <w:vAlign w:val="center"/>
          </w:tcPr>
          <w:p w14:paraId="0B0F75AF" w14:textId="77777777" w:rsidR="00D7521F" w:rsidRPr="00B44EC9" w:rsidRDefault="00D7521F" w:rsidP="00B84AAB">
            <w:pPr>
              <w:spacing w:before="40" w:after="40" w:line="240" w:lineRule="auto"/>
              <w:ind w:left="57" w:right="57"/>
              <w:rPr>
                <w:lang w:val="en-US" w:eastAsia="ko-KR"/>
              </w:rPr>
            </w:pPr>
            <w:r w:rsidRPr="00B44EC9">
              <w:rPr>
                <w:rFonts w:hint="eastAsia"/>
                <w:lang w:val="en-US" w:eastAsia="ko-KR"/>
              </w:rPr>
              <w:t xml:space="preserve">- </w:t>
            </w:r>
            <w:r w:rsidRPr="00B44EC9">
              <w:rPr>
                <w:lang w:val="en-US" w:eastAsia="ko-KR"/>
              </w:rPr>
              <w:t>Most of the data on acute inhalation toxicity of N.N-Dimethyl cyclohexylamine can be obtained from data tested in the 1980s and 1990s.</w:t>
            </w:r>
          </w:p>
          <w:p w14:paraId="6B226D60" w14:textId="77777777" w:rsidR="00D7521F" w:rsidRPr="00B44EC9" w:rsidRDefault="00D7521F" w:rsidP="00B84AAB">
            <w:pPr>
              <w:spacing w:before="40" w:after="40" w:line="240" w:lineRule="auto"/>
              <w:ind w:left="57" w:right="57"/>
              <w:rPr>
                <w:lang w:val="en-US" w:eastAsia="ko-KR"/>
              </w:rPr>
            </w:pPr>
            <w:r w:rsidRPr="00B44EC9">
              <w:rPr>
                <w:rFonts w:hint="eastAsia"/>
                <w:lang w:val="en-US" w:eastAsia="ko-KR"/>
              </w:rPr>
              <w:t xml:space="preserve">- </w:t>
            </w:r>
            <w:r w:rsidRPr="00B44EC9">
              <w:rPr>
                <w:lang w:val="en-US" w:eastAsia="ko-KR"/>
              </w:rPr>
              <w:t>In the EU REACH, a test report conducted in 1988 was cited as key data and represents GHS Cat.3.</w:t>
            </w:r>
          </w:p>
          <w:p w14:paraId="22CADB8F" w14:textId="77777777" w:rsidR="00D7521F" w:rsidRPr="00B44EC9" w:rsidRDefault="00D7521F" w:rsidP="00B84AAB">
            <w:pPr>
              <w:spacing w:before="40" w:after="40" w:line="240" w:lineRule="auto"/>
              <w:ind w:left="57" w:right="57"/>
              <w:rPr>
                <w:lang w:val="en-US" w:eastAsia="ko-KR"/>
              </w:rPr>
            </w:pPr>
            <w:r w:rsidRPr="00B44EC9">
              <w:rPr>
                <w:lang w:val="en-US" w:eastAsia="ko-KR"/>
              </w:rPr>
              <w:t xml:space="preserve">- </w:t>
            </w:r>
            <w:r w:rsidRPr="00B44EC9">
              <w:rPr>
                <w:rFonts w:hint="eastAsia"/>
                <w:lang w:val="en-US" w:eastAsia="ko-KR"/>
              </w:rPr>
              <w:t>T</w:t>
            </w:r>
            <w:r w:rsidRPr="00B44EC9">
              <w:rPr>
                <w:lang w:val="en-US" w:eastAsia="ko-KR"/>
              </w:rPr>
              <w:t>wo other data were available on NIOSH TOXICITY DATA, which were assigned as Cat.2.</w:t>
            </w:r>
          </w:p>
          <w:p w14:paraId="5B55D523" w14:textId="77777777" w:rsidR="00D7521F" w:rsidRPr="00B44EC9" w:rsidRDefault="00D7521F" w:rsidP="00B84AAB">
            <w:pPr>
              <w:spacing w:before="40" w:after="40" w:line="240" w:lineRule="auto"/>
              <w:ind w:left="57" w:right="57"/>
              <w:rPr>
                <w:color w:val="0000FF"/>
                <w:lang w:val="en-US" w:eastAsia="ko-KR"/>
              </w:rPr>
            </w:pPr>
            <w:r w:rsidRPr="00B44EC9">
              <w:rPr>
                <w:rFonts w:hint="eastAsia"/>
                <w:lang w:val="en-US" w:eastAsia="ko-KR"/>
              </w:rPr>
              <w:t xml:space="preserve">- </w:t>
            </w:r>
            <w:r w:rsidRPr="00B44EC9">
              <w:rPr>
                <w:lang w:val="en-US" w:eastAsia="ko-KR"/>
              </w:rPr>
              <w:t xml:space="preserve">Based on the test report judged to be the most reliable (GLP, </w:t>
            </w:r>
            <w:r w:rsidRPr="00B44EC9">
              <w:rPr>
                <w:rFonts w:hint="eastAsia"/>
                <w:lang w:val="en-US" w:eastAsia="ko-KR"/>
              </w:rPr>
              <w:t>EU REACH</w:t>
            </w:r>
            <w:r w:rsidRPr="00B44EC9">
              <w:rPr>
                <w:lang w:val="en-US" w:eastAsia="ko-KR"/>
              </w:rPr>
              <w:t xml:space="preserve"> </w:t>
            </w:r>
            <w:r w:rsidRPr="00B44EC9">
              <w:rPr>
                <w:rFonts w:hint="eastAsia"/>
                <w:lang w:val="en-US" w:eastAsia="ko-KR"/>
              </w:rPr>
              <w:t xml:space="preserve">key </w:t>
            </w:r>
            <w:r w:rsidRPr="00B44EC9">
              <w:rPr>
                <w:lang w:val="en-US" w:eastAsia="ko-KR"/>
              </w:rPr>
              <w:t>data), the acute inhalation toxicity of N.N-Dimethyl cyclohexylamine is considered to be assigned as GHS Cat.3.</w:t>
            </w:r>
          </w:p>
        </w:tc>
      </w:tr>
    </w:tbl>
    <w:p w14:paraId="247639E2" w14:textId="77777777" w:rsidR="00D7521F" w:rsidRPr="00B44EC9" w:rsidRDefault="00D7521F" w:rsidP="00D7521F">
      <w:pPr>
        <w:spacing w:before="120"/>
        <w:rPr>
          <w:rFonts w:eastAsia="Malgun Gothic"/>
          <w:sz w:val="12"/>
          <w:szCs w:val="12"/>
          <w:lang w:val="en-US" w:eastAsia="ko-KR"/>
        </w:rPr>
      </w:pPr>
      <w:r w:rsidRPr="00B44EC9">
        <w:rPr>
          <w:rFonts w:eastAsia="Malgun Gothic"/>
          <w:sz w:val="12"/>
          <w:szCs w:val="12"/>
          <w:lang w:val="en-US" w:eastAsia="ko-KR"/>
        </w:rPr>
        <w:br w:type="page"/>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4"/>
        <w:gridCol w:w="2635"/>
        <w:gridCol w:w="1259"/>
        <w:gridCol w:w="1120"/>
        <w:gridCol w:w="3498"/>
        <w:gridCol w:w="1260"/>
        <w:gridCol w:w="2885"/>
        <w:gridCol w:w="7"/>
      </w:tblGrid>
      <w:tr w:rsidR="00D7521F" w14:paraId="04126613" w14:textId="77777777" w:rsidTr="00B84AAB">
        <w:trPr>
          <w:tblHeader/>
        </w:trPr>
        <w:tc>
          <w:tcPr>
            <w:tcW w:w="13958" w:type="dxa"/>
            <w:gridSpan w:val="8"/>
            <w:shd w:val="clear" w:color="auto" w:fill="BDD6EE"/>
            <w:vAlign w:val="center"/>
          </w:tcPr>
          <w:p w14:paraId="66975915" w14:textId="77777777" w:rsidR="00D7521F" w:rsidRPr="007463C1" w:rsidRDefault="00D7521F" w:rsidP="00B44EC9">
            <w:pPr>
              <w:spacing w:before="40" w:after="40" w:line="240" w:lineRule="auto"/>
              <w:jc w:val="center"/>
              <w:rPr>
                <w:b/>
                <w:lang w:eastAsia="ko-KR"/>
              </w:rPr>
            </w:pPr>
            <w:r w:rsidRPr="007463C1">
              <w:rPr>
                <w:rFonts w:hint="eastAsia"/>
                <w:b/>
                <w:lang w:eastAsia="ko-KR"/>
              </w:rPr>
              <w:lastRenderedPageBreak/>
              <w:t>UN 2</w:t>
            </w:r>
            <w:r w:rsidRPr="007463C1">
              <w:rPr>
                <w:b/>
                <w:lang w:eastAsia="ko-KR"/>
              </w:rPr>
              <w:t>357</w:t>
            </w:r>
            <w:r w:rsidRPr="007463C1">
              <w:rPr>
                <w:rFonts w:hint="eastAsia"/>
                <w:b/>
                <w:lang w:eastAsia="ko-KR"/>
              </w:rPr>
              <w:t xml:space="preserve">, </w:t>
            </w:r>
            <w:r w:rsidRPr="007463C1">
              <w:rPr>
                <w:b/>
                <w:lang w:eastAsia="ko-KR"/>
              </w:rPr>
              <w:t>Cyclohexylamine</w:t>
            </w:r>
          </w:p>
          <w:p w14:paraId="57416D7E" w14:textId="77777777" w:rsidR="00D7521F" w:rsidRDefault="00D7521F" w:rsidP="00B44EC9">
            <w:pPr>
              <w:spacing w:before="40" w:after="40" w:line="240" w:lineRule="auto"/>
              <w:jc w:val="center"/>
              <w:rPr>
                <w:lang w:eastAsia="ko-KR"/>
              </w:rPr>
            </w:pPr>
            <w:r>
              <w:rPr>
                <w:lang w:eastAsia="ko-KR"/>
              </w:rPr>
              <w:t>CAS no. 108-91-8</w:t>
            </w:r>
          </w:p>
        </w:tc>
      </w:tr>
      <w:tr w:rsidR="00D7521F" w14:paraId="7D5F03F2" w14:textId="77777777" w:rsidTr="00B84AAB">
        <w:trPr>
          <w:gridAfter w:val="1"/>
          <w:wAfter w:w="7" w:type="dxa"/>
          <w:tblHeader/>
        </w:trPr>
        <w:tc>
          <w:tcPr>
            <w:tcW w:w="1129" w:type="dxa"/>
            <w:shd w:val="clear" w:color="auto" w:fill="DEEAF6"/>
            <w:vAlign w:val="center"/>
          </w:tcPr>
          <w:p w14:paraId="50E29E93" w14:textId="77777777" w:rsidR="00D7521F" w:rsidRPr="007463C1" w:rsidRDefault="00D7521F" w:rsidP="00B44EC9">
            <w:pPr>
              <w:spacing w:before="40" w:after="40" w:line="240" w:lineRule="auto"/>
              <w:jc w:val="center"/>
              <w:rPr>
                <w:w w:val="90"/>
                <w:lang w:eastAsia="ko-KR"/>
              </w:rPr>
            </w:pPr>
            <w:r w:rsidRPr="007463C1">
              <w:rPr>
                <w:rFonts w:hint="eastAsia"/>
                <w:w w:val="90"/>
                <w:lang w:eastAsia="ko-KR"/>
              </w:rPr>
              <w:t>Acute Toxicity</w:t>
            </w:r>
          </w:p>
        </w:tc>
        <w:tc>
          <w:tcPr>
            <w:tcW w:w="2670" w:type="dxa"/>
            <w:shd w:val="clear" w:color="auto" w:fill="DEEAF6"/>
            <w:vAlign w:val="center"/>
          </w:tcPr>
          <w:p w14:paraId="20EA45AC" w14:textId="77777777" w:rsidR="00D7521F" w:rsidRPr="007463C1" w:rsidRDefault="00D7521F" w:rsidP="00B44EC9">
            <w:pPr>
              <w:spacing w:before="40" w:after="40" w:line="240" w:lineRule="auto"/>
              <w:jc w:val="center"/>
              <w:rPr>
                <w:w w:val="90"/>
                <w:lang w:eastAsia="ko-KR"/>
              </w:rPr>
            </w:pPr>
            <w:r w:rsidRPr="007463C1">
              <w:rPr>
                <w:w w:val="90"/>
                <w:lang w:eastAsia="ko-KR"/>
              </w:rPr>
              <w:t>R</w:t>
            </w:r>
            <w:r w:rsidRPr="007463C1">
              <w:rPr>
                <w:rFonts w:hint="eastAsia"/>
                <w:w w:val="90"/>
                <w:lang w:eastAsia="ko-KR"/>
              </w:rPr>
              <w:t xml:space="preserve">eference </w:t>
            </w:r>
            <w:r w:rsidRPr="007463C1">
              <w:rPr>
                <w:w w:val="90"/>
                <w:lang w:eastAsia="ko-KR"/>
              </w:rPr>
              <w:t>type</w:t>
            </w:r>
          </w:p>
        </w:tc>
        <w:tc>
          <w:tcPr>
            <w:tcW w:w="1275" w:type="dxa"/>
            <w:shd w:val="clear" w:color="auto" w:fill="DEEAF6"/>
            <w:vAlign w:val="center"/>
          </w:tcPr>
          <w:p w14:paraId="567F89E9" w14:textId="77777777" w:rsidR="00D7521F" w:rsidRPr="007463C1" w:rsidRDefault="00D7521F" w:rsidP="00B44EC9">
            <w:pPr>
              <w:spacing w:before="40" w:after="40" w:line="240" w:lineRule="auto"/>
              <w:jc w:val="center"/>
              <w:rPr>
                <w:w w:val="90"/>
                <w:lang w:eastAsia="ko-KR"/>
              </w:rPr>
            </w:pPr>
            <w:r w:rsidRPr="007463C1">
              <w:rPr>
                <w:w w:val="90"/>
                <w:lang w:eastAsia="ko-KR"/>
              </w:rPr>
              <w:t>GLP Compliance</w:t>
            </w:r>
          </w:p>
        </w:tc>
        <w:tc>
          <w:tcPr>
            <w:tcW w:w="1134" w:type="dxa"/>
            <w:shd w:val="clear" w:color="auto" w:fill="DEEAF6"/>
            <w:vAlign w:val="center"/>
          </w:tcPr>
          <w:p w14:paraId="75DA92D9" w14:textId="77777777" w:rsidR="00D7521F" w:rsidRPr="007463C1" w:rsidRDefault="00D7521F" w:rsidP="00B44EC9">
            <w:pPr>
              <w:spacing w:before="40" w:after="40" w:line="240" w:lineRule="auto"/>
              <w:jc w:val="center"/>
              <w:rPr>
                <w:w w:val="90"/>
                <w:lang w:eastAsia="ko-KR"/>
              </w:rPr>
            </w:pPr>
            <w:r w:rsidRPr="007463C1">
              <w:rPr>
                <w:w w:val="90"/>
                <w:lang w:eastAsia="ko-KR"/>
              </w:rPr>
              <w:t>R</w:t>
            </w:r>
            <w:r w:rsidRPr="007463C1">
              <w:rPr>
                <w:rFonts w:hint="eastAsia"/>
                <w:w w:val="90"/>
                <w:lang w:eastAsia="ko-KR"/>
              </w:rPr>
              <w:t>e</w:t>
            </w:r>
            <w:r w:rsidRPr="007463C1">
              <w:rPr>
                <w:w w:val="90"/>
                <w:lang w:eastAsia="ko-KR"/>
              </w:rPr>
              <w:t>liability</w:t>
            </w:r>
          </w:p>
        </w:tc>
        <w:tc>
          <w:tcPr>
            <w:tcW w:w="3544" w:type="dxa"/>
            <w:tcBorders>
              <w:bottom w:val="single" w:sz="4" w:space="0" w:color="auto"/>
            </w:tcBorders>
            <w:shd w:val="clear" w:color="auto" w:fill="DEEAF6"/>
            <w:vAlign w:val="center"/>
          </w:tcPr>
          <w:p w14:paraId="5D407B8D" w14:textId="77777777" w:rsidR="00D7521F" w:rsidRDefault="00D7521F" w:rsidP="00B44EC9">
            <w:pPr>
              <w:spacing w:before="40" w:after="40" w:line="240" w:lineRule="auto"/>
              <w:jc w:val="center"/>
              <w:rPr>
                <w:lang w:eastAsia="ko-KR"/>
              </w:rPr>
            </w:pPr>
            <w:r>
              <w:rPr>
                <w:rFonts w:hint="eastAsia"/>
                <w:lang w:eastAsia="ko-KR"/>
              </w:rPr>
              <w:t>result</w:t>
            </w:r>
          </w:p>
        </w:tc>
        <w:tc>
          <w:tcPr>
            <w:tcW w:w="1276" w:type="dxa"/>
            <w:tcBorders>
              <w:bottom w:val="single" w:sz="4" w:space="0" w:color="auto"/>
            </w:tcBorders>
            <w:shd w:val="clear" w:color="auto" w:fill="DEEAF6"/>
            <w:vAlign w:val="center"/>
          </w:tcPr>
          <w:p w14:paraId="0DD0BFA5" w14:textId="77777777" w:rsidR="00D7521F" w:rsidRDefault="00D7521F" w:rsidP="00B44EC9">
            <w:pPr>
              <w:spacing w:before="40" w:after="40" w:line="240" w:lineRule="auto"/>
              <w:jc w:val="center"/>
              <w:rPr>
                <w:lang w:eastAsia="ko-KR"/>
              </w:rPr>
            </w:pPr>
            <w:r>
              <w:rPr>
                <w:rFonts w:hint="eastAsia"/>
                <w:lang w:eastAsia="ko-KR"/>
              </w:rPr>
              <w:t>GHS</w:t>
            </w:r>
          </w:p>
        </w:tc>
        <w:tc>
          <w:tcPr>
            <w:tcW w:w="2923" w:type="dxa"/>
            <w:shd w:val="clear" w:color="auto" w:fill="DEEAF6"/>
            <w:vAlign w:val="center"/>
          </w:tcPr>
          <w:p w14:paraId="1C54D43E" w14:textId="77777777" w:rsidR="00D7521F" w:rsidRDefault="00D7521F" w:rsidP="00B44EC9">
            <w:pPr>
              <w:spacing w:before="40" w:after="40" w:line="240" w:lineRule="auto"/>
              <w:jc w:val="center"/>
              <w:rPr>
                <w:lang w:eastAsia="ko-KR"/>
              </w:rPr>
            </w:pPr>
            <w:r>
              <w:rPr>
                <w:rFonts w:hint="eastAsia"/>
                <w:lang w:eastAsia="ko-KR"/>
              </w:rPr>
              <w:t>Link</w:t>
            </w:r>
          </w:p>
        </w:tc>
      </w:tr>
      <w:tr w:rsidR="00D7521F" w14:paraId="0FA5EA69" w14:textId="77777777" w:rsidTr="00B84AAB">
        <w:trPr>
          <w:gridAfter w:val="1"/>
          <w:wAfter w:w="7" w:type="dxa"/>
        </w:trPr>
        <w:tc>
          <w:tcPr>
            <w:tcW w:w="1129" w:type="dxa"/>
            <w:vMerge w:val="restart"/>
            <w:shd w:val="clear" w:color="auto" w:fill="auto"/>
            <w:vAlign w:val="center"/>
          </w:tcPr>
          <w:p w14:paraId="4127484F" w14:textId="77777777" w:rsidR="00D7521F" w:rsidRDefault="00D7521F" w:rsidP="00B44EC9">
            <w:pPr>
              <w:spacing w:before="40" w:after="40" w:line="240" w:lineRule="auto"/>
              <w:jc w:val="center"/>
              <w:rPr>
                <w:lang w:eastAsia="ko-KR"/>
              </w:rPr>
            </w:pPr>
            <w:r>
              <w:rPr>
                <w:rFonts w:hint="eastAsia"/>
                <w:lang w:eastAsia="ko-KR"/>
              </w:rPr>
              <w:t>oral</w:t>
            </w:r>
          </w:p>
        </w:tc>
        <w:tc>
          <w:tcPr>
            <w:tcW w:w="2670" w:type="dxa"/>
            <w:shd w:val="clear" w:color="auto" w:fill="auto"/>
            <w:vAlign w:val="center"/>
          </w:tcPr>
          <w:p w14:paraId="1B0DE009" w14:textId="77777777" w:rsidR="00D7521F" w:rsidRPr="00B44EC9" w:rsidRDefault="00D7521F" w:rsidP="00B44EC9">
            <w:pPr>
              <w:spacing w:before="40" w:after="40" w:line="240" w:lineRule="auto"/>
              <w:jc w:val="center"/>
              <w:rPr>
                <w:lang w:val="en-US" w:eastAsia="ko-KR"/>
              </w:rPr>
            </w:pPr>
            <w:r w:rsidRPr="00B44EC9">
              <w:rPr>
                <w:lang w:val="en-US" w:eastAsia="ko-KR"/>
              </w:rPr>
              <w:t>Publication</w:t>
            </w:r>
          </w:p>
          <w:p w14:paraId="7E586ADE" w14:textId="77777777" w:rsidR="00D7521F" w:rsidRPr="00B44EC9" w:rsidRDefault="00D7521F" w:rsidP="00B44EC9">
            <w:pPr>
              <w:spacing w:before="40" w:after="40" w:line="240" w:lineRule="auto"/>
              <w:jc w:val="center"/>
              <w:rPr>
                <w:lang w:val="en-US" w:eastAsia="ko-KR"/>
              </w:rPr>
            </w:pPr>
            <w:r w:rsidRPr="00B44EC9">
              <w:rPr>
                <w:sz w:val="18"/>
                <w:lang w:val="en-US" w:eastAsia="ko-KR"/>
              </w:rPr>
              <w:t>(Sax’s Dangerous Properties of Industrial Materials. 9th ed. Volumes 1-3. New York, NY: Van Nostrand Reinhold, 1996., p. 960)</w:t>
            </w:r>
          </w:p>
        </w:tc>
        <w:tc>
          <w:tcPr>
            <w:tcW w:w="1275" w:type="dxa"/>
            <w:shd w:val="clear" w:color="auto" w:fill="auto"/>
            <w:vAlign w:val="center"/>
          </w:tcPr>
          <w:p w14:paraId="2108D04B" w14:textId="77777777" w:rsidR="00D7521F" w:rsidRDefault="00D7521F" w:rsidP="00B44EC9">
            <w:pPr>
              <w:spacing w:before="40" w:after="40" w:line="240" w:lineRule="auto"/>
              <w:jc w:val="center"/>
              <w:rPr>
                <w:lang w:eastAsia="ko-KR"/>
              </w:rPr>
            </w:pPr>
            <w:r>
              <w:rPr>
                <w:lang w:eastAsia="ko-KR"/>
              </w:rPr>
              <w:t>-</w:t>
            </w:r>
          </w:p>
        </w:tc>
        <w:tc>
          <w:tcPr>
            <w:tcW w:w="1134" w:type="dxa"/>
            <w:tcBorders>
              <w:right w:val="single" w:sz="4" w:space="0" w:color="auto"/>
            </w:tcBorders>
            <w:shd w:val="clear" w:color="auto" w:fill="auto"/>
            <w:vAlign w:val="center"/>
          </w:tcPr>
          <w:p w14:paraId="6A2B9AA5" w14:textId="77777777" w:rsidR="00D7521F" w:rsidRDefault="00D7521F" w:rsidP="00B44EC9">
            <w:pPr>
              <w:spacing w:before="40" w:after="40" w:line="240" w:lineRule="auto"/>
              <w:jc w:val="center"/>
              <w:rPr>
                <w:lang w:eastAsia="ko-KR"/>
              </w:rPr>
            </w:pPr>
            <w:r>
              <w:rPr>
                <w:lang w:eastAsia="ko-KR"/>
              </w:rPr>
              <w:t>-</w:t>
            </w:r>
          </w:p>
        </w:tc>
        <w:tc>
          <w:tcPr>
            <w:tcW w:w="3544" w:type="dxa"/>
            <w:tcBorders>
              <w:top w:val="single" w:sz="4" w:space="0" w:color="auto"/>
              <w:left w:val="single" w:sz="4" w:space="0" w:color="auto"/>
              <w:bottom w:val="single" w:sz="4" w:space="0" w:color="auto"/>
            </w:tcBorders>
            <w:shd w:val="clear" w:color="auto" w:fill="F7CAAC"/>
            <w:vAlign w:val="center"/>
          </w:tcPr>
          <w:p w14:paraId="25D89E22" w14:textId="77777777" w:rsidR="00D7521F" w:rsidRPr="00B44EC9" w:rsidRDefault="00D7521F" w:rsidP="00B44EC9">
            <w:pPr>
              <w:spacing w:before="40" w:after="40" w:line="240" w:lineRule="auto"/>
              <w:jc w:val="center"/>
              <w:rPr>
                <w:lang w:val="en-US" w:eastAsia="ko-KR"/>
              </w:rPr>
            </w:pPr>
            <w:r w:rsidRPr="00B44EC9">
              <w:rPr>
                <w:rFonts w:hint="eastAsia"/>
                <w:lang w:val="en-US" w:eastAsia="ko-KR"/>
              </w:rPr>
              <w:t>LD</w:t>
            </w:r>
            <w:r w:rsidRPr="00B44EC9">
              <w:rPr>
                <w:rFonts w:hint="eastAsia"/>
                <w:vertAlign w:val="subscript"/>
                <w:lang w:val="en-US" w:eastAsia="ko-KR"/>
              </w:rPr>
              <w:t>50</w:t>
            </w:r>
            <w:r w:rsidRPr="00B44EC9">
              <w:rPr>
                <w:rFonts w:hint="eastAsia"/>
                <w:lang w:val="en-US" w:eastAsia="ko-KR"/>
              </w:rPr>
              <w:t xml:space="preserve"> (rat) </w:t>
            </w:r>
            <w:r w:rsidRPr="00B44EC9">
              <w:rPr>
                <w:lang w:val="en-US" w:eastAsia="ko-KR"/>
              </w:rPr>
              <w:t>156 mg/kg bw</w:t>
            </w:r>
          </w:p>
        </w:tc>
        <w:tc>
          <w:tcPr>
            <w:tcW w:w="1276" w:type="dxa"/>
            <w:tcBorders>
              <w:top w:val="single" w:sz="4" w:space="0" w:color="auto"/>
              <w:bottom w:val="single" w:sz="4" w:space="0" w:color="auto"/>
              <w:right w:val="single" w:sz="4" w:space="0" w:color="auto"/>
            </w:tcBorders>
            <w:shd w:val="clear" w:color="auto" w:fill="F7CAAC"/>
            <w:vAlign w:val="center"/>
          </w:tcPr>
          <w:p w14:paraId="0237514D" w14:textId="77777777" w:rsidR="00D7521F" w:rsidRDefault="00D7521F" w:rsidP="00B44EC9">
            <w:pPr>
              <w:spacing w:before="40" w:after="40" w:line="240" w:lineRule="auto"/>
              <w:jc w:val="center"/>
              <w:rPr>
                <w:lang w:eastAsia="ko-KR"/>
              </w:rPr>
            </w:pPr>
            <w:r>
              <w:rPr>
                <w:rFonts w:hint="eastAsia"/>
                <w:lang w:eastAsia="ko-KR"/>
              </w:rPr>
              <w:t>Cat.</w:t>
            </w:r>
            <w:r>
              <w:rPr>
                <w:lang w:eastAsia="ko-KR"/>
              </w:rPr>
              <w:t>3</w:t>
            </w:r>
          </w:p>
        </w:tc>
        <w:tc>
          <w:tcPr>
            <w:tcW w:w="2923" w:type="dxa"/>
            <w:tcBorders>
              <w:left w:val="single" w:sz="4" w:space="0" w:color="auto"/>
            </w:tcBorders>
            <w:shd w:val="clear" w:color="auto" w:fill="auto"/>
            <w:vAlign w:val="center"/>
          </w:tcPr>
          <w:p w14:paraId="1F36AD5F" w14:textId="77777777" w:rsidR="00D7521F" w:rsidRPr="00BB315E" w:rsidRDefault="00627985" w:rsidP="00B44EC9">
            <w:pPr>
              <w:spacing w:before="40" w:after="40" w:line="240" w:lineRule="auto"/>
              <w:jc w:val="center"/>
              <w:rPr>
                <w:color w:val="4F81BD" w:themeColor="accent1"/>
                <w:lang w:eastAsia="ko-KR"/>
              </w:rPr>
            </w:pPr>
            <w:hyperlink r:id="rId41" w:anchor="section=Non-Human-Toxicity-Values&amp;fullscreen=true" w:history="1">
              <w:r w:rsidR="00D7521F" w:rsidRPr="00BB315E">
                <w:rPr>
                  <w:rStyle w:val="Hyperlink"/>
                  <w:color w:val="4F81BD" w:themeColor="accent1"/>
                </w:rPr>
                <w:t>https://pubchem.ncbi.nlm.nih.gov/compound/Cyclohexylamine#section=Non-Human-Toxicity-Values&amp;fullscreen=true</w:t>
              </w:r>
            </w:hyperlink>
          </w:p>
        </w:tc>
      </w:tr>
      <w:tr w:rsidR="00D7521F" w14:paraId="076CCDCF" w14:textId="77777777" w:rsidTr="00B84AAB">
        <w:trPr>
          <w:gridAfter w:val="1"/>
          <w:wAfter w:w="7" w:type="dxa"/>
          <w:trHeight w:val="2669"/>
        </w:trPr>
        <w:tc>
          <w:tcPr>
            <w:tcW w:w="1129" w:type="dxa"/>
            <w:vMerge/>
            <w:shd w:val="clear" w:color="auto" w:fill="auto"/>
            <w:vAlign w:val="center"/>
          </w:tcPr>
          <w:p w14:paraId="6B1E80E7" w14:textId="77777777" w:rsidR="00D7521F" w:rsidRDefault="00D7521F" w:rsidP="00B44EC9">
            <w:pPr>
              <w:spacing w:before="40" w:after="40" w:line="240" w:lineRule="auto"/>
              <w:jc w:val="center"/>
              <w:rPr>
                <w:lang w:eastAsia="ko-KR"/>
              </w:rPr>
            </w:pPr>
          </w:p>
        </w:tc>
        <w:tc>
          <w:tcPr>
            <w:tcW w:w="2670" w:type="dxa"/>
            <w:tcBorders>
              <w:bottom w:val="single" w:sz="6" w:space="0" w:color="auto"/>
            </w:tcBorders>
            <w:shd w:val="clear" w:color="auto" w:fill="auto"/>
            <w:vAlign w:val="center"/>
          </w:tcPr>
          <w:p w14:paraId="0C44180E" w14:textId="77777777" w:rsidR="00D7521F" w:rsidRDefault="00D7521F" w:rsidP="00B44EC9">
            <w:pPr>
              <w:spacing w:before="40" w:after="40" w:line="240" w:lineRule="auto"/>
              <w:jc w:val="center"/>
              <w:rPr>
                <w:lang w:eastAsia="ko-KR"/>
              </w:rPr>
            </w:pPr>
            <w:r>
              <w:rPr>
                <w:lang w:eastAsia="ko-KR"/>
              </w:rPr>
              <w:t>Other</w:t>
            </w:r>
          </w:p>
          <w:p w14:paraId="2B5B878F" w14:textId="77777777" w:rsidR="00D7521F" w:rsidRDefault="00D7521F" w:rsidP="00B44EC9">
            <w:pPr>
              <w:spacing w:before="40" w:after="40" w:line="240" w:lineRule="auto"/>
              <w:jc w:val="center"/>
              <w:rPr>
                <w:lang w:eastAsia="ko-KR"/>
              </w:rPr>
            </w:pPr>
            <w:r w:rsidRPr="007463C1">
              <w:rPr>
                <w:sz w:val="18"/>
                <w:lang w:eastAsia="ko-KR"/>
              </w:rPr>
              <w:t>(National Technical Information Service., OTS0534836)</w:t>
            </w:r>
          </w:p>
        </w:tc>
        <w:tc>
          <w:tcPr>
            <w:tcW w:w="1275" w:type="dxa"/>
            <w:tcBorders>
              <w:bottom w:val="single" w:sz="6" w:space="0" w:color="auto"/>
            </w:tcBorders>
            <w:shd w:val="clear" w:color="auto" w:fill="auto"/>
            <w:vAlign w:val="center"/>
          </w:tcPr>
          <w:p w14:paraId="716C54CF" w14:textId="77777777" w:rsidR="00D7521F" w:rsidRDefault="00D7521F" w:rsidP="00B44EC9">
            <w:pPr>
              <w:spacing w:before="40" w:after="40" w:line="240" w:lineRule="auto"/>
              <w:jc w:val="center"/>
              <w:rPr>
                <w:lang w:eastAsia="ko-KR"/>
              </w:rPr>
            </w:pPr>
            <w:r>
              <w:rPr>
                <w:lang w:eastAsia="ko-KR"/>
              </w:rPr>
              <w:t>-</w:t>
            </w:r>
          </w:p>
        </w:tc>
        <w:tc>
          <w:tcPr>
            <w:tcW w:w="1134" w:type="dxa"/>
            <w:tcBorders>
              <w:bottom w:val="single" w:sz="6" w:space="0" w:color="auto"/>
              <w:right w:val="single" w:sz="4" w:space="0" w:color="auto"/>
            </w:tcBorders>
            <w:shd w:val="clear" w:color="auto" w:fill="auto"/>
            <w:vAlign w:val="center"/>
          </w:tcPr>
          <w:p w14:paraId="63FE7D90" w14:textId="77777777" w:rsidR="00D7521F" w:rsidRDefault="00D7521F" w:rsidP="00B44EC9">
            <w:pPr>
              <w:spacing w:before="40" w:after="40" w:line="240" w:lineRule="auto"/>
              <w:jc w:val="center"/>
              <w:rPr>
                <w:lang w:eastAsia="ko-KR"/>
              </w:rPr>
            </w:pPr>
            <w:r>
              <w:rPr>
                <w:lang w:eastAsia="ko-KR"/>
              </w:rPr>
              <w:t>-</w:t>
            </w:r>
          </w:p>
        </w:tc>
        <w:tc>
          <w:tcPr>
            <w:tcW w:w="3544" w:type="dxa"/>
            <w:tcBorders>
              <w:top w:val="single" w:sz="4" w:space="0" w:color="auto"/>
              <w:left w:val="single" w:sz="4" w:space="0" w:color="auto"/>
              <w:bottom w:val="single" w:sz="6" w:space="0" w:color="auto"/>
            </w:tcBorders>
            <w:shd w:val="clear" w:color="auto" w:fill="auto"/>
            <w:vAlign w:val="center"/>
          </w:tcPr>
          <w:p w14:paraId="3523DA99" w14:textId="77777777" w:rsidR="00D7521F" w:rsidRPr="00B44EC9" w:rsidRDefault="00D7521F" w:rsidP="00B44EC9">
            <w:pPr>
              <w:spacing w:before="40" w:after="40" w:line="240" w:lineRule="auto"/>
              <w:jc w:val="center"/>
              <w:rPr>
                <w:lang w:val="en-US" w:eastAsia="ko-KR"/>
              </w:rPr>
            </w:pPr>
            <w:r w:rsidRPr="00B44EC9">
              <w:rPr>
                <w:rFonts w:hint="eastAsia"/>
                <w:lang w:val="en-US" w:eastAsia="ko-KR"/>
              </w:rPr>
              <w:t>LD</w:t>
            </w:r>
            <w:r w:rsidRPr="00B44EC9">
              <w:rPr>
                <w:rFonts w:hint="eastAsia"/>
                <w:vertAlign w:val="subscript"/>
                <w:lang w:val="en-US" w:eastAsia="ko-KR"/>
              </w:rPr>
              <w:t>50</w:t>
            </w:r>
            <w:r w:rsidRPr="00B44EC9">
              <w:rPr>
                <w:rFonts w:hint="eastAsia"/>
                <w:lang w:val="en-US" w:eastAsia="ko-KR"/>
              </w:rPr>
              <w:t xml:space="preserve"> (rat) </w:t>
            </w:r>
            <w:r w:rsidRPr="00B44EC9">
              <w:rPr>
                <w:lang w:val="en-US" w:eastAsia="ko-KR"/>
              </w:rPr>
              <w:t>11 mg/kg bw</w:t>
            </w:r>
          </w:p>
        </w:tc>
        <w:tc>
          <w:tcPr>
            <w:tcW w:w="1276" w:type="dxa"/>
            <w:tcBorders>
              <w:top w:val="single" w:sz="4" w:space="0" w:color="auto"/>
              <w:bottom w:val="single" w:sz="6" w:space="0" w:color="auto"/>
              <w:right w:val="single" w:sz="4" w:space="0" w:color="auto"/>
            </w:tcBorders>
            <w:shd w:val="clear" w:color="auto" w:fill="auto"/>
            <w:vAlign w:val="center"/>
          </w:tcPr>
          <w:p w14:paraId="3B85FEE4" w14:textId="77777777" w:rsidR="00D7521F" w:rsidRDefault="00D7521F" w:rsidP="00B44EC9">
            <w:pPr>
              <w:spacing w:before="40" w:after="40" w:line="240" w:lineRule="auto"/>
              <w:jc w:val="center"/>
              <w:rPr>
                <w:lang w:eastAsia="ko-KR"/>
              </w:rPr>
            </w:pPr>
            <w:r>
              <w:rPr>
                <w:rFonts w:hint="eastAsia"/>
                <w:lang w:eastAsia="ko-KR"/>
              </w:rPr>
              <w:t>Cat.</w:t>
            </w:r>
            <w:r>
              <w:rPr>
                <w:lang w:eastAsia="ko-KR"/>
              </w:rPr>
              <w:t>2</w:t>
            </w:r>
          </w:p>
        </w:tc>
        <w:tc>
          <w:tcPr>
            <w:tcW w:w="2923" w:type="dxa"/>
            <w:tcBorders>
              <w:left w:val="single" w:sz="4" w:space="0" w:color="auto"/>
              <w:bottom w:val="single" w:sz="6" w:space="0" w:color="auto"/>
            </w:tcBorders>
            <w:shd w:val="clear" w:color="auto" w:fill="auto"/>
            <w:vAlign w:val="center"/>
          </w:tcPr>
          <w:p w14:paraId="1E904C78" w14:textId="77777777" w:rsidR="00D7521F" w:rsidRPr="00BB315E" w:rsidRDefault="00627985" w:rsidP="00B44EC9">
            <w:pPr>
              <w:spacing w:before="40" w:after="40" w:line="240" w:lineRule="auto"/>
              <w:jc w:val="center"/>
              <w:rPr>
                <w:color w:val="4F81BD" w:themeColor="accent1"/>
                <w:lang w:eastAsia="ko-KR"/>
              </w:rPr>
            </w:pPr>
            <w:hyperlink r:id="rId42" w:anchor="section=NIOSH-Toxicity-Data&amp;fullscreen=true" w:history="1">
              <w:r w:rsidR="00D7521F" w:rsidRPr="00BB315E">
                <w:rPr>
                  <w:rStyle w:val="Hyperlink"/>
                  <w:color w:val="4F81BD" w:themeColor="accent1"/>
                  <w:lang w:eastAsia="ko-KR"/>
                </w:rPr>
                <w:t>https://pubchem.ncbi.nlm.nih.gov/compound/Cyclohexylamine#section=NIOSH-Toxicity-Data&amp;fullscreen=true</w:t>
              </w:r>
            </w:hyperlink>
          </w:p>
          <w:p w14:paraId="20D250B1" w14:textId="77777777" w:rsidR="00D7521F" w:rsidRPr="00BB315E" w:rsidRDefault="00D7521F" w:rsidP="00B44EC9">
            <w:pPr>
              <w:spacing w:before="40" w:after="40" w:line="240" w:lineRule="auto"/>
              <w:jc w:val="center"/>
              <w:rPr>
                <w:color w:val="4F81BD" w:themeColor="accent1"/>
                <w:lang w:eastAsia="ko-KR"/>
              </w:rPr>
            </w:pPr>
          </w:p>
          <w:p w14:paraId="3F6E5983" w14:textId="77777777" w:rsidR="00D7521F" w:rsidRPr="00BB315E" w:rsidRDefault="00627985" w:rsidP="00B44EC9">
            <w:pPr>
              <w:spacing w:before="40" w:after="40" w:line="240" w:lineRule="auto"/>
              <w:jc w:val="center"/>
              <w:rPr>
                <w:color w:val="4F81BD" w:themeColor="accent1"/>
                <w:lang w:eastAsia="ko-KR"/>
              </w:rPr>
            </w:pPr>
            <w:hyperlink r:id="rId43" w:history="1">
              <w:r w:rsidR="00D7521F" w:rsidRPr="00BB315E">
                <w:rPr>
                  <w:rStyle w:val="Hyperlink"/>
                  <w:color w:val="4F81BD" w:themeColor="accent1"/>
                </w:rPr>
                <w:t>https://echa.europa.eu/registration-dossier/-/registered-dossier/13348/7/3/2/?documentUUID=7db775d0-0a4b-40f3-862d-f8e33e24187c</w:t>
              </w:r>
            </w:hyperlink>
          </w:p>
        </w:tc>
      </w:tr>
      <w:tr w:rsidR="00D7521F" w14:paraId="744664F8" w14:textId="77777777" w:rsidTr="00B84AAB">
        <w:trPr>
          <w:gridAfter w:val="1"/>
          <w:wAfter w:w="7" w:type="dxa"/>
          <w:trHeight w:val="125"/>
        </w:trPr>
        <w:tc>
          <w:tcPr>
            <w:tcW w:w="1129" w:type="dxa"/>
            <w:vMerge/>
            <w:shd w:val="clear" w:color="auto" w:fill="auto"/>
            <w:vAlign w:val="center"/>
          </w:tcPr>
          <w:p w14:paraId="74204228" w14:textId="77777777" w:rsidR="00D7521F" w:rsidRDefault="00D7521F" w:rsidP="00B44EC9">
            <w:pPr>
              <w:spacing w:before="40" w:after="40" w:line="240" w:lineRule="auto"/>
              <w:jc w:val="center"/>
              <w:rPr>
                <w:lang w:eastAsia="ko-KR"/>
              </w:rPr>
            </w:pPr>
          </w:p>
        </w:tc>
        <w:tc>
          <w:tcPr>
            <w:tcW w:w="2670" w:type="dxa"/>
            <w:tcBorders>
              <w:top w:val="single" w:sz="6" w:space="0" w:color="auto"/>
              <w:bottom w:val="single" w:sz="6" w:space="0" w:color="auto"/>
            </w:tcBorders>
            <w:shd w:val="clear" w:color="auto" w:fill="auto"/>
            <w:vAlign w:val="center"/>
          </w:tcPr>
          <w:p w14:paraId="1496EF12" w14:textId="77777777" w:rsidR="00D7521F" w:rsidRDefault="00D7521F" w:rsidP="00B44EC9">
            <w:pPr>
              <w:spacing w:before="40" w:after="40" w:line="240" w:lineRule="auto"/>
              <w:jc w:val="center"/>
              <w:rPr>
                <w:lang w:eastAsia="ko-KR"/>
              </w:rPr>
            </w:pPr>
            <w:r w:rsidRPr="005071D8">
              <w:rPr>
                <w:lang w:eastAsia="ko-KR"/>
              </w:rPr>
              <w:t>Publication</w:t>
            </w:r>
          </w:p>
        </w:tc>
        <w:tc>
          <w:tcPr>
            <w:tcW w:w="1275" w:type="dxa"/>
            <w:tcBorders>
              <w:top w:val="single" w:sz="6" w:space="0" w:color="auto"/>
              <w:bottom w:val="single" w:sz="6" w:space="0" w:color="auto"/>
            </w:tcBorders>
            <w:shd w:val="clear" w:color="auto" w:fill="auto"/>
            <w:vAlign w:val="center"/>
          </w:tcPr>
          <w:p w14:paraId="7D5E46CC" w14:textId="77777777" w:rsidR="00D7521F" w:rsidRDefault="00D7521F" w:rsidP="00B44EC9">
            <w:pPr>
              <w:spacing w:before="40" w:after="40" w:line="240" w:lineRule="auto"/>
              <w:jc w:val="center"/>
              <w:rPr>
                <w:lang w:eastAsia="ko-KR"/>
              </w:rPr>
            </w:pPr>
            <w:r>
              <w:rPr>
                <w:lang w:eastAsia="ko-KR"/>
              </w:rPr>
              <w:t>-</w:t>
            </w:r>
          </w:p>
        </w:tc>
        <w:tc>
          <w:tcPr>
            <w:tcW w:w="1134" w:type="dxa"/>
            <w:tcBorders>
              <w:top w:val="single" w:sz="6" w:space="0" w:color="auto"/>
              <w:bottom w:val="single" w:sz="6" w:space="0" w:color="auto"/>
              <w:right w:val="single" w:sz="4" w:space="0" w:color="auto"/>
            </w:tcBorders>
            <w:shd w:val="clear" w:color="auto" w:fill="auto"/>
            <w:vAlign w:val="center"/>
          </w:tcPr>
          <w:p w14:paraId="24CF0855" w14:textId="77777777" w:rsidR="00D7521F" w:rsidRDefault="00D7521F" w:rsidP="00B44EC9">
            <w:pPr>
              <w:spacing w:before="40" w:after="40" w:line="240" w:lineRule="auto"/>
              <w:jc w:val="center"/>
              <w:rPr>
                <w:lang w:eastAsia="ko-KR"/>
              </w:rPr>
            </w:pPr>
            <w:r>
              <w:rPr>
                <w:lang w:eastAsia="ko-KR"/>
              </w:rPr>
              <w:t>-</w:t>
            </w:r>
          </w:p>
        </w:tc>
        <w:tc>
          <w:tcPr>
            <w:tcW w:w="3544" w:type="dxa"/>
            <w:tcBorders>
              <w:top w:val="single" w:sz="6" w:space="0" w:color="auto"/>
              <w:left w:val="single" w:sz="4" w:space="0" w:color="auto"/>
              <w:bottom w:val="single" w:sz="6" w:space="0" w:color="auto"/>
            </w:tcBorders>
            <w:shd w:val="clear" w:color="auto" w:fill="auto"/>
            <w:vAlign w:val="center"/>
          </w:tcPr>
          <w:p w14:paraId="357F610C" w14:textId="77777777" w:rsidR="00D7521F" w:rsidRPr="00B44EC9" w:rsidRDefault="00D7521F" w:rsidP="00B44EC9">
            <w:pPr>
              <w:spacing w:before="40" w:after="40" w:line="240" w:lineRule="auto"/>
              <w:jc w:val="center"/>
              <w:rPr>
                <w:lang w:val="en-US" w:eastAsia="ko-KR"/>
              </w:rPr>
            </w:pPr>
            <w:r w:rsidRPr="00B44EC9">
              <w:rPr>
                <w:rFonts w:hint="eastAsia"/>
                <w:lang w:val="en-US" w:eastAsia="ko-KR"/>
              </w:rPr>
              <w:t>LD</w:t>
            </w:r>
            <w:r w:rsidRPr="00B44EC9">
              <w:rPr>
                <w:rFonts w:hint="eastAsia"/>
                <w:vertAlign w:val="subscript"/>
                <w:lang w:val="en-US" w:eastAsia="ko-KR"/>
              </w:rPr>
              <w:t>50</w:t>
            </w:r>
            <w:r w:rsidRPr="00B44EC9">
              <w:rPr>
                <w:rFonts w:hint="eastAsia"/>
                <w:lang w:val="en-US" w:eastAsia="ko-KR"/>
              </w:rPr>
              <w:t xml:space="preserve"> (rat) </w:t>
            </w:r>
            <w:r w:rsidRPr="00B44EC9">
              <w:rPr>
                <w:lang w:val="en-US" w:eastAsia="ko-KR"/>
              </w:rPr>
              <w:t>530 mg/kg bw</w:t>
            </w:r>
          </w:p>
        </w:tc>
        <w:tc>
          <w:tcPr>
            <w:tcW w:w="1276" w:type="dxa"/>
            <w:tcBorders>
              <w:top w:val="single" w:sz="6" w:space="0" w:color="auto"/>
              <w:bottom w:val="single" w:sz="6" w:space="0" w:color="auto"/>
              <w:right w:val="single" w:sz="4" w:space="0" w:color="auto"/>
            </w:tcBorders>
            <w:shd w:val="clear" w:color="auto" w:fill="auto"/>
            <w:vAlign w:val="center"/>
          </w:tcPr>
          <w:p w14:paraId="72BADDBA" w14:textId="77777777" w:rsidR="00D7521F" w:rsidRDefault="00D7521F" w:rsidP="00B44EC9">
            <w:pPr>
              <w:spacing w:before="40" w:after="40" w:line="240" w:lineRule="auto"/>
              <w:jc w:val="center"/>
              <w:rPr>
                <w:lang w:eastAsia="ko-KR"/>
              </w:rPr>
            </w:pPr>
            <w:r>
              <w:rPr>
                <w:rFonts w:hint="eastAsia"/>
                <w:lang w:eastAsia="ko-KR"/>
              </w:rPr>
              <w:t>Cat.</w:t>
            </w:r>
            <w:r>
              <w:rPr>
                <w:lang w:eastAsia="ko-KR"/>
              </w:rPr>
              <w:t>4</w:t>
            </w:r>
          </w:p>
        </w:tc>
        <w:tc>
          <w:tcPr>
            <w:tcW w:w="2923" w:type="dxa"/>
            <w:tcBorders>
              <w:top w:val="single" w:sz="6" w:space="0" w:color="auto"/>
              <w:left w:val="single" w:sz="4" w:space="0" w:color="auto"/>
              <w:bottom w:val="single" w:sz="6" w:space="0" w:color="auto"/>
            </w:tcBorders>
            <w:shd w:val="clear" w:color="auto" w:fill="auto"/>
            <w:vAlign w:val="center"/>
          </w:tcPr>
          <w:p w14:paraId="05D916A5" w14:textId="77777777" w:rsidR="00D7521F" w:rsidRPr="00BB315E" w:rsidRDefault="00627985" w:rsidP="00B44EC9">
            <w:pPr>
              <w:spacing w:before="40" w:after="40" w:line="240" w:lineRule="auto"/>
              <w:jc w:val="center"/>
              <w:rPr>
                <w:color w:val="4F81BD" w:themeColor="accent1"/>
                <w:lang w:eastAsia="ko-KR"/>
              </w:rPr>
            </w:pPr>
            <w:hyperlink r:id="rId44" w:history="1">
              <w:r w:rsidR="00D7521F" w:rsidRPr="00BB315E">
                <w:rPr>
                  <w:rStyle w:val="Hyperlink"/>
                  <w:color w:val="4F81BD" w:themeColor="accent1"/>
                  <w:lang w:eastAsia="ko-KR"/>
                </w:rPr>
                <w:t>https://pubchem.ncbi.nlm.nih.gov/compound/Cyclohexylamine</w:t>
              </w:r>
            </w:hyperlink>
          </w:p>
        </w:tc>
      </w:tr>
      <w:tr w:rsidR="00D7521F" w14:paraId="16F46842" w14:textId="77777777" w:rsidTr="00B84AAB">
        <w:trPr>
          <w:gridAfter w:val="1"/>
          <w:wAfter w:w="7" w:type="dxa"/>
          <w:trHeight w:val="125"/>
        </w:trPr>
        <w:tc>
          <w:tcPr>
            <w:tcW w:w="1129" w:type="dxa"/>
            <w:vMerge/>
            <w:shd w:val="clear" w:color="auto" w:fill="auto"/>
            <w:vAlign w:val="center"/>
          </w:tcPr>
          <w:p w14:paraId="4B9C84AA" w14:textId="77777777" w:rsidR="00D7521F" w:rsidRDefault="00D7521F" w:rsidP="00B44EC9">
            <w:pPr>
              <w:spacing w:before="40" w:after="40" w:line="240" w:lineRule="auto"/>
              <w:jc w:val="center"/>
              <w:rPr>
                <w:lang w:eastAsia="ko-KR"/>
              </w:rPr>
            </w:pPr>
          </w:p>
        </w:tc>
        <w:tc>
          <w:tcPr>
            <w:tcW w:w="2670" w:type="dxa"/>
            <w:tcBorders>
              <w:top w:val="single" w:sz="6" w:space="0" w:color="auto"/>
            </w:tcBorders>
            <w:shd w:val="clear" w:color="auto" w:fill="auto"/>
            <w:vAlign w:val="center"/>
          </w:tcPr>
          <w:p w14:paraId="4E9A504A" w14:textId="77777777" w:rsidR="00D7521F" w:rsidRDefault="00D7521F" w:rsidP="00B44EC9">
            <w:pPr>
              <w:spacing w:before="40" w:after="40" w:line="240" w:lineRule="auto"/>
              <w:jc w:val="center"/>
              <w:rPr>
                <w:lang w:eastAsia="ko-KR"/>
              </w:rPr>
            </w:pPr>
            <w:r w:rsidRPr="005071D8">
              <w:rPr>
                <w:lang w:eastAsia="ko-KR"/>
              </w:rPr>
              <w:t>Publication</w:t>
            </w:r>
          </w:p>
        </w:tc>
        <w:tc>
          <w:tcPr>
            <w:tcW w:w="1275" w:type="dxa"/>
            <w:tcBorders>
              <w:top w:val="single" w:sz="6" w:space="0" w:color="auto"/>
            </w:tcBorders>
            <w:shd w:val="clear" w:color="auto" w:fill="auto"/>
            <w:vAlign w:val="center"/>
          </w:tcPr>
          <w:p w14:paraId="1106FB41" w14:textId="77777777" w:rsidR="00D7521F" w:rsidRDefault="00D7521F" w:rsidP="00B44EC9">
            <w:pPr>
              <w:spacing w:before="40" w:after="40" w:line="240" w:lineRule="auto"/>
              <w:jc w:val="center"/>
              <w:rPr>
                <w:lang w:eastAsia="ko-KR"/>
              </w:rPr>
            </w:pPr>
            <w:r>
              <w:rPr>
                <w:lang w:eastAsia="ko-KR"/>
              </w:rPr>
              <w:t>-</w:t>
            </w:r>
          </w:p>
        </w:tc>
        <w:tc>
          <w:tcPr>
            <w:tcW w:w="1134" w:type="dxa"/>
            <w:tcBorders>
              <w:top w:val="single" w:sz="6" w:space="0" w:color="auto"/>
              <w:right w:val="single" w:sz="4" w:space="0" w:color="auto"/>
            </w:tcBorders>
            <w:shd w:val="clear" w:color="auto" w:fill="auto"/>
            <w:vAlign w:val="center"/>
          </w:tcPr>
          <w:p w14:paraId="53E1B452" w14:textId="77777777" w:rsidR="00D7521F" w:rsidRDefault="00D7521F" w:rsidP="00B44EC9">
            <w:pPr>
              <w:spacing w:before="40" w:after="40" w:line="240" w:lineRule="auto"/>
              <w:jc w:val="center"/>
              <w:rPr>
                <w:lang w:eastAsia="ko-KR"/>
              </w:rPr>
            </w:pPr>
            <w:r>
              <w:rPr>
                <w:lang w:eastAsia="ko-KR"/>
              </w:rPr>
              <w:t>-</w:t>
            </w:r>
          </w:p>
        </w:tc>
        <w:tc>
          <w:tcPr>
            <w:tcW w:w="3544" w:type="dxa"/>
            <w:tcBorders>
              <w:top w:val="single" w:sz="6" w:space="0" w:color="auto"/>
              <w:left w:val="single" w:sz="4" w:space="0" w:color="auto"/>
              <w:bottom w:val="single" w:sz="4" w:space="0" w:color="auto"/>
            </w:tcBorders>
            <w:shd w:val="clear" w:color="auto" w:fill="auto"/>
            <w:vAlign w:val="center"/>
          </w:tcPr>
          <w:p w14:paraId="14CF811D" w14:textId="77777777" w:rsidR="00D7521F" w:rsidRPr="00B44EC9" w:rsidRDefault="00D7521F" w:rsidP="00B44EC9">
            <w:pPr>
              <w:spacing w:before="40" w:after="40" w:line="240" w:lineRule="auto"/>
              <w:jc w:val="center"/>
              <w:rPr>
                <w:lang w:val="en-US" w:eastAsia="ko-KR"/>
              </w:rPr>
            </w:pPr>
            <w:r w:rsidRPr="00B44EC9">
              <w:rPr>
                <w:rFonts w:hint="eastAsia"/>
                <w:lang w:val="en-US" w:eastAsia="ko-KR"/>
              </w:rPr>
              <w:t>LD</w:t>
            </w:r>
            <w:r w:rsidRPr="00B44EC9">
              <w:rPr>
                <w:rFonts w:hint="eastAsia"/>
                <w:vertAlign w:val="subscript"/>
                <w:lang w:val="en-US" w:eastAsia="ko-KR"/>
              </w:rPr>
              <w:t>50</w:t>
            </w:r>
            <w:r w:rsidRPr="00B44EC9">
              <w:rPr>
                <w:rFonts w:hint="eastAsia"/>
                <w:lang w:val="en-US" w:eastAsia="ko-KR"/>
              </w:rPr>
              <w:t xml:space="preserve"> (rat) </w:t>
            </w:r>
            <w:r w:rsidRPr="00B44EC9">
              <w:rPr>
                <w:lang w:val="en-US" w:eastAsia="ko-KR"/>
              </w:rPr>
              <w:t>224 mg/kg bw</w:t>
            </w:r>
          </w:p>
        </w:tc>
        <w:tc>
          <w:tcPr>
            <w:tcW w:w="1276" w:type="dxa"/>
            <w:tcBorders>
              <w:top w:val="single" w:sz="6" w:space="0" w:color="auto"/>
              <w:bottom w:val="single" w:sz="4" w:space="0" w:color="auto"/>
              <w:right w:val="single" w:sz="4" w:space="0" w:color="auto"/>
            </w:tcBorders>
            <w:shd w:val="clear" w:color="auto" w:fill="auto"/>
            <w:vAlign w:val="center"/>
          </w:tcPr>
          <w:p w14:paraId="7798E869" w14:textId="77777777" w:rsidR="00D7521F" w:rsidRDefault="00D7521F" w:rsidP="00B44EC9">
            <w:pPr>
              <w:spacing w:before="40" w:after="40" w:line="240" w:lineRule="auto"/>
              <w:jc w:val="center"/>
              <w:rPr>
                <w:lang w:eastAsia="ko-KR"/>
              </w:rPr>
            </w:pPr>
            <w:r>
              <w:rPr>
                <w:rFonts w:hint="eastAsia"/>
                <w:lang w:eastAsia="ko-KR"/>
              </w:rPr>
              <w:t>Cat.</w:t>
            </w:r>
            <w:r>
              <w:rPr>
                <w:lang w:eastAsia="ko-KR"/>
              </w:rPr>
              <w:t>3</w:t>
            </w:r>
          </w:p>
        </w:tc>
        <w:tc>
          <w:tcPr>
            <w:tcW w:w="2923" w:type="dxa"/>
            <w:tcBorders>
              <w:top w:val="single" w:sz="6" w:space="0" w:color="auto"/>
              <w:left w:val="single" w:sz="4" w:space="0" w:color="auto"/>
            </w:tcBorders>
            <w:shd w:val="clear" w:color="auto" w:fill="auto"/>
            <w:vAlign w:val="center"/>
          </w:tcPr>
          <w:p w14:paraId="4018EACC" w14:textId="77777777" w:rsidR="00D7521F" w:rsidRPr="00BB315E" w:rsidRDefault="00627985" w:rsidP="00B44EC9">
            <w:pPr>
              <w:spacing w:before="40" w:after="40" w:line="240" w:lineRule="auto"/>
              <w:jc w:val="center"/>
              <w:rPr>
                <w:color w:val="4F81BD" w:themeColor="accent1"/>
                <w:lang w:eastAsia="ko-KR"/>
              </w:rPr>
            </w:pPr>
            <w:hyperlink r:id="rId45" w:anchor="section=NIOSH-Toxicity-Data&amp;fullscreen=true" w:history="1">
              <w:r w:rsidR="00D7521F" w:rsidRPr="00BB315E">
                <w:rPr>
                  <w:rStyle w:val="Hyperlink"/>
                  <w:color w:val="4F81BD" w:themeColor="accent1"/>
                  <w:lang w:eastAsia="ko-KR"/>
                </w:rPr>
                <w:t>https://pubchem.ncbi.nlm.nih.gov/compound/Cyclohexylamine#section=NIOSH-Toxicity-Data&amp;fullscreen=true</w:t>
              </w:r>
            </w:hyperlink>
          </w:p>
        </w:tc>
      </w:tr>
      <w:tr w:rsidR="00D7521F" w14:paraId="056FB99E" w14:textId="77777777" w:rsidTr="00B84AAB">
        <w:trPr>
          <w:gridAfter w:val="1"/>
          <w:wAfter w:w="7" w:type="dxa"/>
        </w:trPr>
        <w:tc>
          <w:tcPr>
            <w:tcW w:w="1129" w:type="dxa"/>
            <w:vMerge/>
            <w:shd w:val="clear" w:color="auto" w:fill="auto"/>
            <w:vAlign w:val="center"/>
          </w:tcPr>
          <w:p w14:paraId="39505EC7" w14:textId="77777777" w:rsidR="00D7521F" w:rsidRDefault="00D7521F" w:rsidP="00B44EC9">
            <w:pPr>
              <w:spacing w:before="40" w:after="40" w:line="240" w:lineRule="auto"/>
              <w:jc w:val="center"/>
              <w:rPr>
                <w:lang w:eastAsia="ko-KR"/>
              </w:rPr>
            </w:pPr>
          </w:p>
        </w:tc>
        <w:tc>
          <w:tcPr>
            <w:tcW w:w="2670" w:type="dxa"/>
            <w:shd w:val="clear" w:color="auto" w:fill="auto"/>
            <w:vAlign w:val="center"/>
          </w:tcPr>
          <w:p w14:paraId="5B50D7FA" w14:textId="77777777" w:rsidR="00D7521F" w:rsidRDefault="00D7521F" w:rsidP="00B44EC9">
            <w:pPr>
              <w:spacing w:before="40" w:after="40" w:line="240" w:lineRule="auto"/>
              <w:jc w:val="center"/>
              <w:rPr>
                <w:lang w:eastAsia="ko-KR"/>
              </w:rPr>
            </w:pPr>
            <w:r>
              <w:rPr>
                <w:rFonts w:hint="eastAsia"/>
                <w:lang w:eastAsia="ko-KR"/>
              </w:rPr>
              <w:t>Study report</w:t>
            </w:r>
          </w:p>
        </w:tc>
        <w:tc>
          <w:tcPr>
            <w:tcW w:w="1275" w:type="dxa"/>
            <w:shd w:val="clear" w:color="auto" w:fill="auto"/>
            <w:vAlign w:val="center"/>
          </w:tcPr>
          <w:p w14:paraId="477A69F0" w14:textId="77777777" w:rsidR="00D7521F" w:rsidRDefault="00D7521F" w:rsidP="00B44EC9">
            <w:pPr>
              <w:spacing w:before="40" w:after="40" w:line="240" w:lineRule="auto"/>
              <w:jc w:val="center"/>
              <w:rPr>
                <w:lang w:eastAsia="ko-KR"/>
              </w:rPr>
            </w:pPr>
            <w:r>
              <w:rPr>
                <w:rFonts w:hint="eastAsia"/>
                <w:lang w:eastAsia="ko-KR"/>
              </w:rPr>
              <w:t>No</w:t>
            </w:r>
          </w:p>
        </w:tc>
        <w:tc>
          <w:tcPr>
            <w:tcW w:w="1134" w:type="dxa"/>
            <w:tcBorders>
              <w:right w:val="single" w:sz="4" w:space="0" w:color="auto"/>
            </w:tcBorders>
            <w:shd w:val="clear" w:color="auto" w:fill="auto"/>
            <w:vAlign w:val="center"/>
          </w:tcPr>
          <w:p w14:paraId="3E3EE70B" w14:textId="77777777" w:rsidR="00D7521F" w:rsidRDefault="00D7521F" w:rsidP="00B44EC9">
            <w:pPr>
              <w:spacing w:before="40" w:after="40" w:line="240" w:lineRule="auto"/>
              <w:jc w:val="center"/>
              <w:rPr>
                <w:lang w:eastAsia="ko-KR"/>
              </w:rPr>
            </w:pPr>
            <w:r>
              <w:rPr>
                <w:rFonts w:hint="eastAsia"/>
                <w:lang w:eastAsia="ko-KR"/>
              </w:rPr>
              <w:t>2</w:t>
            </w:r>
          </w:p>
        </w:tc>
        <w:tc>
          <w:tcPr>
            <w:tcW w:w="3544" w:type="dxa"/>
            <w:tcBorders>
              <w:top w:val="single" w:sz="4" w:space="0" w:color="auto"/>
              <w:left w:val="single" w:sz="4" w:space="0" w:color="auto"/>
              <w:bottom w:val="single" w:sz="4" w:space="0" w:color="auto"/>
            </w:tcBorders>
            <w:shd w:val="clear" w:color="auto" w:fill="auto"/>
            <w:vAlign w:val="center"/>
          </w:tcPr>
          <w:p w14:paraId="0E325615" w14:textId="77777777" w:rsidR="00D7521F" w:rsidRPr="00B44EC9" w:rsidRDefault="00D7521F" w:rsidP="00B44EC9">
            <w:pPr>
              <w:spacing w:before="40" w:after="40" w:line="240" w:lineRule="auto"/>
              <w:jc w:val="center"/>
              <w:rPr>
                <w:lang w:val="en-US" w:eastAsia="ko-KR"/>
              </w:rPr>
            </w:pPr>
            <w:r w:rsidRPr="00B44EC9">
              <w:rPr>
                <w:rFonts w:hint="eastAsia"/>
                <w:lang w:val="en-US" w:eastAsia="ko-KR"/>
              </w:rPr>
              <w:t>LD</w:t>
            </w:r>
            <w:r w:rsidRPr="00B44EC9">
              <w:rPr>
                <w:rFonts w:hint="eastAsia"/>
                <w:vertAlign w:val="subscript"/>
                <w:lang w:val="en-US" w:eastAsia="ko-KR"/>
              </w:rPr>
              <w:t>50</w:t>
            </w:r>
            <w:r w:rsidRPr="00B44EC9">
              <w:rPr>
                <w:rFonts w:hint="eastAsia"/>
                <w:lang w:val="en-US" w:eastAsia="ko-KR"/>
              </w:rPr>
              <w:t xml:space="preserve"> (rat) </w:t>
            </w:r>
            <w:r w:rsidRPr="00B44EC9">
              <w:rPr>
                <w:lang w:val="en-US" w:eastAsia="ko-KR"/>
              </w:rPr>
              <w:t>350 mg/kg bw</w:t>
            </w:r>
          </w:p>
        </w:tc>
        <w:tc>
          <w:tcPr>
            <w:tcW w:w="1276" w:type="dxa"/>
            <w:tcBorders>
              <w:top w:val="single" w:sz="4" w:space="0" w:color="auto"/>
              <w:bottom w:val="single" w:sz="4" w:space="0" w:color="auto"/>
              <w:right w:val="single" w:sz="4" w:space="0" w:color="auto"/>
            </w:tcBorders>
            <w:shd w:val="clear" w:color="auto" w:fill="auto"/>
            <w:vAlign w:val="center"/>
          </w:tcPr>
          <w:p w14:paraId="3C1D293D" w14:textId="77777777" w:rsidR="00D7521F" w:rsidRDefault="00D7521F" w:rsidP="00B44EC9">
            <w:pPr>
              <w:spacing w:before="40" w:after="40" w:line="240" w:lineRule="auto"/>
              <w:jc w:val="center"/>
              <w:rPr>
                <w:lang w:eastAsia="ko-KR"/>
              </w:rPr>
            </w:pPr>
            <w:r>
              <w:rPr>
                <w:rFonts w:hint="eastAsia"/>
                <w:lang w:eastAsia="ko-KR"/>
              </w:rPr>
              <w:t>Cat.</w:t>
            </w:r>
            <w:r>
              <w:rPr>
                <w:lang w:eastAsia="ko-KR"/>
              </w:rPr>
              <w:t>4</w:t>
            </w:r>
          </w:p>
        </w:tc>
        <w:tc>
          <w:tcPr>
            <w:tcW w:w="2923" w:type="dxa"/>
            <w:tcBorders>
              <w:left w:val="single" w:sz="4" w:space="0" w:color="auto"/>
            </w:tcBorders>
            <w:shd w:val="clear" w:color="auto" w:fill="auto"/>
            <w:vAlign w:val="center"/>
          </w:tcPr>
          <w:p w14:paraId="45C3D92F" w14:textId="77777777" w:rsidR="00D7521F" w:rsidRPr="00BB315E" w:rsidRDefault="00627985" w:rsidP="00B44EC9">
            <w:pPr>
              <w:spacing w:before="40" w:after="40" w:line="240" w:lineRule="auto"/>
              <w:jc w:val="center"/>
              <w:rPr>
                <w:color w:val="4F81BD" w:themeColor="accent1"/>
                <w:lang w:eastAsia="ko-KR"/>
              </w:rPr>
            </w:pPr>
            <w:hyperlink r:id="rId46" w:history="1">
              <w:r w:rsidR="00D7521F" w:rsidRPr="00BB315E">
                <w:rPr>
                  <w:rStyle w:val="Hyperlink"/>
                  <w:color w:val="4F81BD" w:themeColor="accent1"/>
                  <w:lang w:eastAsia="ko-KR"/>
                </w:rPr>
                <w:t>https://echa.europa.eu/documents/10162/3baf4dd8-ae8a-eca0-8e2a-d617a12fc29e</w:t>
              </w:r>
            </w:hyperlink>
          </w:p>
        </w:tc>
      </w:tr>
      <w:tr w:rsidR="00D7521F" w14:paraId="311245CA" w14:textId="77777777" w:rsidTr="00B84AAB">
        <w:trPr>
          <w:gridAfter w:val="1"/>
          <w:wAfter w:w="7" w:type="dxa"/>
        </w:trPr>
        <w:tc>
          <w:tcPr>
            <w:tcW w:w="1129" w:type="dxa"/>
            <w:vMerge/>
            <w:shd w:val="clear" w:color="auto" w:fill="auto"/>
            <w:vAlign w:val="center"/>
          </w:tcPr>
          <w:p w14:paraId="2A309833" w14:textId="77777777" w:rsidR="00D7521F" w:rsidRDefault="00D7521F" w:rsidP="00B44EC9">
            <w:pPr>
              <w:spacing w:before="40" w:after="40" w:line="240" w:lineRule="auto"/>
              <w:jc w:val="center"/>
              <w:rPr>
                <w:lang w:eastAsia="ko-KR"/>
              </w:rPr>
            </w:pPr>
          </w:p>
        </w:tc>
        <w:tc>
          <w:tcPr>
            <w:tcW w:w="2670" w:type="dxa"/>
            <w:shd w:val="clear" w:color="auto" w:fill="auto"/>
            <w:vAlign w:val="center"/>
          </w:tcPr>
          <w:p w14:paraId="254BA00A" w14:textId="77777777" w:rsidR="00D7521F" w:rsidRDefault="00D7521F" w:rsidP="00B44EC9">
            <w:pPr>
              <w:spacing w:before="40" w:after="40" w:line="240" w:lineRule="auto"/>
              <w:jc w:val="center"/>
              <w:rPr>
                <w:lang w:eastAsia="ko-KR"/>
              </w:rPr>
            </w:pPr>
            <w:r>
              <w:rPr>
                <w:rFonts w:hint="eastAsia"/>
                <w:lang w:eastAsia="ko-KR"/>
              </w:rPr>
              <w:t>Study report</w:t>
            </w:r>
          </w:p>
        </w:tc>
        <w:tc>
          <w:tcPr>
            <w:tcW w:w="1275" w:type="dxa"/>
            <w:shd w:val="clear" w:color="auto" w:fill="auto"/>
            <w:vAlign w:val="center"/>
          </w:tcPr>
          <w:p w14:paraId="61476C5C" w14:textId="77777777" w:rsidR="00D7521F" w:rsidRDefault="00D7521F" w:rsidP="00B44EC9">
            <w:pPr>
              <w:spacing w:before="40" w:after="40" w:line="240" w:lineRule="auto"/>
              <w:jc w:val="center"/>
              <w:rPr>
                <w:lang w:eastAsia="ko-KR"/>
              </w:rPr>
            </w:pPr>
            <w:r>
              <w:rPr>
                <w:rFonts w:hint="eastAsia"/>
                <w:lang w:eastAsia="ko-KR"/>
              </w:rPr>
              <w:t>No</w:t>
            </w:r>
          </w:p>
        </w:tc>
        <w:tc>
          <w:tcPr>
            <w:tcW w:w="1134" w:type="dxa"/>
            <w:tcBorders>
              <w:right w:val="single" w:sz="4" w:space="0" w:color="auto"/>
            </w:tcBorders>
            <w:shd w:val="clear" w:color="auto" w:fill="auto"/>
            <w:vAlign w:val="center"/>
          </w:tcPr>
          <w:p w14:paraId="0C14DF44" w14:textId="77777777" w:rsidR="00D7521F" w:rsidRDefault="00D7521F" w:rsidP="00B44EC9">
            <w:pPr>
              <w:spacing w:before="40" w:after="40" w:line="240" w:lineRule="auto"/>
              <w:jc w:val="center"/>
              <w:rPr>
                <w:lang w:eastAsia="ko-KR"/>
              </w:rPr>
            </w:pPr>
            <w:r>
              <w:rPr>
                <w:rFonts w:hint="eastAsia"/>
                <w:lang w:eastAsia="ko-KR"/>
              </w:rPr>
              <w:t>2</w:t>
            </w:r>
          </w:p>
        </w:tc>
        <w:tc>
          <w:tcPr>
            <w:tcW w:w="3544" w:type="dxa"/>
            <w:tcBorders>
              <w:top w:val="single" w:sz="4" w:space="0" w:color="auto"/>
              <w:left w:val="single" w:sz="4" w:space="0" w:color="auto"/>
              <w:bottom w:val="single" w:sz="4" w:space="0" w:color="auto"/>
            </w:tcBorders>
            <w:shd w:val="clear" w:color="auto" w:fill="auto"/>
            <w:vAlign w:val="center"/>
          </w:tcPr>
          <w:p w14:paraId="17C5DF04" w14:textId="77777777" w:rsidR="00D7521F" w:rsidRPr="00B44EC9" w:rsidRDefault="00D7521F" w:rsidP="00B44EC9">
            <w:pPr>
              <w:spacing w:before="40" w:after="40" w:line="240" w:lineRule="auto"/>
              <w:jc w:val="center"/>
              <w:rPr>
                <w:lang w:val="en-US" w:eastAsia="ko-KR"/>
              </w:rPr>
            </w:pPr>
            <w:r w:rsidRPr="00B44EC9">
              <w:rPr>
                <w:lang w:val="en-US" w:eastAsia="ko-KR"/>
              </w:rPr>
              <w:t>Mortality : 0, 0, 0, 0, 2, 4, 9, 13, 15, 15/15 respectively at 25, 50, 100, 250, 300, 350, 500, 600, 750, 1000 mg/kg bw</w:t>
            </w:r>
          </w:p>
          <w:p w14:paraId="1D094F7B" w14:textId="77777777" w:rsidR="00D7521F" w:rsidRPr="00B44EC9" w:rsidRDefault="00D7521F" w:rsidP="00B44EC9">
            <w:pPr>
              <w:spacing w:before="40" w:after="40" w:line="240" w:lineRule="auto"/>
              <w:jc w:val="center"/>
              <w:rPr>
                <w:lang w:val="en-US" w:eastAsia="ko-KR"/>
              </w:rPr>
            </w:pPr>
            <w:r w:rsidRPr="00B44EC9">
              <w:rPr>
                <w:lang w:val="en-US" w:eastAsia="ko-KR"/>
              </w:rPr>
              <w:t>LD50 : 432 mg/kg bw</w:t>
            </w:r>
          </w:p>
          <w:p w14:paraId="093AEFEA" w14:textId="77777777" w:rsidR="00D7521F" w:rsidRPr="00B44EC9" w:rsidRDefault="00D7521F" w:rsidP="00B44EC9">
            <w:pPr>
              <w:spacing w:before="40" w:after="40" w:line="240" w:lineRule="auto"/>
              <w:jc w:val="center"/>
              <w:rPr>
                <w:lang w:val="en-US" w:eastAsia="ko-KR"/>
              </w:rPr>
            </w:pPr>
            <w:r w:rsidRPr="00B44EC9">
              <w:rPr>
                <w:lang w:val="en-US" w:eastAsia="ko-KR"/>
              </w:rPr>
              <w:t>(Read-across; CN 4998-76-9)</w:t>
            </w:r>
          </w:p>
        </w:tc>
        <w:tc>
          <w:tcPr>
            <w:tcW w:w="1276" w:type="dxa"/>
            <w:tcBorders>
              <w:top w:val="single" w:sz="4" w:space="0" w:color="auto"/>
              <w:bottom w:val="single" w:sz="4" w:space="0" w:color="auto"/>
              <w:right w:val="single" w:sz="4" w:space="0" w:color="auto"/>
            </w:tcBorders>
            <w:shd w:val="clear" w:color="auto" w:fill="auto"/>
            <w:vAlign w:val="center"/>
          </w:tcPr>
          <w:p w14:paraId="35128966" w14:textId="77777777" w:rsidR="00D7521F" w:rsidRDefault="00D7521F" w:rsidP="00B44EC9">
            <w:pPr>
              <w:spacing w:before="40" w:after="40" w:line="240" w:lineRule="auto"/>
              <w:jc w:val="center"/>
              <w:rPr>
                <w:lang w:eastAsia="ko-KR"/>
              </w:rPr>
            </w:pPr>
            <w:r>
              <w:rPr>
                <w:rFonts w:hint="eastAsia"/>
                <w:lang w:eastAsia="ko-KR"/>
              </w:rPr>
              <w:t>Cat.</w:t>
            </w:r>
            <w:r>
              <w:rPr>
                <w:lang w:eastAsia="ko-KR"/>
              </w:rPr>
              <w:t>4</w:t>
            </w:r>
          </w:p>
        </w:tc>
        <w:tc>
          <w:tcPr>
            <w:tcW w:w="2923" w:type="dxa"/>
            <w:tcBorders>
              <w:left w:val="single" w:sz="4" w:space="0" w:color="auto"/>
            </w:tcBorders>
            <w:shd w:val="clear" w:color="auto" w:fill="auto"/>
            <w:vAlign w:val="center"/>
          </w:tcPr>
          <w:p w14:paraId="232DDA09" w14:textId="77777777" w:rsidR="00D7521F" w:rsidRPr="00BB315E" w:rsidRDefault="00627985" w:rsidP="00B44EC9">
            <w:pPr>
              <w:spacing w:before="40" w:after="40" w:line="240" w:lineRule="auto"/>
              <w:jc w:val="center"/>
              <w:rPr>
                <w:color w:val="4F81BD" w:themeColor="accent1"/>
                <w:lang w:eastAsia="ko-KR"/>
              </w:rPr>
            </w:pPr>
            <w:hyperlink r:id="rId47" w:history="1">
              <w:r w:rsidR="00D7521F" w:rsidRPr="00BB315E">
                <w:rPr>
                  <w:rStyle w:val="Hyperlink"/>
                  <w:color w:val="4F81BD" w:themeColor="accent1"/>
                  <w:lang w:eastAsia="ko-KR"/>
                </w:rPr>
                <w:t>https://echa.europa.eu/documents/10162/3baf4dd8-ae8a-eca0-8e2a-d617a12fc29e</w:t>
              </w:r>
            </w:hyperlink>
          </w:p>
        </w:tc>
      </w:tr>
      <w:tr w:rsidR="00D7521F" w:rsidRPr="00692207" w14:paraId="76542CBC" w14:textId="77777777" w:rsidTr="00B84AAB">
        <w:trPr>
          <w:gridAfter w:val="1"/>
          <w:wAfter w:w="7" w:type="dxa"/>
          <w:trHeight w:val="1605"/>
        </w:trPr>
        <w:tc>
          <w:tcPr>
            <w:tcW w:w="1129" w:type="dxa"/>
            <w:vMerge/>
            <w:shd w:val="clear" w:color="auto" w:fill="auto"/>
            <w:vAlign w:val="center"/>
          </w:tcPr>
          <w:p w14:paraId="250C2AE7" w14:textId="77777777" w:rsidR="00D7521F" w:rsidRDefault="00D7521F" w:rsidP="00B44EC9">
            <w:pPr>
              <w:spacing w:before="40" w:after="40" w:line="240" w:lineRule="auto"/>
              <w:jc w:val="center"/>
              <w:rPr>
                <w:lang w:eastAsia="ko-KR"/>
              </w:rPr>
            </w:pPr>
          </w:p>
        </w:tc>
        <w:tc>
          <w:tcPr>
            <w:tcW w:w="12822" w:type="dxa"/>
            <w:gridSpan w:val="6"/>
            <w:shd w:val="clear" w:color="auto" w:fill="auto"/>
            <w:vAlign w:val="center"/>
          </w:tcPr>
          <w:p w14:paraId="5ED6B58F" w14:textId="77777777" w:rsidR="00D7521F" w:rsidRPr="00B44EC9" w:rsidRDefault="00D7521F" w:rsidP="00B44EC9">
            <w:pPr>
              <w:spacing w:before="40" w:after="40" w:line="240" w:lineRule="auto"/>
              <w:rPr>
                <w:lang w:val="en-US" w:eastAsia="ko-KR"/>
              </w:rPr>
            </w:pPr>
            <w:r w:rsidRPr="00B44EC9">
              <w:rPr>
                <w:rFonts w:hint="eastAsia"/>
                <w:lang w:val="en-US" w:eastAsia="ko-KR"/>
              </w:rPr>
              <w:t xml:space="preserve">- </w:t>
            </w:r>
            <w:r w:rsidRPr="00B44EC9">
              <w:rPr>
                <w:lang w:val="en-US" w:eastAsia="ko-KR"/>
              </w:rPr>
              <w:t>There is limited reliable data on the acute oral toxicity of Cyclohexylamine and most of the study results can be found from the literature studied a long time ago.</w:t>
            </w:r>
          </w:p>
          <w:p w14:paraId="6E002063" w14:textId="77777777" w:rsidR="00D7521F" w:rsidRPr="00B44EC9" w:rsidRDefault="00D7521F" w:rsidP="00B44EC9">
            <w:pPr>
              <w:spacing w:before="40" w:after="40" w:line="240" w:lineRule="auto"/>
              <w:rPr>
                <w:lang w:val="en-US" w:eastAsia="ko-KR"/>
              </w:rPr>
            </w:pPr>
            <w:r w:rsidRPr="00B44EC9">
              <w:rPr>
                <w:rFonts w:hint="eastAsia"/>
                <w:lang w:val="en-US" w:eastAsia="ko-KR"/>
              </w:rPr>
              <w:t xml:space="preserve">- </w:t>
            </w:r>
            <w:r w:rsidRPr="00B44EC9">
              <w:rPr>
                <w:lang w:val="en-US" w:eastAsia="ko-KR"/>
              </w:rPr>
              <w:t>In a number of studies in the EU REACH registration data, acute oral toxicity of Cyclohexylamine has a range of 2~4 according to GHS.</w:t>
            </w:r>
          </w:p>
          <w:p w14:paraId="15E77652" w14:textId="77777777" w:rsidR="00D7521F" w:rsidRPr="00B44EC9" w:rsidRDefault="00D7521F" w:rsidP="00B44EC9">
            <w:pPr>
              <w:spacing w:before="40" w:after="40" w:line="240" w:lineRule="auto"/>
              <w:rPr>
                <w:lang w:val="en-US" w:eastAsia="ko-KR"/>
              </w:rPr>
            </w:pPr>
            <w:r w:rsidRPr="00B44EC9">
              <w:rPr>
                <w:rFonts w:hint="eastAsia"/>
                <w:lang w:val="en-US" w:eastAsia="ko-KR"/>
              </w:rPr>
              <w:t xml:space="preserve">- </w:t>
            </w:r>
            <w:r w:rsidRPr="00B44EC9">
              <w:rPr>
                <w:lang w:val="en-US" w:eastAsia="ko-KR"/>
              </w:rPr>
              <w:t>The most reliable data(reliability 2) commonly showed Cat.4, and the acute oral toxicity of Cyclohexylamine in EU REACH registration was submitted by Cat.4 accordingly.</w:t>
            </w:r>
          </w:p>
          <w:p w14:paraId="6BB2E11B" w14:textId="77777777" w:rsidR="00D7521F" w:rsidRPr="00B44EC9" w:rsidRDefault="00D7521F" w:rsidP="00B44EC9">
            <w:pPr>
              <w:spacing w:before="40" w:after="40" w:line="240" w:lineRule="auto"/>
              <w:rPr>
                <w:lang w:val="en-US" w:eastAsia="ko-KR"/>
              </w:rPr>
            </w:pPr>
            <w:r w:rsidRPr="00B44EC9">
              <w:rPr>
                <w:lang w:val="en-US" w:eastAsia="ko-KR"/>
              </w:rPr>
              <w:t>- But the pattern of the acute oral toxicity of Cyclohexylamine in the data outside of EU REACH registration data also appeared in range of Cat. 2~ 4.</w:t>
            </w:r>
          </w:p>
          <w:p w14:paraId="4872C74A" w14:textId="77777777" w:rsidR="00D7521F" w:rsidRPr="00B44EC9" w:rsidRDefault="00D7521F" w:rsidP="00B44EC9">
            <w:pPr>
              <w:spacing w:before="40" w:after="40" w:line="240" w:lineRule="auto"/>
              <w:rPr>
                <w:lang w:val="en-US" w:eastAsia="ko-KR"/>
              </w:rPr>
            </w:pPr>
            <w:r w:rsidRPr="00B44EC9">
              <w:rPr>
                <w:lang w:val="en-US" w:eastAsia="ko-KR"/>
              </w:rPr>
              <w:t xml:space="preserve">- </w:t>
            </w:r>
            <w:r w:rsidRPr="00B44EC9">
              <w:rPr>
                <w:rFonts w:hint="eastAsia"/>
                <w:lang w:val="en-US" w:eastAsia="ko-KR"/>
              </w:rPr>
              <w:t>A</w:t>
            </w:r>
            <w:r w:rsidRPr="00B44EC9">
              <w:rPr>
                <w:lang w:val="en-US" w:eastAsia="ko-KR"/>
              </w:rPr>
              <w:t>mong the various data, the data assigned as Cat.2 was excluded since it was very limited and not reliable. So the worst value was selected among the data</w:t>
            </w:r>
            <w:r w:rsidRPr="00B44EC9">
              <w:rPr>
                <w:rFonts w:hint="eastAsia"/>
                <w:lang w:val="en-US" w:eastAsia="ko-KR"/>
              </w:rPr>
              <w:t xml:space="preserve"> </w:t>
            </w:r>
            <w:r w:rsidRPr="00B44EC9">
              <w:rPr>
                <w:lang w:val="en-US" w:eastAsia="ko-KR"/>
              </w:rPr>
              <w:t>considered to have the same reliability except Cat.2,</w:t>
            </w:r>
            <w:r w:rsidRPr="00B44EC9">
              <w:rPr>
                <w:rFonts w:hint="eastAsia"/>
                <w:lang w:val="en-US" w:eastAsia="ko-KR"/>
              </w:rPr>
              <w:t xml:space="preserve"> </w:t>
            </w:r>
            <w:r w:rsidRPr="00B44EC9">
              <w:rPr>
                <w:lang w:val="en-US" w:eastAsia="ko-KR"/>
              </w:rPr>
              <w:t>acute oral toxicity of Cyclohexylamine is considered to be assigned as GHS Cat.3. Therefore, it meets the classification criteria of PG III for class 6.1.</w:t>
            </w:r>
          </w:p>
        </w:tc>
      </w:tr>
      <w:tr w:rsidR="00D7521F" w14:paraId="22C2B614" w14:textId="77777777" w:rsidTr="00B84AAB">
        <w:trPr>
          <w:gridAfter w:val="1"/>
          <w:wAfter w:w="7" w:type="dxa"/>
        </w:trPr>
        <w:tc>
          <w:tcPr>
            <w:tcW w:w="1129" w:type="dxa"/>
            <w:vMerge w:val="restart"/>
            <w:shd w:val="clear" w:color="auto" w:fill="auto"/>
            <w:vAlign w:val="center"/>
          </w:tcPr>
          <w:p w14:paraId="164513BF" w14:textId="77777777" w:rsidR="00D7521F" w:rsidRDefault="00D7521F" w:rsidP="00B44EC9">
            <w:pPr>
              <w:keepNext/>
              <w:keepLines/>
              <w:spacing w:before="40" w:after="40" w:line="240" w:lineRule="auto"/>
              <w:jc w:val="center"/>
              <w:rPr>
                <w:lang w:eastAsia="ko-KR"/>
              </w:rPr>
            </w:pPr>
            <w:r>
              <w:rPr>
                <w:lang w:eastAsia="ko-KR"/>
              </w:rPr>
              <w:t>Dermal</w:t>
            </w:r>
          </w:p>
        </w:tc>
        <w:tc>
          <w:tcPr>
            <w:tcW w:w="2670" w:type="dxa"/>
            <w:shd w:val="clear" w:color="auto" w:fill="auto"/>
            <w:vAlign w:val="center"/>
          </w:tcPr>
          <w:p w14:paraId="73134C24" w14:textId="77777777" w:rsidR="00D7521F" w:rsidRPr="00B44EC9" w:rsidRDefault="00D7521F" w:rsidP="00B44EC9">
            <w:pPr>
              <w:keepNext/>
              <w:keepLines/>
              <w:spacing w:before="40" w:after="40" w:line="240" w:lineRule="auto"/>
              <w:jc w:val="center"/>
              <w:rPr>
                <w:lang w:val="en-US" w:eastAsia="ko-KR"/>
              </w:rPr>
            </w:pPr>
            <w:r w:rsidRPr="00B44EC9">
              <w:rPr>
                <w:lang w:val="en-US" w:eastAsia="ko-KR"/>
              </w:rPr>
              <w:t>Publication</w:t>
            </w:r>
          </w:p>
          <w:p w14:paraId="465D0567" w14:textId="77777777" w:rsidR="00D7521F" w:rsidRPr="00B44EC9" w:rsidRDefault="00D7521F" w:rsidP="00B44EC9">
            <w:pPr>
              <w:keepNext/>
              <w:keepLines/>
              <w:spacing w:before="40" w:after="40" w:line="240" w:lineRule="auto"/>
              <w:jc w:val="center"/>
              <w:rPr>
                <w:sz w:val="12"/>
                <w:lang w:val="en-US" w:eastAsia="ko-KR"/>
              </w:rPr>
            </w:pPr>
          </w:p>
          <w:p w14:paraId="79A511DD" w14:textId="77777777" w:rsidR="00D7521F" w:rsidRPr="00B44EC9" w:rsidRDefault="00D7521F" w:rsidP="00B44EC9">
            <w:pPr>
              <w:keepNext/>
              <w:keepLines/>
              <w:spacing w:before="40" w:after="40" w:line="240" w:lineRule="auto"/>
              <w:jc w:val="center"/>
              <w:rPr>
                <w:lang w:val="en-US" w:eastAsia="ko-KR"/>
              </w:rPr>
            </w:pPr>
            <w:r w:rsidRPr="00B44EC9">
              <w:rPr>
                <w:sz w:val="18"/>
                <w:lang w:val="en-US" w:eastAsia="ko-KR"/>
              </w:rPr>
              <w:t>(Sax’s Dangerous Properties of Industrial Materials. 9th ed. Volumes 1-3. New York, NY: Van Nostrand Reinhold, 1996., p. 961)</w:t>
            </w:r>
          </w:p>
        </w:tc>
        <w:tc>
          <w:tcPr>
            <w:tcW w:w="1275" w:type="dxa"/>
            <w:shd w:val="clear" w:color="auto" w:fill="auto"/>
            <w:vAlign w:val="center"/>
          </w:tcPr>
          <w:p w14:paraId="4CAB3622" w14:textId="77777777" w:rsidR="00D7521F" w:rsidRDefault="00D7521F" w:rsidP="00B44EC9">
            <w:pPr>
              <w:keepNext/>
              <w:keepLines/>
              <w:spacing w:before="40" w:after="40" w:line="240" w:lineRule="auto"/>
              <w:jc w:val="center"/>
              <w:rPr>
                <w:lang w:eastAsia="ko-KR"/>
              </w:rPr>
            </w:pPr>
            <w:r>
              <w:rPr>
                <w:rFonts w:hint="eastAsia"/>
                <w:lang w:eastAsia="ko-KR"/>
              </w:rPr>
              <w:t>-</w:t>
            </w:r>
          </w:p>
        </w:tc>
        <w:tc>
          <w:tcPr>
            <w:tcW w:w="1134" w:type="dxa"/>
            <w:tcBorders>
              <w:right w:val="single" w:sz="4" w:space="0" w:color="auto"/>
            </w:tcBorders>
            <w:shd w:val="clear" w:color="auto" w:fill="auto"/>
            <w:vAlign w:val="center"/>
          </w:tcPr>
          <w:p w14:paraId="5F489117" w14:textId="77777777" w:rsidR="00D7521F" w:rsidRDefault="00D7521F" w:rsidP="00B44EC9">
            <w:pPr>
              <w:keepNext/>
              <w:keepLines/>
              <w:spacing w:before="40" w:after="40" w:line="240" w:lineRule="auto"/>
              <w:jc w:val="center"/>
              <w:rPr>
                <w:lang w:eastAsia="ko-KR"/>
              </w:rPr>
            </w:pPr>
            <w:r>
              <w:rPr>
                <w:rFonts w:hint="eastAsia"/>
                <w:lang w:eastAsia="ko-KR"/>
              </w:rPr>
              <w:t>-</w:t>
            </w:r>
          </w:p>
        </w:tc>
        <w:tc>
          <w:tcPr>
            <w:tcW w:w="3544" w:type="dxa"/>
            <w:tcBorders>
              <w:top w:val="single" w:sz="4" w:space="0" w:color="auto"/>
              <w:left w:val="single" w:sz="4" w:space="0" w:color="auto"/>
              <w:bottom w:val="single" w:sz="4" w:space="0" w:color="auto"/>
            </w:tcBorders>
            <w:shd w:val="clear" w:color="auto" w:fill="auto"/>
            <w:vAlign w:val="center"/>
          </w:tcPr>
          <w:p w14:paraId="7DF2F7EB" w14:textId="77777777" w:rsidR="00D7521F" w:rsidRDefault="00D7521F" w:rsidP="00B44EC9">
            <w:pPr>
              <w:keepNext/>
              <w:keepLines/>
              <w:spacing w:before="40" w:after="40" w:line="240" w:lineRule="auto"/>
              <w:jc w:val="center"/>
              <w:rPr>
                <w:lang w:eastAsia="ko-KR"/>
              </w:rPr>
            </w:pPr>
            <w:r w:rsidRPr="004B1ECD">
              <w:rPr>
                <w:rFonts w:hint="eastAsia"/>
                <w:lang w:eastAsia="ko-KR"/>
              </w:rPr>
              <w:t>LD</w:t>
            </w:r>
            <w:r w:rsidRPr="007463C1">
              <w:rPr>
                <w:rFonts w:hint="eastAsia"/>
                <w:vertAlign w:val="subscript"/>
                <w:lang w:eastAsia="ko-KR"/>
              </w:rPr>
              <w:t>50</w:t>
            </w:r>
            <w:r w:rsidRPr="004B1ECD">
              <w:rPr>
                <w:rFonts w:hint="eastAsia"/>
                <w:lang w:eastAsia="ko-KR"/>
              </w:rPr>
              <w:t xml:space="preserve"> (</w:t>
            </w:r>
            <w:r w:rsidRPr="004B1ECD">
              <w:rPr>
                <w:lang w:eastAsia="ko-KR"/>
              </w:rPr>
              <w:t>rabbit</w:t>
            </w:r>
            <w:r w:rsidRPr="004B1ECD">
              <w:rPr>
                <w:rFonts w:hint="eastAsia"/>
                <w:lang w:eastAsia="ko-KR"/>
              </w:rPr>
              <w:t xml:space="preserve">) </w:t>
            </w:r>
            <w:r>
              <w:rPr>
                <w:lang w:eastAsia="ko-KR"/>
              </w:rPr>
              <w:t>277</w:t>
            </w:r>
            <w:r w:rsidRPr="00AC5A27">
              <w:rPr>
                <w:rFonts w:hint="eastAsia"/>
                <w:lang w:eastAsia="ko-KR"/>
              </w:rPr>
              <w:t xml:space="preserve"> mg</w:t>
            </w:r>
            <w:r>
              <w:rPr>
                <w:rFonts w:hint="eastAsia"/>
                <w:lang w:eastAsia="ko-KR"/>
              </w:rPr>
              <w:t>/kg</w:t>
            </w:r>
          </w:p>
        </w:tc>
        <w:tc>
          <w:tcPr>
            <w:tcW w:w="1276" w:type="dxa"/>
            <w:tcBorders>
              <w:top w:val="single" w:sz="4" w:space="0" w:color="auto"/>
              <w:bottom w:val="single" w:sz="4" w:space="0" w:color="auto"/>
              <w:right w:val="single" w:sz="4" w:space="0" w:color="auto"/>
            </w:tcBorders>
            <w:shd w:val="clear" w:color="auto" w:fill="auto"/>
            <w:vAlign w:val="center"/>
          </w:tcPr>
          <w:p w14:paraId="6D1DE708" w14:textId="77777777" w:rsidR="00D7521F" w:rsidRDefault="00D7521F" w:rsidP="00B44EC9">
            <w:pPr>
              <w:keepNext/>
              <w:keepLines/>
              <w:spacing w:before="40" w:after="40" w:line="240" w:lineRule="auto"/>
              <w:jc w:val="center"/>
              <w:rPr>
                <w:lang w:eastAsia="ko-KR"/>
              </w:rPr>
            </w:pPr>
            <w:r>
              <w:rPr>
                <w:rFonts w:hint="eastAsia"/>
                <w:lang w:eastAsia="ko-KR"/>
              </w:rPr>
              <w:t>Cat.3</w:t>
            </w:r>
          </w:p>
        </w:tc>
        <w:tc>
          <w:tcPr>
            <w:tcW w:w="2923" w:type="dxa"/>
            <w:tcBorders>
              <w:left w:val="single" w:sz="4" w:space="0" w:color="auto"/>
            </w:tcBorders>
            <w:shd w:val="clear" w:color="auto" w:fill="auto"/>
            <w:vAlign w:val="center"/>
          </w:tcPr>
          <w:p w14:paraId="2F351711" w14:textId="77777777" w:rsidR="00D7521F" w:rsidRPr="00BB315E" w:rsidRDefault="00627985" w:rsidP="00B44EC9">
            <w:pPr>
              <w:keepNext/>
              <w:keepLines/>
              <w:spacing w:before="40" w:after="40" w:line="240" w:lineRule="auto"/>
              <w:jc w:val="center"/>
              <w:rPr>
                <w:color w:val="4F81BD" w:themeColor="accent1"/>
                <w:lang w:eastAsia="ko-KR"/>
              </w:rPr>
            </w:pPr>
            <w:hyperlink r:id="rId48" w:anchor="section=Non-Human-Toxicity-Values&amp;fullscreen=true" w:history="1">
              <w:r w:rsidR="00D7521F" w:rsidRPr="00BB315E">
                <w:rPr>
                  <w:rStyle w:val="Hyperlink"/>
                  <w:color w:val="4F81BD" w:themeColor="accent1"/>
                </w:rPr>
                <w:t>https://pubchem.ncbi.nlm.nih.gov/compound/Cyclohexylamine#section=Non-Human-Toxicity-Values&amp;fullscreen=true</w:t>
              </w:r>
            </w:hyperlink>
          </w:p>
        </w:tc>
      </w:tr>
      <w:tr w:rsidR="00D7521F" w14:paraId="4ECD5954" w14:textId="77777777" w:rsidTr="00B84AAB">
        <w:trPr>
          <w:gridAfter w:val="1"/>
          <w:wAfter w:w="7" w:type="dxa"/>
        </w:trPr>
        <w:tc>
          <w:tcPr>
            <w:tcW w:w="1129" w:type="dxa"/>
            <w:vMerge/>
            <w:shd w:val="clear" w:color="auto" w:fill="auto"/>
            <w:vAlign w:val="center"/>
          </w:tcPr>
          <w:p w14:paraId="22CFDB02" w14:textId="77777777" w:rsidR="00D7521F" w:rsidRDefault="00D7521F" w:rsidP="00B44EC9">
            <w:pPr>
              <w:spacing w:before="40" w:after="40" w:line="240" w:lineRule="auto"/>
              <w:jc w:val="center"/>
              <w:rPr>
                <w:lang w:eastAsia="ko-KR"/>
              </w:rPr>
            </w:pPr>
          </w:p>
        </w:tc>
        <w:tc>
          <w:tcPr>
            <w:tcW w:w="2670" w:type="dxa"/>
            <w:shd w:val="clear" w:color="auto" w:fill="auto"/>
            <w:vAlign w:val="center"/>
          </w:tcPr>
          <w:p w14:paraId="1B11A8FB" w14:textId="77777777" w:rsidR="00D7521F" w:rsidRDefault="00D7521F" w:rsidP="00B44EC9">
            <w:pPr>
              <w:spacing w:before="40" w:after="40" w:line="240" w:lineRule="auto"/>
              <w:jc w:val="center"/>
              <w:rPr>
                <w:lang w:eastAsia="ko-KR"/>
              </w:rPr>
            </w:pPr>
            <w:r>
              <w:rPr>
                <w:rFonts w:hint="eastAsia"/>
                <w:lang w:eastAsia="ko-KR"/>
              </w:rPr>
              <w:t>Study report</w:t>
            </w:r>
          </w:p>
        </w:tc>
        <w:tc>
          <w:tcPr>
            <w:tcW w:w="1275" w:type="dxa"/>
            <w:shd w:val="clear" w:color="auto" w:fill="auto"/>
            <w:vAlign w:val="center"/>
          </w:tcPr>
          <w:p w14:paraId="0F8C6314" w14:textId="77777777" w:rsidR="00D7521F" w:rsidRDefault="00D7521F" w:rsidP="00B44EC9">
            <w:pPr>
              <w:spacing w:before="40" w:after="40" w:line="240" w:lineRule="auto"/>
              <w:jc w:val="center"/>
              <w:rPr>
                <w:lang w:eastAsia="ko-KR"/>
              </w:rPr>
            </w:pPr>
            <w:r>
              <w:rPr>
                <w:rFonts w:hint="eastAsia"/>
                <w:lang w:eastAsia="ko-KR"/>
              </w:rPr>
              <w:t>No</w:t>
            </w:r>
          </w:p>
        </w:tc>
        <w:tc>
          <w:tcPr>
            <w:tcW w:w="1134" w:type="dxa"/>
            <w:tcBorders>
              <w:right w:val="single" w:sz="4" w:space="0" w:color="auto"/>
            </w:tcBorders>
            <w:shd w:val="clear" w:color="auto" w:fill="auto"/>
            <w:vAlign w:val="center"/>
          </w:tcPr>
          <w:p w14:paraId="17C1AB18" w14:textId="77777777" w:rsidR="00D7521F" w:rsidRDefault="00D7521F" w:rsidP="00B44EC9">
            <w:pPr>
              <w:spacing w:before="40" w:after="40" w:line="240" w:lineRule="auto"/>
              <w:jc w:val="center"/>
              <w:rPr>
                <w:lang w:eastAsia="ko-KR"/>
              </w:rPr>
            </w:pPr>
            <w:r>
              <w:rPr>
                <w:rFonts w:hint="eastAsia"/>
                <w:lang w:eastAsia="ko-KR"/>
              </w:rPr>
              <w:t>4</w:t>
            </w:r>
          </w:p>
        </w:tc>
        <w:tc>
          <w:tcPr>
            <w:tcW w:w="3544" w:type="dxa"/>
            <w:tcBorders>
              <w:top w:val="single" w:sz="4" w:space="0" w:color="auto"/>
              <w:left w:val="single" w:sz="4" w:space="0" w:color="auto"/>
              <w:bottom w:val="single" w:sz="4" w:space="0" w:color="auto"/>
            </w:tcBorders>
            <w:shd w:val="clear" w:color="auto" w:fill="auto"/>
            <w:vAlign w:val="center"/>
          </w:tcPr>
          <w:p w14:paraId="7BCD6D5D" w14:textId="77777777" w:rsidR="00D7521F" w:rsidRPr="00AF7071" w:rsidRDefault="00D7521F" w:rsidP="00B44EC9">
            <w:pPr>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w:t>
            </w:r>
            <w:r>
              <w:rPr>
                <w:lang w:eastAsia="ko-KR"/>
              </w:rPr>
              <w:t xml:space="preserve"> 275</w:t>
            </w:r>
            <w:r>
              <w:rPr>
                <w:rFonts w:hint="eastAsia"/>
                <w:lang w:eastAsia="ko-KR"/>
              </w:rPr>
              <w:t xml:space="preserve"> mg/kg</w:t>
            </w:r>
          </w:p>
        </w:tc>
        <w:tc>
          <w:tcPr>
            <w:tcW w:w="1276" w:type="dxa"/>
            <w:tcBorders>
              <w:top w:val="single" w:sz="4" w:space="0" w:color="auto"/>
              <w:bottom w:val="single" w:sz="4" w:space="0" w:color="auto"/>
              <w:right w:val="single" w:sz="4" w:space="0" w:color="auto"/>
            </w:tcBorders>
            <w:shd w:val="clear" w:color="auto" w:fill="auto"/>
            <w:vAlign w:val="center"/>
          </w:tcPr>
          <w:p w14:paraId="12E98B17" w14:textId="77777777" w:rsidR="00D7521F" w:rsidRDefault="00D7521F" w:rsidP="00B44EC9">
            <w:pPr>
              <w:spacing w:before="40" w:after="40" w:line="240" w:lineRule="auto"/>
              <w:jc w:val="center"/>
              <w:rPr>
                <w:lang w:eastAsia="ko-KR"/>
              </w:rPr>
            </w:pPr>
            <w:r>
              <w:rPr>
                <w:rFonts w:hint="eastAsia"/>
                <w:lang w:eastAsia="ko-KR"/>
              </w:rPr>
              <w:t>Cat</w:t>
            </w:r>
            <w:r w:rsidRPr="001F729B">
              <w:rPr>
                <w:rFonts w:hint="eastAsia"/>
                <w:lang w:eastAsia="ko-KR"/>
              </w:rPr>
              <w:t>.</w:t>
            </w:r>
            <w:r>
              <w:rPr>
                <w:rFonts w:hint="eastAsia"/>
                <w:lang w:eastAsia="ko-KR"/>
              </w:rPr>
              <w:t>3</w:t>
            </w:r>
          </w:p>
        </w:tc>
        <w:tc>
          <w:tcPr>
            <w:tcW w:w="2923" w:type="dxa"/>
            <w:tcBorders>
              <w:left w:val="single" w:sz="4" w:space="0" w:color="auto"/>
            </w:tcBorders>
            <w:shd w:val="clear" w:color="auto" w:fill="auto"/>
            <w:vAlign w:val="center"/>
          </w:tcPr>
          <w:p w14:paraId="2489A00A" w14:textId="77777777" w:rsidR="00D7521F" w:rsidRPr="00BB315E" w:rsidRDefault="00627985" w:rsidP="00B44EC9">
            <w:pPr>
              <w:spacing w:before="40" w:after="40" w:line="240" w:lineRule="auto"/>
              <w:jc w:val="center"/>
              <w:rPr>
                <w:color w:val="4F81BD" w:themeColor="accent1"/>
                <w:lang w:eastAsia="ko-KR"/>
              </w:rPr>
            </w:pPr>
            <w:hyperlink r:id="rId49" w:history="1">
              <w:r w:rsidR="00D7521F" w:rsidRPr="00BB315E">
                <w:rPr>
                  <w:rStyle w:val="Hyperlink"/>
                  <w:color w:val="4F81BD" w:themeColor="accent1"/>
                </w:rPr>
                <w:t>https://echa.europa.eu/registration-dossier/-/registered-dossier/13348/7/3/4/?documentUUID=f9bd1fe9-6918-4468-88ed-1cdb7a61382f</w:t>
              </w:r>
            </w:hyperlink>
          </w:p>
        </w:tc>
      </w:tr>
      <w:tr w:rsidR="00D7521F" w14:paraId="2703D0D5" w14:textId="77777777" w:rsidTr="00B84AAB">
        <w:trPr>
          <w:gridAfter w:val="1"/>
          <w:wAfter w:w="7" w:type="dxa"/>
          <w:trHeight w:val="1641"/>
        </w:trPr>
        <w:tc>
          <w:tcPr>
            <w:tcW w:w="1129" w:type="dxa"/>
            <w:vMerge/>
            <w:shd w:val="clear" w:color="auto" w:fill="auto"/>
            <w:vAlign w:val="center"/>
          </w:tcPr>
          <w:p w14:paraId="36E8C01C" w14:textId="77777777" w:rsidR="00D7521F" w:rsidRDefault="00D7521F" w:rsidP="00B44EC9">
            <w:pPr>
              <w:spacing w:before="40" w:after="40" w:line="240" w:lineRule="auto"/>
              <w:jc w:val="center"/>
              <w:rPr>
                <w:lang w:eastAsia="ko-KR"/>
              </w:rPr>
            </w:pPr>
          </w:p>
        </w:tc>
        <w:tc>
          <w:tcPr>
            <w:tcW w:w="2670" w:type="dxa"/>
            <w:shd w:val="clear" w:color="auto" w:fill="auto"/>
            <w:vAlign w:val="center"/>
          </w:tcPr>
          <w:p w14:paraId="1A1ECEC9" w14:textId="77777777" w:rsidR="00D7521F" w:rsidRDefault="00D7521F" w:rsidP="00B44EC9">
            <w:pPr>
              <w:spacing w:before="40" w:after="40" w:line="240" w:lineRule="auto"/>
              <w:jc w:val="center"/>
              <w:rPr>
                <w:lang w:eastAsia="ko-KR"/>
              </w:rPr>
            </w:pPr>
            <w:r>
              <w:rPr>
                <w:lang w:eastAsia="ko-KR"/>
              </w:rPr>
              <w:t>Publication</w:t>
            </w:r>
          </w:p>
          <w:p w14:paraId="2AEFBBFA" w14:textId="77777777" w:rsidR="00D7521F" w:rsidRPr="007463C1" w:rsidRDefault="00D7521F" w:rsidP="00B44EC9">
            <w:pPr>
              <w:spacing w:before="40" w:after="40" w:line="240" w:lineRule="auto"/>
              <w:jc w:val="center"/>
              <w:rPr>
                <w:sz w:val="12"/>
                <w:lang w:eastAsia="ko-KR"/>
              </w:rPr>
            </w:pPr>
          </w:p>
          <w:p w14:paraId="4A0B402F" w14:textId="77777777" w:rsidR="00D7521F" w:rsidRDefault="00D7521F" w:rsidP="00B44EC9">
            <w:pPr>
              <w:spacing w:before="40" w:after="40" w:line="240" w:lineRule="auto"/>
              <w:jc w:val="center"/>
              <w:rPr>
                <w:lang w:eastAsia="ko-KR"/>
              </w:rPr>
            </w:pPr>
            <w:r w:rsidRPr="007463C1">
              <w:rPr>
                <w:sz w:val="18"/>
                <w:lang w:eastAsia="ko-KR"/>
              </w:rPr>
              <w:t>(The MAK-Collection Part I: MAK Value Documentations, Vol. 22. DFG, Deutsche Forschungsgemeinscha)</w:t>
            </w:r>
          </w:p>
        </w:tc>
        <w:tc>
          <w:tcPr>
            <w:tcW w:w="1275" w:type="dxa"/>
            <w:shd w:val="clear" w:color="auto" w:fill="auto"/>
            <w:vAlign w:val="center"/>
          </w:tcPr>
          <w:p w14:paraId="2CAA272A" w14:textId="77777777" w:rsidR="00D7521F" w:rsidRDefault="00D7521F" w:rsidP="00B44EC9">
            <w:pPr>
              <w:spacing w:before="40" w:after="40" w:line="240" w:lineRule="auto"/>
              <w:jc w:val="center"/>
              <w:rPr>
                <w:lang w:eastAsia="ko-KR"/>
              </w:rPr>
            </w:pPr>
            <w:r>
              <w:rPr>
                <w:rFonts w:hint="eastAsia"/>
                <w:lang w:eastAsia="ko-KR"/>
              </w:rPr>
              <w:t>No</w:t>
            </w:r>
          </w:p>
        </w:tc>
        <w:tc>
          <w:tcPr>
            <w:tcW w:w="1134" w:type="dxa"/>
            <w:tcBorders>
              <w:right w:val="single" w:sz="4" w:space="0" w:color="auto"/>
            </w:tcBorders>
            <w:shd w:val="clear" w:color="auto" w:fill="auto"/>
            <w:vAlign w:val="center"/>
          </w:tcPr>
          <w:p w14:paraId="16AD32CD" w14:textId="77777777" w:rsidR="00D7521F" w:rsidRDefault="00D7521F" w:rsidP="00B44EC9">
            <w:pPr>
              <w:spacing w:before="40" w:after="40" w:line="240" w:lineRule="auto"/>
              <w:jc w:val="center"/>
              <w:rPr>
                <w:lang w:eastAsia="ko-KR"/>
              </w:rPr>
            </w:pPr>
            <w:r>
              <w:rPr>
                <w:rFonts w:hint="eastAsia"/>
                <w:lang w:eastAsia="ko-KR"/>
              </w:rPr>
              <w:t>4</w:t>
            </w:r>
          </w:p>
        </w:tc>
        <w:tc>
          <w:tcPr>
            <w:tcW w:w="3544" w:type="dxa"/>
            <w:tcBorders>
              <w:top w:val="single" w:sz="4" w:space="0" w:color="auto"/>
              <w:left w:val="single" w:sz="4" w:space="0" w:color="auto"/>
              <w:bottom w:val="single" w:sz="4" w:space="0" w:color="auto"/>
            </w:tcBorders>
            <w:shd w:val="clear" w:color="auto" w:fill="F7CAAC"/>
            <w:vAlign w:val="center"/>
          </w:tcPr>
          <w:p w14:paraId="0D82B353" w14:textId="77777777" w:rsidR="00D7521F" w:rsidRPr="00AF7071" w:rsidRDefault="00D7521F" w:rsidP="00B44EC9">
            <w:pPr>
              <w:spacing w:before="40" w:after="40" w:line="240" w:lineRule="auto"/>
              <w:jc w:val="center"/>
              <w:rPr>
                <w:lang w:eastAsia="ko-KR"/>
              </w:rPr>
            </w:pPr>
            <w:r>
              <w:rPr>
                <w:rFonts w:hint="eastAsia"/>
                <w:lang w:eastAsia="ko-KR"/>
              </w:rPr>
              <w:t>LD</w:t>
            </w:r>
            <w:r w:rsidRPr="007463C1">
              <w:rPr>
                <w:rFonts w:hint="eastAsia"/>
                <w:vertAlign w:val="subscript"/>
                <w:lang w:eastAsia="ko-KR"/>
              </w:rPr>
              <w:t>50</w:t>
            </w:r>
            <w:r>
              <w:rPr>
                <w:rFonts w:hint="eastAsia"/>
                <w:lang w:eastAsia="ko-KR"/>
              </w:rPr>
              <w:t xml:space="preserve"> </w:t>
            </w:r>
            <w:r>
              <w:rPr>
                <w:lang w:eastAsia="ko-KR"/>
              </w:rPr>
              <w:t>&gt; 631 - &lt; 1,000</w:t>
            </w:r>
            <w:r>
              <w:rPr>
                <w:rFonts w:hint="eastAsia"/>
                <w:lang w:eastAsia="ko-KR"/>
              </w:rPr>
              <w:t xml:space="preserve"> mg/kg</w:t>
            </w:r>
          </w:p>
        </w:tc>
        <w:tc>
          <w:tcPr>
            <w:tcW w:w="1276" w:type="dxa"/>
            <w:tcBorders>
              <w:top w:val="single" w:sz="4" w:space="0" w:color="auto"/>
              <w:bottom w:val="single" w:sz="4" w:space="0" w:color="auto"/>
              <w:right w:val="single" w:sz="4" w:space="0" w:color="auto"/>
            </w:tcBorders>
            <w:shd w:val="clear" w:color="auto" w:fill="F7CAAC"/>
            <w:vAlign w:val="center"/>
          </w:tcPr>
          <w:p w14:paraId="6A262A40" w14:textId="77777777" w:rsidR="00D7521F" w:rsidRDefault="00D7521F" w:rsidP="00B44EC9">
            <w:pPr>
              <w:spacing w:before="40" w:after="40" w:line="240" w:lineRule="auto"/>
              <w:jc w:val="center"/>
              <w:rPr>
                <w:lang w:eastAsia="ko-KR"/>
              </w:rPr>
            </w:pPr>
            <w:r>
              <w:rPr>
                <w:rFonts w:hint="eastAsia"/>
                <w:lang w:eastAsia="ko-KR"/>
              </w:rPr>
              <w:t>Cat.3</w:t>
            </w:r>
          </w:p>
        </w:tc>
        <w:tc>
          <w:tcPr>
            <w:tcW w:w="2923" w:type="dxa"/>
            <w:tcBorders>
              <w:left w:val="single" w:sz="4" w:space="0" w:color="auto"/>
            </w:tcBorders>
            <w:shd w:val="clear" w:color="auto" w:fill="auto"/>
            <w:vAlign w:val="center"/>
          </w:tcPr>
          <w:p w14:paraId="552FD4CE" w14:textId="77777777" w:rsidR="00D7521F" w:rsidRPr="00BB315E" w:rsidRDefault="00627985" w:rsidP="00B44EC9">
            <w:pPr>
              <w:spacing w:before="40" w:after="40" w:line="240" w:lineRule="auto"/>
              <w:jc w:val="center"/>
              <w:rPr>
                <w:color w:val="4F81BD" w:themeColor="accent1"/>
                <w:lang w:eastAsia="ko-KR"/>
              </w:rPr>
            </w:pPr>
            <w:hyperlink r:id="rId50" w:history="1">
              <w:r w:rsidR="00D7521F" w:rsidRPr="00BB315E">
                <w:rPr>
                  <w:rStyle w:val="Hyperlink"/>
                  <w:color w:val="4F81BD" w:themeColor="accent1"/>
                </w:rPr>
                <w:t>https://echa.europa.eu/registration-dossier/-/registered-dossier/13348/7/3/4/?documentUUID=c8cc6b67-5607-45e4-87d3-1dc01649f75e</w:t>
              </w:r>
            </w:hyperlink>
          </w:p>
        </w:tc>
      </w:tr>
      <w:tr w:rsidR="00D7521F" w:rsidRPr="00692207" w14:paraId="786AFAFF" w14:textId="77777777" w:rsidTr="00B84AAB">
        <w:trPr>
          <w:gridAfter w:val="1"/>
          <w:wAfter w:w="7" w:type="dxa"/>
        </w:trPr>
        <w:tc>
          <w:tcPr>
            <w:tcW w:w="1129" w:type="dxa"/>
            <w:vMerge/>
            <w:shd w:val="clear" w:color="auto" w:fill="auto"/>
            <w:vAlign w:val="center"/>
          </w:tcPr>
          <w:p w14:paraId="586F47BB" w14:textId="77777777" w:rsidR="00D7521F" w:rsidRDefault="00D7521F" w:rsidP="00B44EC9">
            <w:pPr>
              <w:spacing w:before="40" w:after="40" w:line="240" w:lineRule="auto"/>
              <w:jc w:val="center"/>
              <w:rPr>
                <w:lang w:eastAsia="ko-KR"/>
              </w:rPr>
            </w:pPr>
          </w:p>
        </w:tc>
        <w:tc>
          <w:tcPr>
            <w:tcW w:w="12822" w:type="dxa"/>
            <w:gridSpan w:val="6"/>
            <w:shd w:val="clear" w:color="auto" w:fill="auto"/>
            <w:vAlign w:val="center"/>
          </w:tcPr>
          <w:p w14:paraId="401FAE4B" w14:textId="77777777" w:rsidR="00D7521F" w:rsidRPr="00B44EC9" w:rsidRDefault="00D7521F" w:rsidP="00B44EC9">
            <w:pPr>
              <w:spacing w:before="40" w:after="40" w:line="240" w:lineRule="auto"/>
              <w:rPr>
                <w:lang w:val="en-US" w:eastAsia="ko-KR"/>
              </w:rPr>
            </w:pPr>
            <w:r w:rsidRPr="00B44EC9">
              <w:rPr>
                <w:rFonts w:hint="eastAsia"/>
                <w:lang w:val="en-US" w:eastAsia="ko-KR"/>
              </w:rPr>
              <w:t xml:space="preserve">- </w:t>
            </w:r>
            <w:r w:rsidRPr="00B44EC9">
              <w:rPr>
                <w:lang w:val="en-US" w:eastAsia="ko-KR"/>
              </w:rPr>
              <w:t>Three studies on the acute dermal toxicity of Cyclohexylamine are available.</w:t>
            </w:r>
          </w:p>
          <w:p w14:paraId="1A6E5987" w14:textId="77777777" w:rsidR="00D7521F" w:rsidRPr="00B44EC9" w:rsidRDefault="00D7521F" w:rsidP="00B44EC9">
            <w:pPr>
              <w:spacing w:before="40" w:after="40" w:line="240" w:lineRule="auto"/>
              <w:rPr>
                <w:lang w:val="en-US" w:eastAsia="ko-KR"/>
              </w:rPr>
            </w:pPr>
            <w:r w:rsidRPr="00B44EC9">
              <w:rPr>
                <w:rFonts w:hint="eastAsia"/>
                <w:lang w:val="en-US" w:eastAsia="ko-KR"/>
              </w:rPr>
              <w:t xml:space="preserve">- </w:t>
            </w:r>
            <w:r w:rsidRPr="00B44EC9">
              <w:rPr>
                <w:lang w:val="en-US" w:eastAsia="ko-KR"/>
              </w:rPr>
              <w:t>All three represent GHS Cat.3, two of which are cited in the EU REACH registration dossier.</w:t>
            </w:r>
          </w:p>
          <w:p w14:paraId="166D4133" w14:textId="77777777" w:rsidR="00D7521F" w:rsidRPr="00BD01A0" w:rsidRDefault="00D7521F" w:rsidP="00B44EC9">
            <w:pPr>
              <w:spacing w:before="40" w:after="40" w:line="240" w:lineRule="auto"/>
              <w:rPr>
                <w:lang w:val="en-US" w:eastAsia="ko-KR"/>
              </w:rPr>
            </w:pPr>
            <w:r w:rsidRPr="00B44EC9">
              <w:rPr>
                <w:rFonts w:hint="eastAsia"/>
                <w:lang w:val="en-US" w:eastAsia="ko-KR"/>
              </w:rPr>
              <w:t xml:space="preserve">- </w:t>
            </w:r>
            <w:r w:rsidRPr="00B44EC9">
              <w:rPr>
                <w:lang w:val="en-US" w:eastAsia="ko-KR"/>
              </w:rPr>
              <w:t>Judging from the weighting method of the evidence, acute dermal toxicity of Cyclohexylamine is considered to be assigned as GHS Cat.3, and therefore, it meets the classification criteria of PG III for class 6.1.</w:t>
            </w:r>
          </w:p>
        </w:tc>
      </w:tr>
      <w:tr w:rsidR="00D7521F" w14:paraId="435E9C95" w14:textId="77777777" w:rsidTr="00B84AAB">
        <w:trPr>
          <w:gridAfter w:val="1"/>
          <w:wAfter w:w="7" w:type="dxa"/>
          <w:trHeight w:val="536"/>
        </w:trPr>
        <w:tc>
          <w:tcPr>
            <w:tcW w:w="1129" w:type="dxa"/>
            <w:vMerge w:val="restart"/>
            <w:shd w:val="clear" w:color="auto" w:fill="auto"/>
            <w:vAlign w:val="center"/>
          </w:tcPr>
          <w:p w14:paraId="3B2BEEB1" w14:textId="77777777" w:rsidR="00D7521F" w:rsidRDefault="00D7521F" w:rsidP="00B44EC9">
            <w:pPr>
              <w:keepNext/>
              <w:keepLines/>
              <w:spacing w:before="40" w:after="40" w:line="240" w:lineRule="auto"/>
              <w:jc w:val="center"/>
              <w:rPr>
                <w:lang w:eastAsia="ko-KR"/>
              </w:rPr>
            </w:pPr>
            <w:r>
              <w:rPr>
                <w:lang w:eastAsia="ko-KR"/>
              </w:rPr>
              <w:lastRenderedPageBreak/>
              <w:t>Inhalation</w:t>
            </w:r>
          </w:p>
        </w:tc>
        <w:tc>
          <w:tcPr>
            <w:tcW w:w="12822" w:type="dxa"/>
            <w:gridSpan w:val="6"/>
            <w:shd w:val="clear" w:color="auto" w:fill="auto"/>
            <w:vAlign w:val="center"/>
          </w:tcPr>
          <w:p w14:paraId="1F70BF10" w14:textId="77777777" w:rsidR="00D7521F" w:rsidRPr="00AF7071" w:rsidRDefault="00D7521F" w:rsidP="00B44EC9">
            <w:pPr>
              <w:keepNext/>
              <w:keepLines/>
              <w:spacing w:before="40" w:after="40" w:line="240" w:lineRule="auto"/>
              <w:jc w:val="center"/>
              <w:rPr>
                <w:lang w:eastAsia="ko-KR"/>
              </w:rPr>
            </w:pPr>
            <w:r>
              <w:rPr>
                <w:rFonts w:hint="eastAsia"/>
                <w:lang w:eastAsia="ko-KR"/>
              </w:rPr>
              <w:t>No data</w:t>
            </w:r>
          </w:p>
        </w:tc>
      </w:tr>
      <w:tr w:rsidR="00D7521F" w:rsidRPr="00692207" w14:paraId="6E98806F" w14:textId="77777777" w:rsidTr="00B84AAB">
        <w:trPr>
          <w:gridAfter w:val="1"/>
          <w:wAfter w:w="7" w:type="dxa"/>
          <w:trHeight w:val="628"/>
        </w:trPr>
        <w:tc>
          <w:tcPr>
            <w:tcW w:w="1129" w:type="dxa"/>
            <w:vMerge/>
            <w:shd w:val="clear" w:color="auto" w:fill="auto"/>
            <w:vAlign w:val="center"/>
          </w:tcPr>
          <w:p w14:paraId="1FA9DCD1" w14:textId="77777777" w:rsidR="00D7521F" w:rsidRDefault="00D7521F" w:rsidP="00B44EC9">
            <w:pPr>
              <w:spacing w:before="40" w:after="40" w:line="240" w:lineRule="auto"/>
              <w:jc w:val="center"/>
              <w:rPr>
                <w:lang w:eastAsia="ko-KR"/>
              </w:rPr>
            </w:pPr>
          </w:p>
        </w:tc>
        <w:tc>
          <w:tcPr>
            <w:tcW w:w="12822" w:type="dxa"/>
            <w:gridSpan w:val="6"/>
            <w:shd w:val="clear" w:color="auto" w:fill="auto"/>
            <w:vAlign w:val="center"/>
          </w:tcPr>
          <w:p w14:paraId="52890BDA" w14:textId="77777777" w:rsidR="00D7521F" w:rsidRPr="00B44EC9" w:rsidRDefault="00D7521F" w:rsidP="00B44EC9">
            <w:pPr>
              <w:spacing w:before="40" w:after="40" w:line="240" w:lineRule="auto"/>
              <w:rPr>
                <w:lang w:val="en-US" w:eastAsia="ko-KR"/>
              </w:rPr>
            </w:pPr>
            <w:r w:rsidRPr="00B44EC9">
              <w:rPr>
                <w:rFonts w:hint="eastAsia"/>
                <w:lang w:val="en-US" w:eastAsia="ko-KR"/>
              </w:rPr>
              <w:t xml:space="preserve">- </w:t>
            </w:r>
            <w:r w:rsidRPr="00B44EC9">
              <w:rPr>
                <w:lang w:val="en-US" w:eastAsia="ko-KR"/>
              </w:rPr>
              <w:t>The acute inhalation toxicity of Cyclohexylamine is considered to be low, and no reliable data can be identified from the survey data.</w:t>
            </w:r>
          </w:p>
        </w:tc>
      </w:tr>
    </w:tbl>
    <w:p w14:paraId="6B842526" w14:textId="77777777" w:rsidR="00D7521F" w:rsidRPr="00B44EC9" w:rsidRDefault="00D7521F" w:rsidP="00D7521F">
      <w:pPr>
        <w:suppressAutoHyphens w:val="0"/>
        <w:kinsoku/>
        <w:overflowPunct/>
        <w:autoSpaceDE/>
        <w:autoSpaceDN/>
        <w:adjustRightInd/>
        <w:snapToGrid/>
        <w:spacing w:after="200" w:line="276" w:lineRule="auto"/>
        <w:rPr>
          <w:rFonts w:ascii="Malgun Gothic" w:hAnsi="Malgun Gothic"/>
          <w:b/>
          <w:lang w:val="en-US" w:eastAsia="ko-KR"/>
        </w:rPr>
      </w:pPr>
    </w:p>
    <w:p w14:paraId="47920257" w14:textId="77777777" w:rsidR="00D7521F" w:rsidRPr="00B44EC9" w:rsidRDefault="00D7521F" w:rsidP="00D7521F">
      <w:pPr>
        <w:suppressAutoHyphens w:val="0"/>
        <w:kinsoku/>
        <w:overflowPunct/>
        <w:autoSpaceDE/>
        <w:autoSpaceDN/>
        <w:adjustRightInd/>
        <w:snapToGrid/>
        <w:spacing w:after="200" w:line="276" w:lineRule="auto"/>
        <w:rPr>
          <w:rFonts w:ascii="Malgun Gothic" w:hAnsi="Malgun Gothic"/>
          <w:b/>
          <w:lang w:val="en-US" w:eastAsia="ko-KR"/>
        </w:rPr>
      </w:pPr>
    </w:p>
    <w:p w14:paraId="47708DDC" w14:textId="77777777" w:rsidR="00D7521F" w:rsidRPr="001F729B" w:rsidRDefault="00D7521F" w:rsidP="00D7521F">
      <w:pPr>
        <w:suppressAutoHyphens w:val="0"/>
        <w:kinsoku/>
        <w:overflowPunct/>
        <w:autoSpaceDE/>
        <w:autoSpaceDN/>
        <w:adjustRightInd/>
        <w:snapToGrid/>
        <w:spacing w:after="200" w:line="276" w:lineRule="auto"/>
        <w:rPr>
          <w:b/>
          <w:lang w:eastAsia="ko-KR"/>
        </w:rPr>
      </w:pPr>
      <w:r w:rsidRPr="001F729B">
        <w:rPr>
          <w:rFonts w:ascii="Malgun Gothic" w:hAnsi="Malgun Gothic" w:hint="eastAsia"/>
          <w:b/>
          <w:lang w:eastAsia="ko-KR"/>
        </w:rPr>
        <w:t>※</w:t>
      </w:r>
      <w:r w:rsidRPr="001F729B">
        <w:rPr>
          <w:rFonts w:hint="eastAsia"/>
          <w:b/>
          <w:lang w:eastAsia="ko-KR"/>
        </w:rPr>
        <w:t xml:space="preserve"> </w:t>
      </w:r>
      <w:r w:rsidRPr="001F729B">
        <w:rPr>
          <w:b/>
          <w:lang w:eastAsia="ko-KR"/>
        </w:rPr>
        <w:t>Klimisch score</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6"/>
        <w:gridCol w:w="1692"/>
        <w:gridCol w:w="11130"/>
      </w:tblGrid>
      <w:tr w:rsidR="00D7521F" w:rsidRPr="00833388" w14:paraId="772EBA04" w14:textId="77777777" w:rsidTr="00B84AAB">
        <w:tc>
          <w:tcPr>
            <w:tcW w:w="959" w:type="dxa"/>
            <w:shd w:val="clear" w:color="auto" w:fill="auto"/>
            <w:vAlign w:val="center"/>
          </w:tcPr>
          <w:p w14:paraId="43FF0AFC" w14:textId="77777777" w:rsidR="00D7521F" w:rsidRPr="00833388" w:rsidRDefault="00D7521F" w:rsidP="00B84AAB">
            <w:pPr>
              <w:spacing w:before="40" w:after="40" w:line="240" w:lineRule="auto"/>
              <w:ind w:left="57" w:right="57"/>
              <w:jc w:val="center"/>
              <w:rPr>
                <w:b/>
                <w:lang w:eastAsia="ko-KR"/>
              </w:rPr>
            </w:pPr>
            <w:r w:rsidRPr="00833388">
              <w:rPr>
                <w:b/>
                <w:lang w:eastAsia="ko-KR"/>
              </w:rPr>
              <w:t>Score</w:t>
            </w:r>
          </w:p>
        </w:tc>
        <w:tc>
          <w:tcPr>
            <w:tcW w:w="1701" w:type="dxa"/>
            <w:shd w:val="clear" w:color="auto" w:fill="auto"/>
            <w:vAlign w:val="center"/>
          </w:tcPr>
          <w:p w14:paraId="2A554C20" w14:textId="77777777" w:rsidR="00D7521F" w:rsidRPr="00833388" w:rsidRDefault="00D7521F" w:rsidP="00B84AAB">
            <w:pPr>
              <w:spacing w:before="40" w:after="40" w:line="240" w:lineRule="auto"/>
              <w:ind w:left="57" w:right="57"/>
              <w:jc w:val="center"/>
              <w:rPr>
                <w:b/>
                <w:lang w:eastAsia="ko-KR"/>
              </w:rPr>
            </w:pPr>
            <w:r w:rsidRPr="00833388">
              <w:rPr>
                <w:b/>
                <w:lang w:eastAsia="ko-KR"/>
              </w:rPr>
              <w:t>Description</w:t>
            </w:r>
          </w:p>
        </w:tc>
        <w:tc>
          <w:tcPr>
            <w:tcW w:w="11420" w:type="dxa"/>
            <w:shd w:val="clear" w:color="auto" w:fill="auto"/>
            <w:vAlign w:val="center"/>
          </w:tcPr>
          <w:p w14:paraId="255634A7" w14:textId="77777777" w:rsidR="00D7521F" w:rsidRPr="00833388" w:rsidRDefault="00D7521F" w:rsidP="00B84AAB">
            <w:pPr>
              <w:spacing w:before="40" w:after="40" w:line="240" w:lineRule="auto"/>
              <w:ind w:left="57" w:right="57"/>
              <w:jc w:val="center"/>
              <w:rPr>
                <w:b/>
                <w:lang w:eastAsia="ko-KR"/>
              </w:rPr>
            </w:pPr>
            <w:r w:rsidRPr="00833388">
              <w:rPr>
                <w:b/>
                <w:lang w:eastAsia="ko-KR"/>
              </w:rPr>
              <w:t>Details (quoted from paper)</w:t>
            </w:r>
          </w:p>
        </w:tc>
      </w:tr>
      <w:tr w:rsidR="00D7521F" w:rsidRPr="00692207" w14:paraId="7C6A16F3" w14:textId="77777777" w:rsidTr="00B84AAB">
        <w:tc>
          <w:tcPr>
            <w:tcW w:w="959" w:type="dxa"/>
            <w:shd w:val="clear" w:color="auto" w:fill="auto"/>
            <w:vAlign w:val="center"/>
          </w:tcPr>
          <w:p w14:paraId="56A31301" w14:textId="77777777" w:rsidR="00D7521F" w:rsidRPr="00833388" w:rsidRDefault="00D7521F" w:rsidP="00B84AAB">
            <w:pPr>
              <w:spacing w:before="40" w:after="40" w:line="240" w:lineRule="auto"/>
              <w:ind w:left="57" w:right="57"/>
              <w:jc w:val="center"/>
              <w:rPr>
                <w:lang w:eastAsia="ko-KR"/>
              </w:rPr>
            </w:pPr>
            <w:r w:rsidRPr="00833388">
              <w:rPr>
                <w:rFonts w:hint="eastAsia"/>
                <w:lang w:eastAsia="ko-KR"/>
              </w:rPr>
              <w:t>1</w:t>
            </w:r>
          </w:p>
        </w:tc>
        <w:tc>
          <w:tcPr>
            <w:tcW w:w="1701" w:type="dxa"/>
            <w:shd w:val="clear" w:color="auto" w:fill="auto"/>
            <w:vAlign w:val="center"/>
          </w:tcPr>
          <w:p w14:paraId="491CE867" w14:textId="77777777" w:rsidR="00D7521F" w:rsidRPr="00833388" w:rsidRDefault="00D7521F" w:rsidP="00B84AAB">
            <w:pPr>
              <w:spacing w:before="40" w:after="40" w:line="240" w:lineRule="auto"/>
              <w:ind w:left="57" w:right="57"/>
              <w:jc w:val="center"/>
              <w:rPr>
                <w:lang w:eastAsia="ko-KR"/>
              </w:rPr>
            </w:pPr>
            <w:r w:rsidRPr="00833388">
              <w:rPr>
                <w:lang w:eastAsia="ko-KR"/>
              </w:rPr>
              <w:t>Reliable without restriction</w:t>
            </w:r>
          </w:p>
        </w:tc>
        <w:tc>
          <w:tcPr>
            <w:tcW w:w="11420" w:type="dxa"/>
            <w:shd w:val="clear" w:color="auto" w:fill="auto"/>
          </w:tcPr>
          <w:p w14:paraId="750C857E" w14:textId="77777777" w:rsidR="00D7521F" w:rsidRPr="00B44EC9" w:rsidRDefault="00D7521F" w:rsidP="00B84AAB">
            <w:pPr>
              <w:spacing w:before="40" w:after="40" w:line="240" w:lineRule="auto"/>
              <w:ind w:left="57" w:right="57"/>
              <w:rPr>
                <w:lang w:val="en-US" w:eastAsia="ko-KR"/>
              </w:rPr>
            </w:pPr>
            <w:r w:rsidRPr="00B44EC9">
              <w:rPr>
                <w:lang w:val="en-US" w:eastAsia="ko-KR"/>
              </w:rPr>
              <w:t>"This includes studies or data from the literature or reports which were carried out or generated according to generally valid and/or internationally accepted testing guidelines (preferably performed according to GLP) or in which the test parameters documented are based on a specific (national) testing guideline (preferably performed according to GLP) or in which all parameters described are closely related/comparable to a guideline method"</w:t>
            </w:r>
          </w:p>
        </w:tc>
      </w:tr>
      <w:tr w:rsidR="00D7521F" w:rsidRPr="00692207" w14:paraId="7C6298E3" w14:textId="77777777" w:rsidTr="00B84AAB">
        <w:trPr>
          <w:trHeight w:val="629"/>
        </w:trPr>
        <w:tc>
          <w:tcPr>
            <w:tcW w:w="959" w:type="dxa"/>
            <w:shd w:val="clear" w:color="auto" w:fill="auto"/>
            <w:vAlign w:val="center"/>
          </w:tcPr>
          <w:p w14:paraId="0CFF62F0" w14:textId="77777777" w:rsidR="00D7521F" w:rsidRPr="00833388" w:rsidRDefault="00D7521F" w:rsidP="00B84AAB">
            <w:pPr>
              <w:spacing w:before="40" w:after="40" w:line="240" w:lineRule="auto"/>
              <w:ind w:left="57" w:right="57"/>
              <w:jc w:val="center"/>
              <w:rPr>
                <w:lang w:eastAsia="ko-KR"/>
              </w:rPr>
            </w:pPr>
            <w:r w:rsidRPr="00833388">
              <w:rPr>
                <w:rFonts w:hint="eastAsia"/>
                <w:lang w:eastAsia="ko-KR"/>
              </w:rPr>
              <w:t>2</w:t>
            </w:r>
          </w:p>
        </w:tc>
        <w:tc>
          <w:tcPr>
            <w:tcW w:w="1701" w:type="dxa"/>
            <w:shd w:val="clear" w:color="auto" w:fill="auto"/>
            <w:vAlign w:val="center"/>
          </w:tcPr>
          <w:p w14:paraId="3C835200" w14:textId="77777777" w:rsidR="00D7521F" w:rsidRPr="00833388" w:rsidRDefault="00D7521F" w:rsidP="00B84AAB">
            <w:pPr>
              <w:spacing w:before="40" w:after="40" w:line="240" w:lineRule="auto"/>
              <w:ind w:left="57" w:right="57"/>
              <w:jc w:val="center"/>
              <w:rPr>
                <w:lang w:eastAsia="ko-KR"/>
              </w:rPr>
            </w:pPr>
            <w:r w:rsidRPr="00833388">
              <w:rPr>
                <w:lang w:eastAsia="ko-KR"/>
              </w:rPr>
              <w:t>Reliable with restriction</w:t>
            </w:r>
          </w:p>
        </w:tc>
        <w:tc>
          <w:tcPr>
            <w:tcW w:w="11420" w:type="dxa"/>
            <w:shd w:val="clear" w:color="auto" w:fill="auto"/>
          </w:tcPr>
          <w:p w14:paraId="14EDA86A" w14:textId="77777777" w:rsidR="00D7521F" w:rsidRPr="00B44EC9" w:rsidRDefault="00D7521F" w:rsidP="00B84AAB">
            <w:pPr>
              <w:spacing w:before="40" w:after="40" w:line="240" w:lineRule="auto"/>
              <w:ind w:left="57" w:right="57"/>
              <w:rPr>
                <w:lang w:val="en-US" w:eastAsia="ko-KR"/>
              </w:rPr>
            </w:pPr>
            <w:r w:rsidRPr="00B44EC9">
              <w:rPr>
                <w:lang w:val="en-US" w:eastAsia="ko-KR"/>
              </w:rPr>
              <w:t>"This includes studies or data from the literature, reports (mostly not performed according to GLP), in which the test parameters documented do not totally comply with the specific testing guideline, but are sufficient to accept the data or in which investigations are described which cannot be subsumed under a testing guideline, but which are nevertheless well documented and scientifically acceptable."</w:t>
            </w:r>
          </w:p>
        </w:tc>
      </w:tr>
      <w:tr w:rsidR="00D7521F" w:rsidRPr="00692207" w14:paraId="51BE2BFE" w14:textId="77777777" w:rsidTr="00B84AAB">
        <w:tc>
          <w:tcPr>
            <w:tcW w:w="959" w:type="dxa"/>
            <w:shd w:val="clear" w:color="auto" w:fill="auto"/>
            <w:vAlign w:val="center"/>
          </w:tcPr>
          <w:p w14:paraId="6D902703" w14:textId="77777777" w:rsidR="00D7521F" w:rsidRPr="00833388" w:rsidRDefault="00D7521F" w:rsidP="00B84AAB">
            <w:pPr>
              <w:spacing w:before="40" w:after="40" w:line="240" w:lineRule="auto"/>
              <w:ind w:left="57" w:right="57"/>
              <w:jc w:val="center"/>
              <w:rPr>
                <w:lang w:eastAsia="ko-KR"/>
              </w:rPr>
            </w:pPr>
            <w:r w:rsidRPr="00833388">
              <w:rPr>
                <w:rFonts w:hint="eastAsia"/>
                <w:lang w:eastAsia="ko-KR"/>
              </w:rPr>
              <w:t>3</w:t>
            </w:r>
          </w:p>
        </w:tc>
        <w:tc>
          <w:tcPr>
            <w:tcW w:w="1701" w:type="dxa"/>
            <w:shd w:val="clear" w:color="auto" w:fill="auto"/>
            <w:vAlign w:val="center"/>
          </w:tcPr>
          <w:p w14:paraId="4E358351" w14:textId="77777777" w:rsidR="00D7521F" w:rsidRPr="00833388" w:rsidRDefault="00D7521F" w:rsidP="00B84AAB">
            <w:pPr>
              <w:spacing w:before="40" w:after="40" w:line="240" w:lineRule="auto"/>
              <w:ind w:left="57" w:right="57"/>
              <w:jc w:val="center"/>
              <w:rPr>
                <w:lang w:eastAsia="ko-KR"/>
              </w:rPr>
            </w:pPr>
            <w:r w:rsidRPr="00833388">
              <w:rPr>
                <w:lang w:eastAsia="ko-KR"/>
              </w:rPr>
              <w:t>Not reliable</w:t>
            </w:r>
          </w:p>
        </w:tc>
        <w:tc>
          <w:tcPr>
            <w:tcW w:w="11420" w:type="dxa"/>
            <w:shd w:val="clear" w:color="auto" w:fill="auto"/>
          </w:tcPr>
          <w:p w14:paraId="75FBA38C" w14:textId="77777777" w:rsidR="00D7521F" w:rsidRPr="00B44EC9" w:rsidRDefault="00D7521F" w:rsidP="00B84AAB">
            <w:pPr>
              <w:spacing w:before="40" w:after="40" w:line="240" w:lineRule="auto"/>
              <w:ind w:left="57" w:right="57"/>
              <w:rPr>
                <w:lang w:val="en-US" w:eastAsia="ko-KR"/>
              </w:rPr>
            </w:pPr>
            <w:r w:rsidRPr="00B44EC9">
              <w:rPr>
                <w:lang w:val="en-US" w:eastAsia="ko-KR"/>
              </w:rPr>
              <w:t>"This includes studies or data from the literature/reports in which there are interferences between the measuring system and the test substance or in which organisms/test systems were used which are not relevant in relation to the exposure (e.g., unphysiological pathways of application) or which were carried out or generated according to a method which is not acceptable, the documentation of which is not sufficient for an assessment and which is not convincing for an expert judgment."</w:t>
            </w:r>
          </w:p>
        </w:tc>
      </w:tr>
      <w:tr w:rsidR="00D7521F" w:rsidRPr="00692207" w14:paraId="1A741948" w14:textId="77777777" w:rsidTr="00B84AAB">
        <w:tc>
          <w:tcPr>
            <w:tcW w:w="959" w:type="dxa"/>
            <w:shd w:val="clear" w:color="auto" w:fill="auto"/>
            <w:vAlign w:val="center"/>
          </w:tcPr>
          <w:p w14:paraId="07AA8C1D" w14:textId="77777777" w:rsidR="00D7521F" w:rsidRPr="00833388" w:rsidRDefault="00D7521F" w:rsidP="00B84AAB">
            <w:pPr>
              <w:spacing w:before="40" w:after="40" w:line="240" w:lineRule="auto"/>
              <w:ind w:left="57" w:right="57"/>
              <w:jc w:val="center"/>
              <w:rPr>
                <w:lang w:eastAsia="ko-KR"/>
              </w:rPr>
            </w:pPr>
            <w:r w:rsidRPr="00833388">
              <w:rPr>
                <w:rFonts w:hint="eastAsia"/>
                <w:lang w:eastAsia="ko-KR"/>
              </w:rPr>
              <w:t>4</w:t>
            </w:r>
          </w:p>
        </w:tc>
        <w:tc>
          <w:tcPr>
            <w:tcW w:w="1701" w:type="dxa"/>
            <w:shd w:val="clear" w:color="auto" w:fill="auto"/>
            <w:vAlign w:val="center"/>
          </w:tcPr>
          <w:p w14:paraId="34CDEA09" w14:textId="77777777" w:rsidR="00D7521F" w:rsidRPr="00833388" w:rsidRDefault="00D7521F" w:rsidP="00B84AAB">
            <w:pPr>
              <w:spacing w:before="40" w:after="40" w:line="240" w:lineRule="auto"/>
              <w:ind w:left="57" w:right="57"/>
              <w:jc w:val="center"/>
              <w:rPr>
                <w:lang w:eastAsia="ko-KR"/>
              </w:rPr>
            </w:pPr>
            <w:r w:rsidRPr="00833388">
              <w:rPr>
                <w:lang w:eastAsia="ko-KR"/>
              </w:rPr>
              <w:t>Not assignable</w:t>
            </w:r>
          </w:p>
        </w:tc>
        <w:tc>
          <w:tcPr>
            <w:tcW w:w="11420" w:type="dxa"/>
            <w:shd w:val="clear" w:color="auto" w:fill="auto"/>
          </w:tcPr>
          <w:p w14:paraId="5A982945" w14:textId="77777777" w:rsidR="00D7521F" w:rsidRPr="00B44EC9" w:rsidRDefault="00D7521F" w:rsidP="00B84AAB">
            <w:pPr>
              <w:spacing w:before="40" w:after="40" w:line="240" w:lineRule="auto"/>
              <w:ind w:left="57" w:right="57"/>
              <w:rPr>
                <w:lang w:val="en-US" w:eastAsia="ko-KR"/>
              </w:rPr>
            </w:pPr>
            <w:r w:rsidRPr="00B44EC9">
              <w:rPr>
                <w:lang w:val="en-US" w:eastAsia="ko-KR"/>
              </w:rPr>
              <w:t>"This includes studies or data from the literature, which do not give sufficient experimental details and which are only listed in short abstracts or secondary literature (books, reviews, etc.)."</w:t>
            </w:r>
          </w:p>
        </w:tc>
      </w:tr>
      <w:tr w:rsidR="00D7521F" w:rsidRPr="00650047" w14:paraId="119EA51D" w14:textId="77777777" w:rsidTr="00B84AAB">
        <w:tc>
          <w:tcPr>
            <w:tcW w:w="14080" w:type="dxa"/>
            <w:gridSpan w:val="3"/>
            <w:shd w:val="clear" w:color="auto" w:fill="auto"/>
          </w:tcPr>
          <w:p w14:paraId="72FA9121" w14:textId="77777777" w:rsidR="00D7521F" w:rsidRPr="001110BF" w:rsidRDefault="00D7521F" w:rsidP="00B84AAB">
            <w:pPr>
              <w:spacing w:before="40" w:after="40" w:line="240" w:lineRule="auto"/>
              <w:ind w:left="57" w:right="57"/>
              <w:rPr>
                <w:lang w:val="fr-FR" w:eastAsia="ko-KR"/>
              </w:rPr>
            </w:pPr>
            <w:r w:rsidRPr="001110BF">
              <w:rPr>
                <w:lang w:val="fr-FR" w:eastAsia="ko-KR"/>
              </w:rPr>
              <w:t>Source: WIKIPEDIA(</w:t>
            </w:r>
            <w:hyperlink r:id="rId51" w:history="1">
              <w:r w:rsidRPr="001110BF">
                <w:rPr>
                  <w:rStyle w:val="Hyperlink"/>
                  <w:lang w:val="fr-FR"/>
                </w:rPr>
                <w:t>https://en.wikipedia.org/wiki/Klimisch_score</w:t>
              </w:r>
            </w:hyperlink>
            <w:r w:rsidRPr="001110BF">
              <w:rPr>
                <w:lang w:val="fr-FR"/>
              </w:rPr>
              <w:t>)</w:t>
            </w:r>
          </w:p>
        </w:tc>
      </w:tr>
    </w:tbl>
    <w:p w14:paraId="0E310269" w14:textId="77777777" w:rsidR="00446FE5" w:rsidRDefault="00446FE5" w:rsidP="00AC3823"/>
    <w:p w14:paraId="09362474" w14:textId="77777777" w:rsidR="00B44EC9" w:rsidRDefault="00B44EC9" w:rsidP="00AC3823">
      <w:pPr>
        <w:sectPr w:rsidR="00B44EC9" w:rsidSect="00D7521F">
          <w:headerReference w:type="even" r:id="rId52"/>
          <w:headerReference w:type="default" r:id="rId53"/>
          <w:footerReference w:type="even" r:id="rId54"/>
          <w:footerReference w:type="default" r:id="rId55"/>
          <w:endnotePr>
            <w:numFmt w:val="decimal"/>
          </w:endnotePr>
          <w:pgSz w:w="16838" w:h="11906" w:orient="landscape" w:code="9"/>
          <w:pgMar w:top="1134" w:right="1417" w:bottom="1134" w:left="1134" w:header="567" w:footer="567" w:gutter="0"/>
          <w:cols w:space="708"/>
          <w:docGrid w:linePitch="360"/>
        </w:sectPr>
      </w:pPr>
    </w:p>
    <w:p w14:paraId="7D21335B" w14:textId="77777777" w:rsidR="00B84AAB" w:rsidRDefault="00B44EC9" w:rsidP="00B84AAB">
      <w:pPr>
        <w:pStyle w:val="HChG"/>
        <w:rPr>
          <w:szCs w:val="28"/>
          <w:lang w:val="fr-FR" w:eastAsia="ko-KR"/>
        </w:rPr>
      </w:pPr>
      <w:r w:rsidRPr="003F6C64">
        <w:rPr>
          <w:rFonts w:hint="eastAsia"/>
          <w:szCs w:val="28"/>
          <w:lang w:val="fr-FR" w:eastAsia="ko-KR"/>
        </w:rPr>
        <w:lastRenderedPageBreak/>
        <w:t>A</w:t>
      </w:r>
      <w:r w:rsidRPr="003F6C64">
        <w:rPr>
          <w:szCs w:val="28"/>
          <w:lang w:val="fr-FR" w:eastAsia="ko-KR"/>
        </w:rPr>
        <w:t>nnexe II</w:t>
      </w:r>
    </w:p>
    <w:p w14:paraId="7DBC1341" w14:textId="77777777" w:rsidR="00B44EC9" w:rsidRPr="008F47F3" w:rsidRDefault="00B44EC9" w:rsidP="00B84AAB">
      <w:pPr>
        <w:pStyle w:val="SingleTxtG"/>
        <w:jc w:val="right"/>
        <w:rPr>
          <w:lang w:val="fr-FR" w:eastAsia="ko-KR"/>
        </w:rPr>
      </w:pPr>
      <w:r w:rsidRPr="008F47F3">
        <w:rPr>
          <w:lang w:val="fr-FR" w:eastAsia="ko-KR"/>
        </w:rPr>
        <w:t>[</w:t>
      </w:r>
      <w:r w:rsidRPr="00B84AAB">
        <w:rPr>
          <w:i/>
          <w:lang w:val="fr-FR" w:eastAsia="ko-KR"/>
        </w:rPr>
        <w:t>Anglais seulement</w:t>
      </w:r>
      <w:r w:rsidRPr="008F47F3">
        <w:rPr>
          <w:lang w:val="fr-FR" w:eastAsia="ko-KR"/>
        </w:rPr>
        <w:t>]</w:t>
      </w:r>
    </w:p>
    <w:p w14:paraId="333BA5B7" w14:textId="77777777" w:rsidR="00B44EC9" w:rsidRPr="00650047" w:rsidRDefault="00B44EC9" w:rsidP="00B84AAB">
      <w:pPr>
        <w:pStyle w:val="HChG"/>
        <w:rPr>
          <w:lang w:eastAsia="ko-KR"/>
        </w:rPr>
      </w:pPr>
      <w:r w:rsidRPr="003F6C64">
        <w:rPr>
          <w:lang w:val="fr-FR" w:eastAsia="ko-KR"/>
        </w:rPr>
        <w:tab/>
      </w:r>
      <w:r w:rsidRPr="003F6C64">
        <w:rPr>
          <w:lang w:val="fr-FR" w:eastAsia="ko-KR"/>
        </w:rPr>
        <w:tab/>
      </w:r>
      <w:r w:rsidRPr="00650047">
        <w:rPr>
          <w:rFonts w:hint="eastAsia"/>
          <w:lang w:eastAsia="ko-KR"/>
        </w:rPr>
        <w:t xml:space="preserve">Data sheet </w:t>
      </w:r>
      <w:r w:rsidRPr="00650047">
        <w:rPr>
          <w:lang w:eastAsia="ko-KR"/>
        </w:rPr>
        <w:t>for</w:t>
      </w:r>
      <w:r w:rsidRPr="00650047">
        <w:rPr>
          <w:rFonts w:hint="eastAsia"/>
          <w:lang w:eastAsia="ko-KR"/>
        </w:rPr>
        <w:t xml:space="preserve"> Di-n-butylamine(UN 2248)</w:t>
      </w:r>
      <w:r w:rsidRPr="00B84AAB">
        <w:rPr>
          <w:rStyle w:val="FootnoteReference"/>
          <w:b w:val="0"/>
          <w:sz w:val="20"/>
        </w:rPr>
        <w:footnoteReference w:id="4"/>
      </w:r>
    </w:p>
    <w:p w14:paraId="12513620" w14:textId="77777777" w:rsidR="00B44EC9" w:rsidRPr="00B44EC9" w:rsidRDefault="00B44EC9" w:rsidP="00B44EC9">
      <w:pPr>
        <w:spacing w:line="360" w:lineRule="auto"/>
        <w:ind w:left="1134"/>
        <w:rPr>
          <w:lang w:val="en-US" w:eastAsia="ko-KR"/>
        </w:rPr>
      </w:pPr>
      <w:r w:rsidRPr="00B44EC9">
        <w:rPr>
          <w:rFonts w:hint="eastAsia"/>
          <w:lang w:val="en-US" w:eastAsia="ko-KR"/>
        </w:rPr>
        <w:t>Section 5. HARMFUL BIOLOGICAL EFFECTS</w:t>
      </w:r>
    </w:p>
    <w:p w14:paraId="50961888" w14:textId="77777777" w:rsidR="00B44EC9" w:rsidRPr="00B44EC9" w:rsidRDefault="00B44EC9" w:rsidP="00B44EC9">
      <w:pPr>
        <w:spacing w:line="360" w:lineRule="auto"/>
        <w:ind w:left="1134"/>
        <w:rPr>
          <w:lang w:val="en-US" w:eastAsia="ko-KR"/>
        </w:rPr>
      </w:pPr>
      <w:r w:rsidRPr="00B44EC9">
        <w:rPr>
          <w:rFonts w:hint="eastAsia"/>
          <w:lang w:val="en-US" w:eastAsia="ko-KR"/>
        </w:rPr>
        <w:t>5.1</w:t>
      </w:r>
      <w:r w:rsidRPr="00B44EC9">
        <w:rPr>
          <w:rFonts w:hint="eastAsia"/>
          <w:lang w:val="en-US" w:eastAsia="ko-KR"/>
        </w:rPr>
        <w:tab/>
        <w:t>LD</w:t>
      </w:r>
      <w:r w:rsidRPr="00B44EC9">
        <w:rPr>
          <w:rFonts w:hint="eastAsia"/>
          <w:vertAlign w:val="subscript"/>
          <w:lang w:val="en-US" w:eastAsia="ko-KR"/>
        </w:rPr>
        <w:t>50</w:t>
      </w:r>
      <w:r w:rsidRPr="00B44EC9">
        <w:rPr>
          <w:rFonts w:hint="eastAsia"/>
          <w:lang w:val="en-US" w:eastAsia="ko-KR"/>
        </w:rPr>
        <w:t>, oral (2.6.2.1.1</w:t>
      </w:r>
      <w:r w:rsidRPr="00650047">
        <w:rPr>
          <w:rStyle w:val="FootnoteReference"/>
        </w:rPr>
        <w:footnoteReference w:id="5"/>
      </w:r>
      <w:r w:rsidRPr="00B44EC9">
        <w:rPr>
          <w:rFonts w:hint="eastAsia"/>
          <w:lang w:val="en-US" w:eastAsia="ko-KR"/>
        </w:rPr>
        <w:t xml:space="preserve">) </w:t>
      </w:r>
      <w:r w:rsidRPr="00B44EC9">
        <w:rPr>
          <w:lang w:val="en-US" w:eastAsia="ko-KR"/>
        </w:rPr>
        <w:t>……………</w:t>
      </w:r>
      <w:r w:rsidRPr="00B44EC9">
        <w:rPr>
          <w:rFonts w:hint="eastAsia"/>
          <w:b/>
          <w:lang w:val="en-US" w:eastAsia="ko-KR"/>
        </w:rPr>
        <w:t>220</w:t>
      </w:r>
      <w:r w:rsidRPr="00B44EC9">
        <w:rPr>
          <w:rFonts w:hint="eastAsia"/>
          <w:lang w:val="en-US" w:eastAsia="ko-KR"/>
        </w:rPr>
        <w:t xml:space="preserve"> mg/kg</w:t>
      </w:r>
      <w:r w:rsidRPr="00B44EC9">
        <w:rPr>
          <w:vertAlign w:val="superscript"/>
          <w:lang w:val="en-US" w:eastAsia="ko-KR"/>
        </w:rPr>
        <w:t>a</w:t>
      </w:r>
      <w:r w:rsidRPr="00B44EC9">
        <w:rPr>
          <w:rFonts w:hint="eastAsia"/>
          <w:lang w:val="en-US" w:eastAsia="ko-KR"/>
        </w:rPr>
        <w:t xml:space="preserve">           Animal species </w:t>
      </w:r>
      <w:r w:rsidRPr="00B44EC9">
        <w:rPr>
          <w:lang w:val="en-US" w:eastAsia="ko-KR"/>
        </w:rPr>
        <w:t>…………</w:t>
      </w:r>
      <w:r w:rsidRPr="00B44EC9">
        <w:rPr>
          <w:rFonts w:hint="eastAsia"/>
          <w:lang w:val="en-US" w:eastAsia="ko-KR"/>
        </w:rPr>
        <w:t>..</w:t>
      </w:r>
      <w:r w:rsidRPr="00B44EC9">
        <w:rPr>
          <w:rFonts w:hint="eastAsia"/>
          <w:b/>
          <w:lang w:val="en-US" w:eastAsia="ko-KR"/>
        </w:rPr>
        <w:t>Rat</w:t>
      </w:r>
    </w:p>
    <w:p w14:paraId="2937E802" w14:textId="77777777" w:rsidR="00B44EC9" w:rsidRPr="00B44EC9" w:rsidRDefault="00B44EC9" w:rsidP="00B44EC9">
      <w:pPr>
        <w:spacing w:line="360" w:lineRule="auto"/>
        <w:ind w:left="1134"/>
        <w:rPr>
          <w:lang w:val="en-US" w:eastAsia="ko-KR"/>
        </w:rPr>
      </w:pPr>
      <w:r w:rsidRPr="00B44EC9">
        <w:rPr>
          <w:rFonts w:hint="eastAsia"/>
          <w:lang w:val="en-US" w:eastAsia="ko-KR"/>
        </w:rPr>
        <w:t>5.2</w:t>
      </w:r>
      <w:r w:rsidRPr="00B44EC9">
        <w:rPr>
          <w:rFonts w:hint="eastAsia"/>
          <w:lang w:val="en-US" w:eastAsia="ko-KR"/>
        </w:rPr>
        <w:tab/>
        <w:t>LD</w:t>
      </w:r>
      <w:r w:rsidRPr="00B44EC9">
        <w:rPr>
          <w:rFonts w:hint="eastAsia"/>
          <w:vertAlign w:val="subscript"/>
          <w:lang w:val="en-US" w:eastAsia="ko-KR"/>
        </w:rPr>
        <w:t>50</w:t>
      </w:r>
      <w:r w:rsidRPr="00B44EC9">
        <w:rPr>
          <w:rFonts w:hint="eastAsia"/>
          <w:lang w:val="en-US" w:eastAsia="ko-KR"/>
        </w:rPr>
        <w:t xml:space="preserve">, dermal (2.6.2.1.2) </w:t>
      </w:r>
      <w:r w:rsidRPr="00B44EC9">
        <w:rPr>
          <w:lang w:val="en-US" w:eastAsia="ko-KR"/>
        </w:rPr>
        <w:t>……</w:t>
      </w:r>
      <w:r w:rsidRPr="00B44EC9">
        <w:rPr>
          <w:rFonts w:hint="eastAsia"/>
          <w:lang w:val="en-US" w:eastAsia="ko-KR"/>
        </w:rPr>
        <w:t>.</w:t>
      </w:r>
      <w:r w:rsidRPr="00B44EC9">
        <w:rPr>
          <w:lang w:val="en-US" w:eastAsia="ko-KR"/>
        </w:rPr>
        <w:t>…</w:t>
      </w:r>
      <w:r w:rsidRPr="00B44EC9">
        <w:rPr>
          <w:rFonts w:hint="eastAsia"/>
          <w:lang w:val="en-US" w:eastAsia="ko-KR"/>
        </w:rPr>
        <w:t xml:space="preserve">.. </w:t>
      </w:r>
      <w:r w:rsidRPr="00B44EC9">
        <w:rPr>
          <w:rFonts w:hint="eastAsia"/>
          <w:b/>
          <w:lang w:val="en-US" w:eastAsia="ko-KR"/>
        </w:rPr>
        <w:t>768</w:t>
      </w:r>
      <w:r w:rsidRPr="00B44EC9">
        <w:rPr>
          <w:rFonts w:hint="eastAsia"/>
          <w:lang w:val="en-US" w:eastAsia="ko-KR"/>
        </w:rPr>
        <w:t xml:space="preserve"> mg/kg</w:t>
      </w:r>
      <w:r w:rsidRPr="00B44EC9">
        <w:rPr>
          <w:vertAlign w:val="superscript"/>
          <w:lang w:val="en-US" w:eastAsia="ko-KR"/>
        </w:rPr>
        <w:t>b</w:t>
      </w:r>
      <w:r w:rsidRPr="00B44EC9">
        <w:rPr>
          <w:rFonts w:hint="eastAsia"/>
          <w:lang w:val="en-US" w:eastAsia="ko-KR"/>
        </w:rPr>
        <w:t xml:space="preserve">          Animal species </w:t>
      </w:r>
      <w:r w:rsidRPr="00B44EC9">
        <w:rPr>
          <w:lang w:val="en-US" w:eastAsia="ko-KR"/>
        </w:rPr>
        <w:t>………</w:t>
      </w:r>
      <w:r w:rsidRPr="00B44EC9">
        <w:rPr>
          <w:rFonts w:hint="eastAsia"/>
          <w:lang w:val="en-US" w:eastAsia="ko-KR"/>
        </w:rPr>
        <w:t>.</w:t>
      </w:r>
      <w:r w:rsidRPr="00B44EC9">
        <w:rPr>
          <w:rFonts w:hint="eastAsia"/>
          <w:b/>
          <w:lang w:val="en-US" w:eastAsia="ko-KR"/>
        </w:rPr>
        <w:t>Rabbit</w:t>
      </w:r>
    </w:p>
    <w:p w14:paraId="60CC5CF5" w14:textId="77777777" w:rsidR="00B44EC9" w:rsidRPr="00B44EC9" w:rsidRDefault="00B44EC9" w:rsidP="00B44EC9">
      <w:pPr>
        <w:spacing w:line="360" w:lineRule="auto"/>
        <w:ind w:left="1134"/>
        <w:rPr>
          <w:lang w:val="en-US" w:eastAsia="ko-KR"/>
        </w:rPr>
      </w:pPr>
      <w:r w:rsidRPr="00B44EC9">
        <w:rPr>
          <w:rFonts w:hint="eastAsia"/>
          <w:lang w:val="en-US" w:eastAsia="ko-KR"/>
        </w:rPr>
        <w:t>5.3</w:t>
      </w:r>
      <w:r w:rsidRPr="00B44EC9">
        <w:rPr>
          <w:rFonts w:hint="eastAsia"/>
          <w:lang w:val="en-US" w:eastAsia="ko-KR"/>
        </w:rPr>
        <w:tab/>
        <w:t>LC</w:t>
      </w:r>
      <w:r w:rsidRPr="00B44EC9">
        <w:rPr>
          <w:rFonts w:hint="eastAsia"/>
          <w:vertAlign w:val="subscript"/>
          <w:lang w:val="en-US" w:eastAsia="ko-KR"/>
        </w:rPr>
        <w:t>50</w:t>
      </w:r>
      <w:r w:rsidRPr="00B44EC9">
        <w:rPr>
          <w:rFonts w:hint="eastAsia"/>
          <w:lang w:val="en-US" w:eastAsia="ko-KR"/>
        </w:rPr>
        <w:t xml:space="preserve">, inhalation (2.6.2.1.3) </w:t>
      </w:r>
      <w:r w:rsidRPr="00B44EC9">
        <w:rPr>
          <w:lang w:val="en-US" w:eastAsia="ko-KR"/>
        </w:rPr>
        <w:t>………</w:t>
      </w:r>
      <w:r w:rsidRPr="00B44EC9">
        <w:rPr>
          <w:rFonts w:hint="eastAsia"/>
          <w:lang w:val="en-US" w:eastAsia="ko-KR"/>
        </w:rPr>
        <w:t xml:space="preserve">. </w:t>
      </w:r>
      <w:r w:rsidRPr="00B44EC9">
        <w:rPr>
          <w:rFonts w:hint="eastAsia"/>
          <w:b/>
          <w:lang w:val="en-US" w:eastAsia="ko-KR"/>
        </w:rPr>
        <w:t>1.15</w:t>
      </w:r>
      <w:r w:rsidRPr="00B44EC9">
        <w:rPr>
          <w:rFonts w:hint="eastAsia"/>
          <w:lang w:val="en-US" w:eastAsia="ko-KR"/>
        </w:rPr>
        <w:t xml:space="preserve"> mg/l</w:t>
      </w:r>
      <w:r w:rsidRPr="00B44EC9">
        <w:rPr>
          <w:vertAlign w:val="superscript"/>
          <w:lang w:val="en-US" w:eastAsia="ko-KR"/>
        </w:rPr>
        <w:t>c</w:t>
      </w:r>
      <w:r w:rsidRPr="00B44EC9">
        <w:rPr>
          <w:rFonts w:hint="eastAsia"/>
          <w:lang w:val="en-US" w:eastAsia="ko-KR"/>
        </w:rPr>
        <w:t xml:space="preserve">          Exposure time</w:t>
      </w:r>
      <w:r w:rsidRPr="00B44EC9">
        <w:rPr>
          <w:lang w:val="en-US" w:eastAsia="ko-KR"/>
        </w:rPr>
        <w:t>………</w:t>
      </w:r>
      <w:r w:rsidRPr="00B44EC9">
        <w:rPr>
          <w:rFonts w:hint="eastAsia"/>
          <w:lang w:val="en-US" w:eastAsia="ko-KR"/>
        </w:rPr>
        <w:t>..</w:t>
      </w:r>
      <w:r w:rsidRPr="00B44EC9">
        <w:rPr>
          <w:rFonts w:hint="eastAsia"/>
          <w:b/>
          <w:lang w:val="en-US" w:eastAsia="ko-KR"/>
        </w:rPr>
        <w:t>4 hours</w:t>
      </w:r>
    </w:p>
    <w:p w14:paraId="1B1700BE" w14:textId="77777777" w:rsidR="00B44EC9" w:rsidRPr="00B44EC9" w:rsidRDefault="00B44EC9" w:rsidP="00B44EC9">
      <w:pPr>
        <w:spacing w:line="360" w:lineRule="auto"/>
        <w:ind w:left="1134" w:firstLineChars="1450" w:firstLine="2900"/>
        <w:rPr>
          <w:lang w:val="en-US" w:eastAsia="ko-KR"/>
        </w:rPr>
      </w:pPr>
      <w:r w:rsidRPr="00B44EC9">
        <w:rPr>
          <w:lang w:val="en-US" w:eastAsia="ko-KR"/>
        </w:rPr>
        <w:t>or  …</w:t>
      </w:r>
      <w:r w:rsidRPr="00B44EC9">
        <w:rPr>
          <w:b/>
          <w:lang w:val="en-US" w:eastAsia="ko-KR"/>
        </w:rPr>
        <w:t>218</w:t>
      </w:r>
      <w:r w:rsidRPr="00B44EC9">
        <w:rPr>
          <w:lang w:val="en-US" w:eastAsia="ko-KR"/>
        </w:rPr>
        <w:t xml:space="preserve"> </w:t>
      </w:r>
      <w:r w:rsidRPr="00B44EC9">
        <w:rPr>
          <w:rFonts w:hint="eastAsia"/>
          <w:lang w:val="en-US" w:eastAsia="ko-KR"/>
        </w:rPr>
        <w:t>ml/m</w:t>
      </w:r>
      <w:r w:rsidRPr="00B44EC9">
        <w:rPr>
          <w:rFonts w:hint="eastAsia"/>
          <w:vertAlign w:val="superscript"/>
          <w:lang w:val="en-US" w:eastAsia="ko-KR"/>
        </w:rPr>
        <w:t>3</w:t>
      </w:r>
      <w:r w:rsidRPr="00B44EC9">
        <w:rPr>
          <w:rFonts w:hint="eastAsia"/>
          <w:lang w:val="en-US" w:eastAsia="ko-KR"/>
        </w:rPr>
        <w:t xml:space="preserve">         Animal species </w:t>
      </w:r>
      <w:r w:rsidRPr="00B44EC9">
        <w:rPr>
          <w:lang w:val="en-US" w:eastAsia="ko-KR"/>
        </w:rPr>
        <w:t>………</w:t>
      </w:r>
      <w:r w:rsidRPr="00B44EC9">
        <w:rPr>
          <w:rFonts w:hint="eastAsia"/>
          <w:lang w:val="en-US" w:eastAsia="ko-KR"/>
        </w:rPr>
        <w:t>.</w:t>
      </w:r>
      <w:r w:rsidRPr="00B44EC9">
        <w:rPr>
          <w:lang w:val="en-US" w:eastAsia="ko-KR"/>
        </w:rPr>
        <w:t>…</w:t>
      </w:r>
      <w:r w:rsidR="00B84AAB">
        <w:rPr>
          <w:lang w:val="en-US" w:eastAsia="ko-KR"/>
        </w:rPr>
        <w:t>…</w:t>
      </w:r>
      <w:r w:rsidRPr="00B44EC9">
        <w:rPr>
          <w:rFonts w:hint="eastAsia"/>
          <w:b/>
          <w:lang w:val="en-US" w:eastAsia="ko-KR"/>
        </w:rPr>
        <w:t>Rat</w:t>
      </w:r>
    </w:p>
    <w:p w14:paraId="5C84356A" w14:textId="77777777" w:rsidR="00B44EC9" w:rsidRPr="00B44EC9" w:rsidRDefault="00B44EC9" w:rsidP="00B44EC9">
      <w:pPr>
        <w:spacing w:line="360" w:lineRule="auto"/>
        <w:ind w:left="1134"/>
        <w:rPr>
          <w:vertAlign w:val="superscript"/>
          <w:lang w:val="en-US" w:eastAsia="ko-KR"/>
        </w:rPr>
      </w:pPr>
      <w:r w:rsidRPr="00B44EC9">
        <w:rPr>
          <w:rFonts w:hint="eastAsia"/>
          <w:lang w:val="en-US" w:eastAsia="ko-KR"/>
        </w:rPr>
        <w:t>5.4</w:t>
      </w:r>
      <w:r w:rsidRPr="00B44EC9">
        <w:rPr>
          <w:rFonts w:hint="eastAsia"/>
          <w:lang w:val="en-US" w:eastAsia="ko-KR"/>
        </w:rPr>
        <w:tab/>
        <w:t>Saturated vapour concentration at 20</w:t>
      </w:r>
      <w:r w:rsidRPr="00B44EC9">
        <w:rPr>
          <w:rFonts w:ascii="Malgun Gothic" w:hAnsi="Malgun Gothic" w:hint="eastAsia"/>
          <w:lang w:val="en-US" w:eastAsia="ko-KR"/>
        </w:rPr>
        <w:t>℃</w:t>
      </w:r>
      <w:r w:rsidRPr="00B44EC9">
        <w:rPr>
          <w:rFonts w:hint="eastAsia"/>
          <w:lang w:val="en-US" w:eastAsia="ko-KR"/>
        </w:rPr>
        <w:t xml:space="preserve"> (2.6.2.2.4.3)</w:t>
      </w:r>
      <w:r w:rsidRPr="00B44EC9">
        <w:rPr>
          <w:lang w:val="en-US" w:eastAsia="ko-KR"/>
        </w:rPr>
        <w:t xml:space="preserve"> ………………</w:t>
      </w:r>
      <w:r w:rsidRPr="00B44EC9">
        <w:rPr>
          <w:rFonts w:hint="eastAsia"/>
          <w:lang w:val="en-US" w:eastAsia="ko-KR"/>
        </w:rPr>
        <w:t>...</w:t>
      </w:r>
      <w:r w:rsidRPr="00B44EC9">
        <w:rPr>
          <w:lang w:val="en-US" w:eastAsia="ko-KR"/>
        </w:rPr>
        <w:t>…</w:t>
      </w:r>
      <w:r w:rsidR="00B84AAB">
        <w:rPr>
          <w:lang w:val="en-US" w:eastAsia="ko-KR"/>
        </w:rPr>
        <w:t>.</w:t>
      </w:r>
      <w:r w:rsidRPr="00B44EC9">
        <w:rPr>
          <w:b/>
          <w:lang w:val="en-US" w:eastAsia="ko-KR"/>
        </w:rPr>
        <w:t xml:space="preserve">2670 </w:t>
      </w:r>
      <w:r w:rsidRPr="00B44EC9">
        <w:rPr>
          <w:lang w:val="en-US" w:eastAsia="ko-KR"/>
        </w:rPr>
        <w:t>ml/m</w:t>
      </w:r>
      <w:r w:rsidRPr="00B44EC9">
        <w:rPr>
          <w:vertAlign w:val="superscript"/>
          <w:lang w:val="en-US" w:eastAsia="ko-KR"/>
        </w:rPr>
        <w:t>3</w:t>
      </w:r>
    </w:p>
    <w:p w14:paraId="57020CC8" w14:textId="77777777" w:rsidR="00B44EC9" w:rsidRPr="00B44EC9" w:rsidRDefault="00B44EC9" w:rsidP="00B44EC9">
      <w:pPr>
        <w:spacing w:line="360" w:lineRule="auto"/>
        <w:ind w:left="1134"/>
        <w:rPr>
          <w:b/>
          <w:lang w:val="en-US" w:eastAsia="ko-KR"/>
        </w:rPr>
      </w:pPr>
      <w:r w:rsidRPr="00B44EC9">
        <w:rPr>
          <w:rFonts w:hint="eastAsia"/>
          <w:lang w:val="en-US" w:eastAsia="ko-KR"/>
        </w:rPr>
        <w:t>5.5</w:t>
      </w:r>
      <w:r w:rsidRPr="00B44EC9">
        <w:rPr>
          <w:rFonts w:hint="eastAsia"/>
          <w:lang w:val="en-US" w:eastAsia="ko-KR"/>
        </w:rPr>
        <w:tab/>
        <w:t xml:space="preserve">Skin exposure (2.8) results : </w:t>
      </w:r>
      <w:r w:rsidRPr="00B44EC9">
        <w:rPr>
          <w:rFonts w:hint="eastAsia"/>
          <w:b/>
          <w:lang w:val="en-US" w:eastAsia="ko-KR"/>
        </w:rPr>
        <w:t>Corrosive</w:t>
      </w:r>
      <w:r w:rsidRPr="00B44EC9">
        <w:rPr>
          <w:vertAlign w:val="superscript"/>
          <w:lang w:val="en-US" w:eastAsia="ko-KR"/>
        </w:rPr>
        <w:t>d</w:t>
      </w:r>
      <w:r w:rsidRPr="00B44EC9">
        <w:rPr>
          <w:rFonts w:hint="eastAsia"/>
          <w:lang w:val="en-US" w:eastAsia="ko-KR"/>
        </w:rPr>
        <w:tab/>
        <w:t>Exposure time</w:t>
      </w:r>
      <w:r w:rsidRPr="00B44EC9">
        <w:rPr>
          <w:lang w:val="en-US" w:eastAsia="ko-KR"/>
        </w:rPr>
        <w:t>…</w:t>
      </w:r>
      <w:r w:rsidR="00B84AAB">
        <w:rPr>
          <w:lang w:val="en-US" w:eastAsia="ko-KR"/>
        </w:rPr>
        <w:t>…</w:t>
      </w:r>
      <w:r w:rsidRPr="00B44EC9">
        <w:rPr>
          <w:b/>
          <w:lang w:val="en-US" w:eastAsia="ko-KR"/>
        </w:rPr>
        <w:t xml:space="preserve">3 </w:t>
      </w:r>
      <w:r w:rsidRPr="00B44EC9">
        <w:rPr>
          <w:rFonts w:hint="eastAsia"/>
          <w:b/>
          <w:lang w:val="en-US" w:eastAsia="ko-KR"/>
        </w:rPr>
        <w:t>minutes</w:t>
      </w:r>
      <w:r w:rsidRPr="00B44EC9">
        <w:rPr>
          <w:b/>
          <w:lang w:val="en-US" w:eastAsia="ko-KR"/>
        </w:rPr>
        <w:t xml:space="preserve"> and 1 hour</w:t>
      </w:r>
    </w:p>
    <w:p w14:paraId="04B1365E" w14:textId="77777777" w:rsidR="00B44EC9" w:rsidRPr="00B44EC9" w:rsidRDefault="00B44EC9" w:rsidP="00B44EC9">
      <w:pPr>
        <w:tabs>
          <w:tab w:val="left" w:pos="745"/>
        </w:tabs>
        <w:spacing w:line="360" w:lineRule="auto"/>
        <w:ind w:left="1134"/>
        <w:rPr>
          <w:lang w:val="en-US" w:eastAsia="ko-KR"/>
        </w:rPr>
      </w:pPr>
      <w:r w:rsidRPr="00B44EC9">
        <w:rPr>
          <w:rFonts w:hint="eastAsia"/>
          <w:lang w:val="en-US" w:eastAsia="ko-KR"/>
        </w:rPr>
        <w:tab/>
      </w:r>
      <w:r w:rsidRPr="00B44EC9">
        <w:rPr>
          <w:rFonts w:hint="eastAsia"/>
          <w:lang w:val="en-US" w:eastAsia="ko-KR"/>
        </w:rPr>
        <w:tab/>
      </w:r>
      <w:r w:rsidRPr="00B44EC9">
        <w:rPr>
          <w:rFonts w:hint="eastAsia"/>
          <w:lang w:val="en-US" w:eastAsia="ko-KR"/>
        </w:rPr>
        <w:tab/>
      </w:r>
      <w:r w:rsidRPr="00B44EC9">
        <w:rPr>
          <w:rFonts w:hint="eastAsia"/>
          <w:lang w:val="en-US" w:eastAsia="ko-KR"/>
        </w:rPr>
        <w:tab/>
      </w:r>
      <w:r w:rsidRPr="00B44EC9">
        <w:rPr>
          <w:rFonts w:hint="eastAsia"/>
          <w:lang w:val="en-US" w:eastAsia="ko-KR"/>
        </w:rPr>
        <w:tab/>
      </w:r>
      <w:r w:rsidRPr="00B44EC9">
        <w:rPr>
          <w:rFonts w:hint="eastAsia"/>
          <w:lang w:val="en-US" w:eastAsia="ko-KR"/>
        </w:rPr>
        <w:tab/>
      </w:r>
      <w:r w:rsidR="00B32CE2">
        <w:rPr>
          <w:lang w:val="en-US" w:eastAsia="ko-KR"/>
        </w:rPr>
        <w:tab/>
      </w:r>
      <w:r w:rsidRPr="00B44EC9">
        <w:rPr>
          <w:rFonts w:hint="eastAsia"/>
          <w:lang w:val="en-US" w:eastAsia="ko-KR"/>
        </w:rPr>
        <w:t>Animal species</w:t>
      </w:r>
      <w:r w:rsidRPr="00B44EC9">
        <w:rPr>
          <w:lang w:val="en-US" w:eastAsia="ko-KR"/>
        </w:rPr>
        <w:t>……</w:t>
      </w:r>
      <w:r w:rsidRPr="00B44EC9">
        <w:rPr>
          <w:rFonts w:hint="eastAsia"/>
          <w:lang w:val="en-US" w:eastAsia="ko-KR"/>
        </w:rPr>
        <w:t>...</w:t>
      </w:r>
      <w:r w:rsidRPr="00B44EC9">
        <w:rPr>
          <w:lang w:val="en-US" w:eastAsia="ko-KR"/>
        </w:rPr>
        <w:t>…………</w:t>
      </w:r>
      <w:r w:rsidR="00B84AAB">
        <w:rPr>
          <w:lang w:val="en-US" w:eastAsia="ko-KR"/>
        </w:rPr>
        <w:t>...</w:t>
      </w:r>
      <w:r w:rsidRPr="00B44EC9">
        <w:rPr>
          <w:lang w:val="en-US" w:eastAsia="ko-KR"/>
        </w:rPr>
        <w:t xml:space="preserve"> </w:t>
      </w:r>
      <w:r w:rsidRPr="00B44EC9">
        <w:rPr>
          <w:b/>
          <w:lang w:val="en-US" w:eastAsia="ko-KR"/>
        </w:rPr>
        <w:t>Rabbit</w:t>
      </w:r>
    </w:p>
    <w:p w14:paraId="1D7F623B" w14:textId="77777777" w:rsidR="00B44EC9" w:rsidRPr="00B44EC9" w:rsidRDefault="00B44EC9" w:rsidP="00B44EC9">
      <w:pPr>
        <w:spacing w:line="360" w:lineRule="auto"/>
        <w:ind w:left="1134"/>
        <w:rPr>
          <w:lang w:val="en-US" w:eastAsia="ko-KR"/>
        </w:rPr>
      </w:pPr>
      <w:r w:rsidRPr="00B44EC9">
        <w:rPr>
          <w:rFonts w:hint="eastAsia"/>
          <w:lang w:val="en-US" w:eastAsia="ko-KR"/>
        </w:rPr>
        <w:t>5.6</w:t>
      </w:r>
      <w:r w:rsidRPr="00B44EC9">
        <w:rPr>
          <w:rFonts w:hint="eastAsia"/>
          <w:lang w:val="en-US" w:eastAsia="ko-KR"/>
        </w:rPr>
        <w:tab/>
        <w:t>Other data</w:t>
      </w:r>
      <w:r w:rsidRPr="00B44EC9">
        <w:rPr>
          <w:vertAlign w:val="superscript"/>
          <w:lang w:val="en-US" w:eastAsia="ko-KR"/>
        </w:rPr>
        <w:t>e</w:t>
      </w:r>
    </w:p>
    <w:p w14:paraId="3AE8401C" w14:textId="77777777" w:rsidR="00B44EC9" w:rsidRPr="00B44EC9" w:rsidRDefault="00B44EC9" w:rsidP="00B44EC9">
      <w:pPr>
        <w:spacing w:line="360" w:lineRule="auto"/>
        <w:ind w:left="1134"/>
        <w:rPr>
          <w:b/>
          <w:lang w:val="en-US" w:eastAsia="ko-KR"/>
        </w:rPr>
      </w:pPr>
      <w:r w:rsidRPr="00B44EC9">
        <w:rPr>
          <w:b/>
          <w:lang w:val="en-US" w:eastAsia="ko-KR"/>
        </w:rPr>
        <w:t xml:space="preserve">Corrosive, severe skin and eye irritant, reproductive toxicity, germ cell mutagenicity </w:t>
      </w:r>
      <w:r w:rsidR="00B84AAB">
        <w:rPr>
          <w:b/>
          <w:lang w:val="en-US" w:eastAsia="ko-KR"/>
        </w:rPr>
        <w:br/>
      </w:r>
      <w:r w:rsidRPr="00B44EC9">
        <w:rPr>
          <w:b/>
          <w:lang w:val="en-US" w:eastAsia="ko-KR"/>
        </w:rPr>
        <w:t>and specific target organ toxicity (single exposure)</w:t>
      </w:r>
    </w:p>
    <w:p w14:paraId="7AF0415E" w14:textId="77777777" w:rsidR="00B44EC9" w:rsidRPr="00B44EC9" w:rsidRDefault="00B44EC9" w:rsidP="00B44EC9">
      <w:pPr>
        <w:spacing w:line="360" w:lineRule="auto"/>
        <w:ind w:left="1134"/>
        <w:rPr>
          <w:b/>
          <w:u w:val="single"/>
          <w:lang w:val="en-US" w:eastAsia="ko-KR"/>
        </w:rPr>
      </w:pPr>
      <w:r w:rsidRPr="00B44EC9">
        <w:rPr>
          <w:rFonts w:hint="eastAsia"/>
          <w:lang w:val="en-US" w:eastAsia="ko-KR"/>
        </w:rPr>
        <w:tab/>
      </w:r>
      <w:r w:rsidRPr="00B44EC9">
        <w:rPr>
          <w:rFonts w:hint="eastAsia"/>
          <w:b/>
          <w:u w:val="single"/>
          <w:lang w:val="en-US" w:eastAsia="ko-KR"/>
        </w:rPr>
        <w:t xml:space="preserve">Ecological toxicity </w:t>
      </w:r>
    </w:p>
    <w:p w14:paraId="6E08B320" w14:textId="77777777" w:rsidR="00B44EC9" w:rsidRPr="00B44EC9" w:rsidRDefault="00B44EC9" w:rsidP="00B44EC9">
      <w:pPr>
        <w:spacing w:line="360" w:lineRule="auto"/>
        <w:ind w:left="1134"/>
        <w:rPr>
          <w:b/>
          <w:lang w:val="en-US" w:eastAsia="ko-KR"/>
        </w:rPr>
      </w:pPr>
      <w:r w:rsidRPr="00B44EC9">
        <w:rPr>
          <w:rFonts w:hint="eastAsia"/>
          <w:b/>
          <w:lang w:val="en-US" w:eastAsia="ko-KR"/>
        </w:rPr>
        <w:tab/>
        <w:t>Fish (</w:t>
      </w:r>
      <w:r w:rsidRPr="00B44EC9">
        <w:rPr>
          <w:rFonts w:hint="eastAsia"/>
          <w:b/>
          <w:i/>
          <w:lang w:val="en-US" w:eastAsia="ko-KR"/>
        </w:rPr>
        <w:t>Salmo gairdneri</w:t>
      </w:r>
      <w:r w:rsidRPr="00B44EC9">
        <w:rPr>
          <w:rFonts w:hint="eastAsia"/>
          <w:b/>
          <w:lang w:val="en-US" w:eastAsia="ko-KR"/>
        </w:rPr>
        <w:t>), LC</w:t>
      </w:r>
      <w:r w:rsidRPr="00B44EC9">
        <w:rPr>
          <w:rFonts w:hint="eastAsia"/>
          <w:b/>
          <w:vertAlign w:val="subscript"/>
          <w:lang w:val="en-US" w:eastAsia="ko-KR"/>
        </w:rPr>
        <w:t>50</w:t>
      </w:r>
      <w:r w:rsidRPr="00B44EC9">
        <w:rPr>
          <w:rFonts w:hint="eastAsia"/>
          <w:b/>
          <w:lang w:val="en-US" w:eastAsia="ko-KR"/>
        </w:rPr>
        <w:t xml:space="preserve"> (96h) : 37mg/L</w:t>
      </w:r>
      <w:r w:rsidRPr="00B44EC9">
        <w:rPr>
          <w:vertAlign w:val="superscript"/>
          <w:lang w:val="en-US" w:eastAsia="ko-KR"/>
        </w:rPr>
        <w:t>f</w:t>
      </w:r>
    </w:p>
    <w:p w14:paraId="5ECCB5C1" w14:textId="77777777" w:rsidR="00B44EC9" w:rsidRPr="00B44EC9" w:rsidRDefault="00B44EC9" w:rsidP="00B44EC9">
      <w:pPr>
        <w:spacing w:line="360" w:lineRule="auto"/>
        <w:ind w:left="1134"/>
        <w:rPr>
          <w:b/>
          <w:lang w:val="en-US" w:eastAsia="ko-KR"/>
        </w:rPr>
      </w:pPr>
      <w:r w:rsidRPr="00B44EC9">
        <w:rPr>
          <w:rFonts w:hint="eastAsia"/>
          <w:b/>
          <w:lang w:val="en-US" w:eastAsia="ko-KR"/>
        </w:rPr>
        <w:tab/>
      </w:r>
      <w:r w:rsidRPr="00B44EC9">
        <w:rPr>
          <w:b/>
          <w:lang w:val="en-US" w:eastAsia="ko-KR"/>
        </w:rPr>
        <w:t>Aquatic invertebrates</w:t>
      </w:r>
      <w:r w:rsidRPr="00B44EC9">
        <w:rPr>
          <w:rFonts w:hint="eastAsia"/>
          <w:b/>
          <w:lang w:val="en-US" w:eastAsia="ko-KR"/>
        </w:rPr>
        <w:t xml:space="preserve"> (</w:t>
      </w:r>
      <w:r w:rsidRPr="00B44EC9">
        <w:rPr>
          <w:rFonts w:hint="eastAsia"/>
          <w:b/>
          <w:i/>
          <w:lang w:val="en-US" w:eastAsia="ko-KR"/>
        </w:rPr>
        <w:t>Daphnia magna</w:t>
      </w:r>
      <w:r w:rsidRPr="00B44EC9">
        <w:rPr>
          <w:rFonts w:hint="eastAsia"/>
          <w:b/>
          <w:lang w:val="en-US" w:eastAsia="ko-KR"/>
        </w:rPr>
        <w:t>), EC</w:t>
      </w:r>
      <w:r w:rsidRPr="00B44EC9">
        <w:rPr>
          <w:rFonts w:hint="eastAsia"/>
          <w:b/>
          <w:vertAlign w:val="subscript"/>
          <w:lang w:val="en-US" w:eastAsia="ko-KR"/>
        </w:rPr>
        <w:t>50</w:t>
      </w:r>
      <w:r w:rsidRPr="00B44EC9">
        <w:rPr>
          <w:rFonts w:hint="eastAsia"/>
          <w:b/>
          <w:lang w:val="en-US" w:eastAsia="ko-KR"/>
        </w:rPr>
        <w:t xml:space="preserve"> (48h) : 65.98mg/L</w:t>
      </w:r>
      <w:r w:rsidRPr="00B44EC9">
        <w:rPr>
          <w:vertAlign w:val="superscript"/>
          <w:lang w:val="en-US" w:eastAsia="ko-KR"/>
        </w:rPr>
        <w:t>g</w:t>
      </w:r>
    </w:p>
    <w:p w14:paraId="6E6592F0" w14:textId="77777777" w:rsidR="00B44EC9" w:rsidRPr="00B44EC9" w:rsidRDefault="00B44EC9" w:rsidP="00B44EC9">
      <w:pPr>
        <w:spacing w:line="360" w:lineRule="auto"/>
        <w:ind w:left="1134"/>
        <w:rPr>
          <w:lang w:val="en-US" w:eastAsia="ko-KR"/>
        </w:rPr>
      </w:pPr>
      <w:r w:rsidRPr="00B44EC9">
        <w:rPr>
          <w:rFonts w:hint="eastAsia"/>
          <w:lang w:val="en-US" w:eastAsia="ko-KR"/>
        </w:rPr>
        <w:t>5.7</w:t>
      </w:r>
      <w:r w:rsidRPr="00B44EC9">
        <w:rPr>
          <w:rFonts w:hint="eastAsia"/>
          <w:lang w:val="en-US" w:eastAsia="ko-KR"/>
        </w:rPr>
        <w:tab/>
        <w:t>Human experience</w:t>
      </w:r>
      <w:r w:rsidRPr="00B44EC9">
        <w:rPr>
          <w:lang w:val="en-US" w:eastAsia="ko-KR"/>
        </w:rPr>
        <w:t>……………………………………………………</w:t>
      </w:r>
      <w:r w:rsidRPr="00B44EC9">
        <w:rPr>
          <w:rFonts w:hint="eastAsia"/>
          <w:lang w:val="en-US" w:eastAsia="ko-KR"/>
        </w:rPr>
        <w:t>.</w:t>
      </w:r>
      <w:r w:rsidRPr="00B44EC9">
        <w:rPr>
          <w:lang w:val="en-US" w:eastAsia="ko-KR"/>
        </w:rPr>
        <w:t>…</w:t>
      </w:r>
      <w:r w:rsidRPr="00B44EC9">
        <w:rPr>
          <w:rFonts w:hint="eastAsia"/>
          <w:b/>
          <w:lang w:val="en-US" w:eastAsia="ko-KR"/>
        </w:rPr>
        <w:t>not applicable</w:t>
      </w:r>
    </w:p>
    <w:p w14:paraId="49C2FB9F" w14:textId="77777777" w:rsidR="00347781" w:rsidRDefault="00B44EC9" w:rsidP="00B44EC9">
      <w:pPr>
        <w:keepNext/>
        <w:keepLines/>
        <w:tabs>
          <w:tab w:val="left" w:pos="1134"/>
          <w:tab w:val="right" w:pos="7230"/>
        </w:tabs>
        <w:adjustRightInd/>
        <w:snapToGrid/>
        <w:spacing w:before="120" w:after="240" w:line="240" w:lineRule="exact"/>
        <w:ind w:left="400" w:rightChars="200" w:right="400" w:hangingChars="200" w:hanging="400"/>
        <w:rPr>
          <w:rFonts w:eastAsia="Batang"/>
          <w:bCs/>
          <w:lang w:val="en-US" w:eastAsia="ko-KR"/>
        </w:rPr>
      </w:pPr>
      <w:r w:rsidRPr="00B44EC9">
        <w:rPr>
          <w:lang w:val="en-US" w:eastAsia="ko-KR"/>
        </w:rPr>
        <w:br w:type="page"/>
      </w:r>
      <w:r w:rsidRPr="00B44EC9">
        <w:rPr>
          <w:rFonts w:eastAsia="Batang" w:hint="eastAsia"/>
          <w:b/>
          <w:sz w:val="28"/>
          <w:szCs w:val="28"/>
          <w:lang w:val="en-US" w:eastAsia="ko-KR"/>
        </w:rPr>
        <w:lastRenderedPageBreak/>
        <w:t>A</w:t>
      </w:r>
      <w:r w:rsidRPr="00B44EC9">
        <w:rPr>
          <w:rFonts w:eastAsia="Batang"/>
          <w:b/>
          <w:sz w:val="28"/>
          <w:szCs w:val="28"/>
          <w:lang w:val="en-US" w:eastAsia="ko-KR"/>
        </w:rPr>
        <w:t>nnexe III</w:t>
      </w:r>
    </w:p>
    <w:p w14:paraId="583BD51B" w14:textId="77777777" w:rsidR="00B44EC9" w:rsidRPr="00B44EC9" w:rsidRDefault="00B44EC9" w:rsidP="00347781">
      <w:pPr>
        <w:keepNext/>
        <w:keepLines/>
        <w:tabs>
          <w:tab w:val="left" w:pos="1134"/>
          <w:tab w:val="right" w:pos="7230"/>
        </w:tabs>
        <w:adjustRightInd/>
        <w:snapToGrid/>
        <w:spacing w:before="120" w:after="240" w:line="240" w:lineRule="exact"/>
        <w:ind w:left="400" w:rightChars="200" w:right="400" w:hangingChars="200" w:hanging="400"/>
        <w:jc w:val="right"/>
        <w:rPr>
          <w:rFonts w:eastAsia="Batang"/>
          <w:bCs/>
          <w:lang w:val="en-US" w:eastAsia="ko-KR"/>
        </w:rPr>
      </w:pPr>
      <w:r w:rsidRPr="00B44EC9">
        <w:rPr>
          <w:rFonts w:eastAsia="Batang"/>
          <w:bCs/>
          <w:lang w:val="en-US" w:eastAsia="ko-KR"/>
        </w:rPr>
        <w:t>[</w:t>
      </w:r>
      <w:r w:rsidRPr="00347781">
        <w:rPr>
          <w:rFonts w:eastAsia="Batang"/>
          <w:bCs/>
          <w:i/>
          <w:lang w:val="en-US" w:eastAsia="ko-KR"/>
        </w:rPr>
        <w:t>Anglais seulement</w:t>
      </w:r>
      <w:r w:rsidRPr="00B44EC9">
        <w:rPr>
          <w:rFonts w:eastAsia="Batang"/>
          <w:bCs/>
          <w:lang w:val="en-US" w:eastAsia="ko-KR"/>
        </w:rPr>
        <w:t>]</w:t>
      </w:r>
    </w:p>
    <w:p w14:paraId="0A6B5E8E" w14:textId="77777777" w:rsidR="00B44EC9" w:rsidRPr="00B44EC9" w:rsidRDefault="00B44EC9" w:rsidP="00B44EC9">
      <w:pPr>
        <w:pStyle w:val="H1G"/>
        <w:rPr>
          <w:lang w:val="en-US" w:eastAsia="ko-KR"/>
        </w:rPr>
      </w:pPr>
      <w:r w:rsidRPr="00B44EC9">
        <w:rPr>
          <w:lang w:val="en-US" w:eastAsia="ko-KR"/>
        </w:rPr>
        <w:tab/>
      </w:r>
      <w:r w:rsidRPr="00B44EC9">
        <w:rPr>
          <w:lang w:val="en-US" w:eastAsia="ko-KR"/>
        </w:rPr>
        <w:tab/>
      </w:r>
      <w:r w:rsidRPr="00B44EC9">
        <w:rPr>
          <w:rFonts w:hint="eastAsia"/>
          <w:lang w:val="en-US" w:eastAsia="ko-KR"/>
        </w:rPr>
        <w:t xml:space="preserve">Data sheet </w:t>
      </w:r>
      <w:r w:rsidRPr="00B44EC9">
        <w:rPr>
          <w:lang w:val="en-US" w:eastAsia="ko-KR"/>
        </w:rPr>
        <w:t>for</w:t>
      </w:r>
      <w:r w:rsidRPr="00B44EC9">
        <w:rPr>
          <w:rFonts w:hint="eastAsia"/>
          <w:lang w:val="en-US" w:eastAsia="ko-KR"/>
        </w:rPr>
        <w:t xml:space="preserve"> N,</w:t>
      </w:r>
      <w:r w:rsidRPr="00B44EC9">
        <w:rPr>
          <w:lang w:val="en-US" w:eastAsia="ko-KR"/>
        </w:rPr>
        <w:t xml:space="preserve"> </w:t>
      </w:r>
      <w:r w:rsidRPr="00B44EC9">
        <w:rPr>
          <w:rFonts w:hint="eastAsia"/>
          <w:lang w:val="en-US" w:eastAsia="ko-KR"/>
        </w:rPr>
        <w:t>N-Dimethyl cyclohexylamine (UN 2264)</w:t>
      </w:r>
      <w:r w:rsidRPr="00650047">
        <w:rPr>
          <w:rStyle w:val="FootnoteReference"/>
        </w:rPr>
        <w:footnoteReference w:id="6"/>
      </w:r>
    </w:p>
    <w:p w14:paraId="541716B8" w14:textId="77777777" w:rsidR="00B44EC9" w:rsidRPr="00B44EC9" w:rsidRDefault="00B44EC9" w:rsidP="00B44EC9">
      <w:pPr>
        <w:spacing w:line="360" w:lineRule="auto"/>
        <w:ind w:left="1134"/>
        <w:rPr>
          <w:lang w:val="en-US" w:eastAsia="ko-KR"/>
        </w:rPr>
      </w:pPr>
      <w:r w:rsidRPr="00B44EC9">
        <w:rPr>
          <w:rFonts w:hint="eastAsia"/>
          <w:lang w:val="en-US" w:eastAsia="ko-KR"/>
        </w:rPr>
        <w:t>Section 5. HARMFUL BIOLOGICAL EFFECTS</w:t>
      </w:r>
    </w:p>
    <w:p w14:paraId="14CF8656" w14:textId="77777777" w:rsidR="00B44EC9" w:rsidRPr="00B44EC9" w:rsidRDefault="00B44EC9" w:rsidP="00B44EC9">
      <w:pPr>
        <w:spacing w:line="360" w:lineRule="auto"/>
        <w:ind w:left="1134"/>
        <w:rPr>
          <w:lang w:val="en-US" w:eastAsia="ko-KR"/>
        </w:rPr>
      </w:pPr>
      <w:r w:rsidRPr="00B44EC9">
        <w:rPr>
          <w:rFonts w:hint="eastAsia"/>
          <w:lang w:val="en-US" w:eastAsia="ko-KR"/>
        </w:rPr>
        <w:t>5.1</w:t>
      </w:r>
      <w:r w:rsidRPr="00B44EC9">
        <w:rPr>
          <w:rFonts w:hint="eastAsia"/>
          <w:lang w:val="en-US" w:eastAsia="ko-KR"/>
        </w:rPr>
        <w:tab/>
        <w:t>LD</w:t>
      </w:r>
      <w:r w:rsidRPr="00B44EC9">
        <w:rPr>
          <w:rFonts w:hint="eastAsia"/>
          <w:vertAlign w:val="subscript"/>
          <w:lang w:val="en-US" w:eastAsia="ko-KR"/>
        </w:rPr>
        <w:t>50</w:t>
      </w:r>
      <w:r w:rsidRPr="00B44EC9">
        <w:rPr>
          <w:rFonts w:hint="eastAsia"/>
          <w:lang w:val="en-US" w:eastAsia="ko-KR"/>
        </w:rPr>
        <w:t>, oral (2.6.2.1.1</w:t>
      </w:r>
      <w:r w:rsidRPr="00650047">
        <w:rPr>
          <w:rStyle w:val="FootnoteReference"/>
        </w:rPr>
        <w:footnoteReference w:id="7"/>
      </w:r>
      <w:r w:rsidRPr="00B44EC9">
        <w:rPr>
          <w:rFonts w:hint="eastAsia"/>
          <w:lang w:val="en-US" w:eastAsia="ko-KR"/>
        </w:rPr>
        <w:t xml:space="preserve">) </w:t>
      </w:r>
      <w:r w:rsidRPr="00B44EC9">
        <w:rPr>
          <w:lang w:val="en-US" w:eastAsia="ko-KR"/>
        </w:rPr>
        <w:t>……</w:t>
      </w:r>
      <w:r w:rsidRPr="00B44EC9">
        <w:rPr>
          <w:rFonts w:hint="eastAsia"/>
          <w:b/>
          <w:lang w:val="en-US" w:eastAsia="ko-KR"/>
        </w:rPr>
        <w:t>&gt;</w:t>
      </w:r>
      <w:r w:rsidRPr="00B44EC9">
        <w:rPr>
          <w:b/>
          <w:lang w:val="en-US" w:eastAsia="ko-KR"/>
        </w:rPr>
        <w:t>272</w:t>
      </w:r>
      <w:r w:rsidRPr="00B44EC9">
        <w:rPr>
          <w:rFonts w:hint="eastAsia"/>
          <w:b/>
          <w:lang w:val="en-US" w:eastAsia="ko-KR"/>
        </w:rPr>
        <w:t xml:space="preserve"> - &lt;289 </w:t>
      </w:r>
      <w:r w:rsidRPr="00B44EC9">
        <w:rPr>
          <w:rFonts w:hint="eastAsia"/>
          <w:lang w:val="en-US" w:eastAsia="ko-KR"/>
        </w:rPr>
        <w:t>mg/kg</w:t>
      </w:r>
      <w:r w:rsidRPr="00B44EC9">
        <w:rPr>
          <w:vertAlign w:val="superscript"/>
          <w:lang w:val="en-US" w:eastAsia="ko-KR"/>
        </w:rPr>
        <w:t>a</w:t>
      </w:r>
      <w:r w:rsidRPr="00B44EC9">
        <w:rPr>
          <w:rFonts w:hint="eastAsia"/>
          <w:lang w:val="en-US" w:eastAsia="ko-KR"/>
        </w:rPr>
        <w:t xml:space="preserve">           Animal species </w:t>
      </w:r>
      <w:r w:rsidRPr="00B44EC9">
        <w:rPr>
          <w:lang w:val="en-US" w:eastAsia="ko-KR"/>
        </w:rPr>
        <w:t>……</w:t>
      </w:r>
      <w:r w:rsidR="00347781">
        <w:rPr>
          <w:lang w:val="en-US" w:eastAsia="ko-KR"/>
        </w:rPr>
        <w:t>…</w:t>
      </w:r>
      <w:r w:rsidRPr="00B44EC9">
        <w:rPr>
          <w:rFonts w:hint="eastAsia"/>
          <w:b/>
          <w:lang w:val="en-US" w:eastAsia="ko-KR"/>
        </w:rPr>
        <w:t>Rat</w:t>
      </w:r>
    </w:p>
    <w:p w14:paraId="78613D86" w14:textId="77777777" w:rsidR="00B44EC9" w:rsidRPr="00B44EC9" w:rsidRDefault="00B44EC9" w:rsidP="00B44EC9">
      <w:pPr>
        <w:spacing w:line="360" w:lineRule="auto"/>
        <w:ind w:left="1134"/>
        <w:rPr>
          <w:lang w:val="en-US" w:eastAsia="ko-KR"/>
        </w:rPr>
      </w:pPr>
      <w:r w:rsidRPr="00B44EC9">
        <w:rPr>
          <w:rFonts w:hint="eastAsia"/>
          <w:lang w:val="en-US" w:eastAsia="ko-KR"/>
        </w:rPr>
        <w:t>5.2</w:t>
      </w:r>
      <w:r w:rsidRPr="00B44EC9">
        <w:rPr>
          <w:rFonts w:hint="eastAsia"/>
          <w:lang w:val="en-US" w:eastAsia="ko-KR"/>
        </w:rPr>
        <w:tab/>
        <w:t>LD</w:t>
      </w:r>
      <w:r w:rsidRPr="00B44EC9">
        <w:rPr>
          <w:rFonts w:hint="eastAsia"/>
          <w:vertAlign w:val="subscript"/>
          <w:lang w:val="en-US" w:eastAsia="ko-KR"/>
        </w:rPr>
        <w:t>50</w:t>
      </w:r>
      <w:r w:rsidRPr="00B44EC9">
        <w:rPr>
          <w:rFonts w:hint="eastAsia"/>
          <w:lang w:val="en-US" w:eastAsia="ko-KR"/>
        </w:rPr>
        <w:t xml:space="preserve">, dermal (2.6.2.1.2) </w:t>
      </w:r>
      <w:r w:rsidRPr="00B44EC9">
        <w:rPr>
          <w:lang w:val="en-US" w:eastAsia="ko-KR"/>
        </w:rPr>
        <w:t>……</w:t>
      </w:r>
      <w:r w:rsidRPr="00B44EC9">
        <w:rPr>
          <w:rFonts w:hint="eastAsia"/>
          <w:lang w:val="en-US" w:eastAsia="ko-KR"/>
        </w:rPr>
        <w:t>.</w:t>
      </w:r>
      <w:r w:rsidRPr="00B44EC9">
        <w:rPr>
          <w:lang w:val="en-US" w:eastAsia="ko-KR"/>
        </w:rPr>
        <w:t>…</w:t>
      </w:r>
      <w:r w:rsidRPr="00B44EC9">
        <w:rPr>
          <w:rFonts w:hint="eastAsia"/>
          <w:lang w:val="en-US" w:eastAsia="ko-KR"/>
        </w:rPr>
        <w:t xml:space="preserve"> </w:t>
      </w:r>
      <w:r w:rsidRPr="00B44EC9">
        <w:rPr>
          <w:b/>
          <w:lang w:val="en-US" w:eastAsia="ko-KR"/>
        </w:rPr>
        <w:t>380</w:t>
      </w:r>
      <w:r w:rsidRPr="00B44EC9">
        <w:rPr>
          <w:rFonts w:hint="eastAsia"/>
          <w:lang w:val="en-US" w:eastAsia="ko-KR"/>
        </w:rPr>
        <w:t xml:space="preserve"> mg/kg</w:t>
      </w:r>
      <w:r w:rsidRPr="00B44EC9">
        <w:rPr>
          <w:vertAlign w:val="superscript"/>
          <w:lang w:val="en-US" w:eastAsia="ko-KR"/>
        </w:rPr>
        <w:t>b</w:t>
      </w:r>
      <w:r w:rsidRPr="00B44EC9">
        <w:rPr>
          <w:rFonts w:hint="eastAsia"/>
          <w:lang w:val="en-US" w:eastAsia="ko-KR"/>
        </w:rPr>
        <w:t xml:space="preserve">          Animal species </w:t>
      </w:r>
      <w:r w:rsidRPr="00B44EC9">
        <w:rPr>
          <w:lang w:val="en-US" w:eastAsia="ko-KR"/>
        </w:rPr>
        <w:t>…………</w:t>
      </w:r>
      <w:r w:rsidRPr="00B44EC9">
        <w:rPr>
          <w:rFonts w:hint="eastAsia"/>
          <w:lang w:val="en-US" w:eastAsia="ko-KR"/>
        </w:rPr>
        <w:t>.</w:t>
      </w:r>
      <w:r w:rsidRPr="00B44EC9">
        <w:rPr>
          <w:rFonts w:hint="eastAsia"/>
          <w:b/>
          <w:lang w:val="en-US" w:eastAsia="ko-KR"/>
        </w:rPr>
        <w:t>Rat</w:t>
      </w:r>
    </w:p>
    <w:p w14:paraId="458224EE" w14:textId="77777777" w:rsidR="00B44EC9" w:rsidRPr="00B44EC9" w:rsidRDefault="00B44EC9" w:rsidP="00B44EC9">
      <w:pPr>
        <w:spacing w:line="360" w:lineRule="auto"/>
        <w:ind w:left="1134"/>
        <w:rPr>
          <w:color w:val="0000FF"/>
          <w:lang w:val="en-US" w:eastAsia="ko-KR"/>
        </w:rPr>
      </w:pPr>
      <w:r w:rsidRPr="00B44EC9">
        <w:rPr>
          <w:rFonts w:hint="eastAsia"/>
          <w:lang w:val="en-US" w:eastAsia="ko-KR"/>
        </w:rPr>
        <w:t>5.3</w:t>
      </w:r>
      <w:r w:rsidRPr="00B44EC9">
        <w:rPr>
          <w:rFonts w:hint="eastAsia"/>
          <w:lang w:val="en-US" w:eastAsia="ko-KR"/>
        </w:rPr>
        <w:tab/>
        <w:t>LC</w:t>
      </w:r>
      <w:r w:rsidRPr="00B44EC9">
        <w:rPr>
          <w:rFonts w:hint="eastAsia"/>
          <w:vertAlign w:val="subscript"/>
          <w:lang w:val="en-US" w:eastAsia="ko-KR"/>
        </w:rPr>
        <w:t>50</w:t>
      </w:r>
      <w:r w:rsidRPr="00B44EC9">
        <w:rPr>
          <w:rFonts w:hint="eastAsia"/>
          <w:lang w:val="en-US" w:eastAsia="ko-KR"/>
        </w:rPr>
        <w:t xml:space="preserve">, inhalation (2.6.2.1.3) </w:t>
      </w:r>
      <w:r w:rsidRPr="00B44EC9">
        <w:rPr>
          <w:lang w:val="en-US" w:eastAsia="ko-KR"/>
        </w:rPr>
        <w:t>……</w:t>
      </w:r>
      <w:r w:rsidRPr="00B44EC9">
        <w:rPr>
          <w:rFonts w:hint="eastAsia"/>
          <w:lang w:val="en-US" w:eastAsia="ko-KR"/>
        </w:rPr>
        <w:t xml:space="preserve"> </w:t>
      </w:r>
      <w:r w:rsidRPr="00B44EC9">
        <w:rPr>
          <w:lang w:val="en-US" w:eastAsia="ko-KR"/>
        </w:rPr>
        <w:t xml:space="preserve">1.7-5.8 </w:t>
      </w:r>
      <w:r w:rsidRPr="00B44EC9">
        <w:rPr>
          <w:rFonts w:hint="eastAsia"/>
          <w:lang w:val="en-US" w:eastAsia="ko-KR"/>
        </w:rPr>
        <w:t>mg/L</w:t>
      </w:r>
      <w:r w:rsidRPr="00B44EC9">
        <w:rPr>
          <w:vertAlign w:val="superscript"/>
          <w:lang w:val="en-US" w:eastAsia="ko-KR"/>
        </w:rPr>
        <w:t>c</w:t>
      </w:r>
      <w:r w:rsidRPr="00B44EC9">
        <w:rPr>
          <w:rFonts w:hint="eastAsia"/>
          <w:lang w:val="en-US" w:eastAsia="ko-KR"/>
        </w:rPr>
        <w:t xml:space="preserve">      </w:t>
      </w:r>
      <w:r w:rsidRPr="00B44EC9">
        <w:rPr>
          <w:lang w:val="en-US" w:eastAsia="ko-KR"/>
        </w:rPr>
        <w:t xml:space="preserve">      </w:t>
      </w:r>
      <w:r w:rsidRPr="00B44EC9">
        <w:rPr>
          <w:rFonts w:hint="eastAsia"/>
          <w:lang w:val="en-US" w:eastAsia="ko-KR"/>
        </w:rPr>
        <w:t>Exposure time</w:t>
      </w:r>
      <w:r w:rsidRPr="00B44EC9">
        <w:rPr>
          <w:lang w:val="en-US" w:eastAsia="ko-KR"/>
        </w:rPr>
        <w:t>…</w:t>
      </w:r>
      <w:r w:rsidR="00347781">
        <w:rPr>
          <w:lang w:val="en-US" w:eastAsia="ko-KR"/>
        </w:rPr>
        <w:t>….</w:t>
      </w:r>
      <w:r w:rsidRPr="00B44EC9">
        <w:rPr>
          <w:rFonts w:hint="eastAsia"/>
          <w:lang w:val="en-US" w:eastAsia="ko-KR"/>
        </w:rPr>
        <w:t>.</w:t>
      </w:r>
      <w:r w:rsidRPr="00B44EC9">
        <w:rPr>
          <w:b/>
          <w:lang w:val="en-US" w:eastAsia="ko-KR"/>
        </w:rPr>
        <w:t>6</w:t>
      </w:r>
      <w:r w:rsidRPr="00B44EC9">
        <w:rPr>
          <w:rFonts w:hint="eastAsia"/>
          <w:b/>
          <w:lang w:val="en-US" w:eastAsia="ko-KR"/>
        </w:rPr>
        <w:t xml:space="preserve"> hour</w:t>
      </w:r>
    </w:p>
    <w:p w14:paraId="2CCFA3FE" w14:textId="77777777" w:rsidR="00B44EC9" w:rsidRPr="00B44EC9" w:rsidRDefault="00B44EC9" w:rsidP="00B44EC9">
      <w:pPr>
        <w:spacing w:line="360" w:lineRule="auto"/>
        <w:ind w:left="1134" w:firstLineChars="1450" w:firstLine="2900"/>
        <w:rPr>
          <w:b/>
          <w:lang w:val="en-US" w:eastAsia="ko-KR"/>
        </w:rPr>
      </w:pPr>
      <w:r w:rsidRPr="00B44EC9">
        <w:rPr>
          <w:lang w:val="en-US" w:eastAsia="ko-KR"/>
        </w:rPr>
        <w:t>or ……………</w:t>
      </w:r>
      <w:r w:rsidRPr="00B44EC9">
        <w:rPr>
          <w:rFonts w:hint="eastAsia"/>
          <w:lang w:val="en-US" w:eastAsia="ko-KR"/>
        </w:rPr>
        <w:t>.ml/m</w:t>
      </w:r>
      <w:r w:rsidRPr="00B44EC9">
        <w:rPr>
          <w:rFonts w:hint="eastAsia"/>
          <w:vertAlign w:val="superscript"/>
          <w:lang w:val="en-US" w:eastAsia="ko-KR"/>
        </w:rPr>
        <w:t>3</w:t>
      </w:r>
      <w:r w:rsidRPr="00B44EC9">
        <w:rPr>
          <w:rFonts w:hint="eastAsia"/>
          <w:lang w:val="en-US" w:eastAsia="ko-KR"/>
        </w:rPr>
        <w:t xml:space="preserve">          Animal species </w:t>
      </w:r>
      <w:r w:rsidRPr="00B44EC9">
        <w:rPr>
          <w:lang w:val="en-US" w:eastAsia="ko-KR"/>
        </w:rPr>
        <w:t>…</w:t>
      </w:r>
      <w:r w:rsidR="00347781">
        <w:rPr>
          <w:lang w:val="en-US" w:eastAsia="ko-KR"/>
        </w:rPr>
        <w:t>…</w:t>
      </w:r>
      <w:r w:rsidRPr="00B44EC9">
        <w:rPr>
          <w:rFonts w:hint="eastAsia"/>
          <w:b/>
          <w:lang w:val="en-US" w:eastAsia="ko-KR"/>
        </w:rPr>
        <w:t>Rat</w:t>
      </w:r>
    </w:p>
    <w:p w14:paraId="34D2FF78" w14:textId="77777777" w:rsidR="00B44EC9" w:rsidRPr="00B44EC9" w:rsidRDefault="00B44EC9" w:rsidP="00B44EC9">
      <w:pPr>
        <w:spacing w:line="360" w:lineRule="auto"/>
        <w:ind w:left="1134"/>
        <w:rPr>
          <w:lang w:val="en-US" w:eastAsia="ko-KR"/>
        </w:rPr>
      </w:pPr>
      <w:r w:rsidRPr="00B44EC9">
        <w:rPr>
          <w:rFonts w:hint="eastAsia"/>
          <w:lang w:val="en-US" w:eastAsia="ko-KR"/>
        </w:rPr>
        <w:t>5.4</w:t>
      </w:r>
      <w:r w:rsidRPr="00B44EC9">
        <w:rPr>
          <w:rFonts w:hint="eastAsia"/>
          <w:lang w:val="en-US" w:eastAsia="ko-KR"/>
        </w:rPr>
        <w:tab/>
        <w:t>Saturated vapour concentration at 20</w:t>
      </w:r>
      <w:r w:rsidRPr="00B44EC9">
        <w:rPr>
          <w:rFonts w:ascii="Malgun Gothic" w:hAnsi="Malgun Gothic" w:hint="eastAsia"/>
          <w:lang w:val="en-US" w:eastAsia="ko-KR"/>
        </w:rPr>
        <w:t>℃</w:t>
      </w:r>
      <w:r w:rsidRPr="00B44EC9">
        <w:rPr>
          <w:rFonts w:hint="eastAsia"/>
          <w:lang w:val="en-US" w:eastAsia="ko-KR"/>
        </w:rPr>
        <w:t xml:space="preserve"> (2.6.2.2.4.3)</w:t>
      </w:r>
      <w:r w:rsidRPr="00B44EC9">
        <w:rPr>
          <w:lang w:val="en-US" w:eastAsia="ko-KR"/>
        </w:rPr>
        <w:t xml:space="preserve"> ………………</w:t>
      </w:r>
      <w:r w:rsidRPr="00B44EC9">
        <w:rPr>
          <w:rFonts w:hint="eastAsia"/>
          <w:lang w:val="en-US" w:eastAsia="ko-KR"/>
        </w:rPr>
        <w:t>.</w:t>
      </w:r>
      <w:r w:rsidRPr="00B44EC9">
        <w:rPr>
          <w:lang w:val="en-US" w:eastAsia="ko-KR"/>
        </w:rPr>
        <w:t>…</w:t>
      </w:r>
      <w:r w:rsidRPr="00B44EC9">
        <w:rPr>
          <w:b/>
          <w:lang w:val="en-US" w:eastAsia="ko-KR"/>
        </w:rPr>
        <w:t>2860</w:t>
      </w:r>
      <w:r w:rsidRPr="00B44EC9">
        <w:rPr>
          <w:lang w:val="en-US" w:eastAsia="ko-KR"/>
        </w:rPr>
        <w:t xml:space="preserve"> ml/m</w:t>
      </w:r>
      <w:r w:rsidRPr="00B44EC9">
        <w:rPr>
          <w:vertAlign w:val="superscript"/>
          <w:lang w:val="en-US" w:eastAsia="ko-KR"/>
        </w:rPr>
        <w:t>3</w:t>
      </w:r>
    </w:p>
    <w:p w14:paraId="1D9F8147" w14:textId="77777777" w:rsidR="00B44EC9" w:rsidRPr="00B44EC9" w:rsidRDefault="00B44EC9" w:rsidP="00B44EC9">
      <w:pPr>
        <w:spacing w:line="360" w:lineRule="auto"/>
        <w:ind w:left="1134"/>
        <w:rPr>
          <w:lang w:val="en-US" w:eastAsia="ko-KR"/>
        </w:rPr>
      </w:pPr>
      <w:r w:rsidRPr="00B44EC9">
        <w:rPr>
          <w:rFonts w:hint="eastAsia"/>
          <w:lang w:val="en-US" w:eastAsia="ko-KR"/>
        </w:rPr>
        <w:t>5.5</w:t>
      </w:r>
      <w:r w:rsidRPr="00B44EC9">
        <w:rPr>
          <w:rFonts w:hint="eastAsia"/>
          <w:lang w:val="en-US" w:eastAsia="ko-KR"/>
        </w:rPr>
        <w:tab/>
        <w:t>Skin exposure (2.8) results :</w:t>
      </w:r>
      <w:r w:rsidRPr="00B44EC9">
        <w:rPr>
          <w:b/>
          <w:lang w:val="en-US" w:eastAsia="ko-KR"/>
        </w:rPr>
        <w:t xml:space="preserve"> Corrosive</w:t>
      </w:r>
      <w:r w:rsidRPr="00B44EC9">
        <w:rPr>
          <w:vertAlign w:val="superscript"/>
          <w:lang w:val="en-US" w:eastAsia="ko-KR"/>
        </w:rPr>
        <w:t>d</w:t>
      </w:r>
      <w:r w:rsidRPr="00B44EC9">
        <w:rPr>
          <w:rFonts w:hint="eastAsia"/>
          <w:lang w:val="en-US" w:eastAsia="ko-KR"/>
        </w:rPr>
        <w:t xml:space="preserve">     Exposure time</w:t>
      </w:r>
      <w:r w:rsidRPr="00B44EC9">
        <w:rPr>
          <w:lang w:val="en-US" w:eastAsia="ko-KR"/>
        </w:rPr>
        <w:t>………</w:t>
      </w:r>
      <w:r w:rsidRPr="00B44EC9">
        <w:rPr>
          <w:rFonts w:hint="eastAsia"/>
          <w:lang w:val="en-US" w:eastAsia="ko-KR"/>
        </w:rPr>
        <w:t>.</w:t>
      </w:r>
      <w:r w:rsidRPr="00B44EC9">
        <w:rPr>
          <w:lang w:val="en-US" w:eastAsia="ko-KR"/>
        </w:rPr>
        <w:t>…</w:t>
      </w:r>
      <w:r w:rsidRPr="00B44EC9">
        <w:rPr>
          <w:rFonts w:hint="eastAsia"/>
          <w:lang w:val="en-US" w:eastAsia="ko-KR"/>
        </w:rPr>
        <w:t>.</w:t>
      </w:r>
      <w:r w:rsidRPr="00B44EC9">
        <w:rPr>
          <w:lang w:val="en-US" w:eastAsia="ko-KR"/>
        </w:rPr>
        <w:t>……</w:t>
      </w:r>
      <w:r w:rsidRPr="00B44EC9">
        <w:rPr>
          <w:rFonts w:hint="eastAsia"/>
          <w:lang w:val="en-US" w:eastAsia="ko-KR"/>
        </w:rPr>
        <w:t>.</w:t>
      </w:r>
      <w:r w:rsidRPr="00B44EC9">
        <w:rPr>
          <w:b/>
          <w:lang w:val="en-US" w:eastAsia="ko-KR"/>
        </w:rPr>
        <w:t>No data</w:t>
      </w:r>
    </w:p>
    <w:p w14:paraId="0B2F3CBD" w14:textId="77777777" w:rsidR="00B44EC9" w:rsidRPr="00B44EC9" w:rsidRDefault="00B44EC9" w:rsidP="00B44EC9">
      <w:pPr>
        <w:tabs>
          <w:tab w:val="left" w:pos="745"/>
        </w:tabs>
        <w:spacing w:line="360" w:lineRule="auto"/>
        <w:ind w:left="1134"/>
        <w:rPr>
          <w:lang w:val="en-US" w:eastAsia="ko-KR"/>
        </w:rPr>
      </w:pPr>
      <w:r w:rsidRPr="00B44EC9">
        <w:rPr>
          <w:rFonts w:hint="eastAsia"/>
          <w:lang w:val="en-US" w:eastAsia="ko-KR"/>
        </w:rPr>
        <w:tab/>
      </w:r>
      <w:r w:rsidRPr="00B44EC9">
        <w:rPr>
          <w:rFonts w:hint="eastAsia"/>
          <w:lang w:val="en-US" w:eastAsia="ko-KR"/>
        </w:rPr>
        <w:tab/>
      </w:r>
      <w:r w:rsidRPr="00B44EC9">
        <w:rPr>
          <w:rFonts w:hint="eastAsia"/>
          <w:lang w:val="en-US" w:eastAsia="ko-KR"/>
        </w:rPr>
        <w:tab/>
      </w:r>
      <w:r w:rsidRPr="00B44EC9">
        <w:rPr>
          <w:rFonts w:hint="eastAsia"/>
          <w:lang w:val="en-US" w:eastAsia="ko-KR"/>
        </w:rPr>
        <w:tab/>
      </w:r>
      <w:r w:rsidRPr="00B44EC9">
        <w:rPr>
          <w:rFonts w:hint="eastAsia"/>
          <w:lang w:val="en-US" w:eastAsia="ko-KR"/>
        </w:rPr>
        <w:tab/>
      </w:r>
      <w:r w:rsidRPr="00B44EC9">
        <w:rPr>
          <w:rFonts w:hint="eastAsia"/>
          <w:lang w:val="en-US" w:eastAsia="ko-KR"/>
        </w:rPr>
        <w:tab/>
        <w:t xml:space="preserve">            Animal species</w:t>
      </w:r>
      <w:r w:rsidRPr="00B44EC9">
        <w:rPr>
          <w:lang w:val="en-US" w:eastAsia="ko-KR"/>
        </w:rPr>
        <w:t>…………………</w:t>
      </w:r>
      <w:r w:rsidRPr="00B44EC9">
        <w:rPr>
          <w:b/>
          <w:lang w:val="en-US" w:eastAsia="ko-KR"/>
        </w:rPr>
        <w:t>Rabbit</w:t>
      </w:r>
    </w:p>
    <w:p w14:paraId="2E39DE20" w14:textId="77777777" w:rsidR="00B44EC9" w:rsidRPr="00B44EC9" w:rsidRDefault="00B44EC9" w:rsidP="00B44EC9">
      <w:pPr>
        <w:spacing w:line="360" w:lineRule="auto"/>
        <w:ind w:left="1134"/>
        <w:rPr>
          <w:lang w:val="en-US" w:eastAsia="ko-KR"/>
        </w:rPr>
      </w:pPr>
      <w:r w:rsidRPr="00B44EC9">
        <w:rPr>
          <w:rFonts w:hint="eastAsia"/>
          <w:lang w:val="en-US" w:eastAsia="ko-KR"/>
        </w:rPr>
        <w:t>5.6</w:t>
      </w:r>
      <w:r w:rsidRPr="00B44EC9">
        <w:rPr>
          <w:rFonts w:hint="eastAsia"/>
          <w:lang w:val="en-US" w:eastAsia="ko-KR"/>
        </w:rPr>
        <w:tab/>
        <w:t>Other data</w:t>
      </w:r>
      <w:r w:rsidRPr="00B44EC9">
        <w:rPr>
          <w:vertAlign w:val="superscript"/>
          <w:lang w:val="en-US" w:eastAsia="ko-KR"/>
        </w:rPr>
        <w:t>e</w:t>
      </w:r>
    </w:p>
    <w:p w14:paraId="7D0B45B1" w14:textId="77777777" w:rsidR="00B44EC9" w:rsidRPr="00B44EC9" w:rsidRDefault="00B44EC9" w:rsidP="00B44EC9">
      <w:pPr>
        <w:spacing w:line="360" w:lineRule="auto"/>
        <w:ind w:left="1134"/>
        <w:rPr>
          <w:b/>
          <w:lang w:val="en-US" w:eastAsia="ko-KR"/>
        </w:rPr>
      </w:pPr>
      <w:r w:rsidRPr="00B44EC9">
        <w:rPr>
          <w:b/>
          <w:lang w:val="en-US" w:eastAsia="ko-KR"/>
        </w:rPr>
        <w:t>Corrosive, severe skin and eye irritant, reproductive toxicity, germ cell mutagenicity, carcinogenicity and specific target organ toxicity (single and repeated exposure)</w:t>
      </w:r>
    </w:p>
    <w:p w14:paraId="347D8FDD" w14:textId="77777777" w:rsidR="00B44EC9" w:rsidRPr="00B44EC9" w:rsidRDefault="00B44EC9" w:rsidP="00B44EC9">
      <w:pPr>
        <w:spacing w:line="360" w:lineRule="auto"/>
        <w:ind w:left="1134"/>
        <w:rPr>
          <w:b/>
          <w:u w:val="single"/>
          <w:lang w:val="en-US" w:eastAsia="ko-KR"/>
        </w:rPr>
      </w:pPr>
      <w:r w:rsidRPr="00B44EC9">
        <w:rPr>
          <w:rFonts w:hint="eastAsia"/>
          <w:lang w:val="en-US" w:eastAsia="ko-KR"/>
        </w:rPr>
        <w:tab/>
      </w:r>
      <w:r w:rsidRPr="00B44EC9">
        <w:rPr>
          <w:lang w:val="en-US" w:eastAsia="ko-KR"/>
        </w:rPr>
        <w:tab/>
      </w:r>
      <w:r w:rsidRPr="00B44EC9">
        <w:rPr>
          <w:rFonts w:hint="eastAsia"/>
          <w:b/>
          <w:u w:val="single"/>
          <w:lang w:val="en-US" w:eastAsia="ko-KR"/>
        </w:rPr>
        <w:t xml:space="preserve">Ecological toxicity </w:t>
      </w:r>
    </w:p>
    <w:p w14:paraId="5004CECD" w14:textId="77777777" w:rsidR="00B44EC9" w:rsidRPr="00B44EC9" w:rsidRDefault="00B44EC9" w:rsidP="00B44EC9">
      <w:pPr>
        <w:spacing w:line="360" w:lineRule="auto"/>
        <w:ind w:left="1134"/>
        <w:rPr>
          <w:b/>
          <w:lang w:val="en-US" w:eastAsia="ko-KR"/>
        </w:rPr>
      </w:pPr>
      <w:r w:rsidRPr="00B44EC9">
        <w:rPr>
          <w:rFonts w:hint="eastAsia"/>
          <w:b/>
          <w:lang w:val="en-US" w:eastAsia="ko-KR"/>
        </w:rPr>
        <w:tab/>
      </w:r>
      <w:r w:rsidRPr="00B44EC9">
        <w:rPr>
          <w:b/>
          <w:lang w:val="en-US" w:eastAsia="ko-KR"/>
        </w:rPr>
        <w:tab/>
      </w:r>
      <w:r w:rsidRPr="00B44EC9">
        <w:rPr>
          <w:rFonts w:hint="eastAsia"/>
          <w:b/>
          <w:lang w:val="en-US" w:eastAsia="ko-KR"/>
        </w:rPr>
        <w:t>Fish (</w:t>
      </w:r>
      <w:r w:rsidRPr="00B44EC9">
        <w:rPr>
          <w:rFonts w:hint="eastAsia"/>
          <w:b/>
          <w:i/>
          <w:lang w:val="en-US" w:eastAsia="ko-KR"/>
        </w:rPr>
        <w:t>Oncorhynchus mykiss</w:t>
      </w:r>
      <w:r w:rsidRPr="00B44EC9">
        <w:rPr>
          <w:rFonts w:hint="eastAsia"/>
          <w:b/>
          <w:lang w:val="en-US" w:eastAsia="ko-KR"/>
        </w:rPr>
        <w:t>), LC</w:t>
      </w:r>
      <w:r w:rsidRPr="00B44EC9">
        <w:rPr>
          <w:rFonts w:hint="eastAsia"/>
          <w:b/>
          <w:vertAlign w:val="subscript"/>
          <w:lang w:val="en-US" w:eastAsia="ko-KR"/>
        </w:rPr>
        <w:t>50</w:t>
      </w:r>
      <w:r w:rsidRPr="00B44EC9">
        <w:rPr>
          <w:rFonts w:hint="eastAsia"/>
          <w:b/>
          <w:lang w:val="en-US" w:eastAsia="ko-KR"/>
        </w:rPr>
        <w:t xml:space="preserve"> (96h) : 28mg/L</w:t>
      </w:r>
      <w:r w:rsidRPr="00B44EC9">
        <w:rPr>
          <w:vertAlign w:val="superscript"/>
          <w:lang w:val="en-US" w:eastAsia="ko-KR"/>
        </w:rPr>
        <w:t>f</w:t>
      </w:r>
    </w:p>
    <w:p w14:paraId="637E6D2E" w14:textId="77777777" w:rsidR="00B44EC9" w:rsidRPr="00B44EC9" w:rsidRDefault="00B44EC9" w:rsidP="00B44EC9">
      <w:pPr>
        <w:spacing w:line="360" w:lineRule="auto"/>
        <w:ind w:left="1134"/>
        <w:rPr>
          <w:b/>
          <w:lang w:val="en-US" w:eastAsia="ko-KR"/>
        </w:rPr>
      </w:pPr>
      <w:r w:rsidRPr="00B44EC9">
        <w:rPr>
          <w:rFonts w:hint="eastAsia"/>
          <w:b/>
          <w:lang w:val="en-US" w:eastAsia="ko-KR"/>
        </w:rPr>
        <w:tab/>
      </w:r>
      <w:r w:rsidRPr="00B44EC9">
        <w:rPr>
          <w:b/>
          <w:lang w:val="en-US" w:eastAsia="ko-KR"/>
        </w:rPr>
        <w:tab/>
        <w:t>Aquatic plants</w:t>
      </w:r>
      <w:r w:rsidRPr="00B44EC9">
        <w:rPr>
          <w:rFonts w:hint="eastAsia"/>
          <w:b/>
          <w:lang w:val="en-US" w:eastAsia="ko-KR"/>
        </w:rPr>
        <w:t xml:space="preserve"> (</w:t>
      </w:r>
      <w:r w:rsidRPr="00B44EC9">
        <w:rPr>
          <w:rFonts w:hint="eastAsia"/>
          <w:b/>
          <w:i/>
          <w:lang w:val="en-US" w:eastAsia="ko-KR"/>
        </w:rPr>
        <w:t>Scenedesmus subspicatus</w:t>
      </w:r>
      <w:r w:rsidRPr="00B44EC9">
        <w:rPr>
          <w:rFonts w:hint="eastAsia"/>
          <w:b/>
          <w:lang w:val="en-US" w:eastAsia="ko-KR"/>
        </w:rPr>
        <w:t>), EC</w:t>
      </w:r>
      <w:r w:rsidRPr="00B44EC9">
        <w:rPr>
          <w:rFonts w:hint="eastAsia"/>
          <w:b/>
          <w:vertAlign w:val="subscript"/>
          <w:lang w:val="en-US" w:eastAsia="ko-KR"/>
        </w:rPr>
        <w:t>50</w:t>
      </w:r>
      <w:r w:rsidRPr="00B44EC9">
        <w:rPr>
          <w:rFonts w:hint="eastAsia"/>
          <w:b/>
          <w:lang w:val="en-US" w:eastAsia="ko-KR"/>
        </w:rPr>
        <w:t xml:space="preserve"> (72h) : 0.79mg/L</w:t>
      </w:r>
      <w:r w:rsidRPr="00B44EC9">
        <w:rPr>
          <w:vertAlign w:val="superscript"/>
          <w:lang w:val="en-US" w:eastAsia="ko-KR"/>
        </w:rPr>
        <w:t>g</w:t>
      </w:r>
    </w:p>
    <w:p w14:paraId="042F6E55" w14:textId="77777777" w:rsidR="00B44EC9" w:rsidRPr="00B44EC9" w:rsidRDefault="00B44EC9" w:rsidP="00B44EC9">
      <w:pPr>
        <w:spacing w:line="360" w:lineRule="auto"/>
        <w:ind w:left="1134"/>
        <w:rPr>
          <w:lang w:val="en-US" w:eastAsia="ko-KR"/>
        </w:rPr>
      </w:pPr>
      <w:r w:rsidRPr="00B44EC9">
        <w:rPr>
          <w:rFonts w:hint="eastAsia"/>
          <w:lang w:val="en-US" w:eastAsia="ko-KR"/>
        </w:rPr>
        <w:t>5.7</w:t>
      </w:r>
      <w:r w:rsidRPr="00B44EC9">
        <w:rPr>
          <w:rFonts w:hint="eastAsia"/>
          <w:lang w:val="en-US" w:eastAsia="ko-KR"/>
        </w:rPr>
        <w:tab/>
        <w:t>Human experience</w:t>
      </w:r>
      <w:r w:rsidRPr="00B44EC9">
        <w:rPr>
          <w:lang w:val="en-US" w:eastAsia="ko-KR"/>
        </w:rPr>
        <w:t>…………………………………………………</w:t>
      </w:r>
      <w:r w:rsidRPr="00B44EC9">
        <w:rPr>
          <w:rFonts w:hint="eastAsia"/>
          <w:lang w:val="en-US" w:eastAsia="ko-KR"/>
        </w:rPr>
        <w:t>..</w:t>
      </w:r>
      <w:r w:rsidRPr="00B44EC9">
        <w:rPr>
          <w:lang w:val="en-US" w:eastAsia="ko-KR"/>
        </w:rPr>
        <w:t>…</w:t>
      </w:r>
      <w:r w:rsidRPr="00B44EC9">
        <w:rPr>
          <w:rFonts w:hint="eastAsia"/>
          <w:lang w:val="en-US" w:eastAsia="ko-KR"/>
        </w:rPr>
        <w:t>.</w:t>
      </w:r>
      <w:r w:rsidRPr="00B44EC9">
        <w:rPr>
          <w:lang w:val="en-US" w:eastAsia="ko-KR"/>
        </w:rPr>
        <w:t>Not applicable</w:t>
      </w:r>
    </w:p>
    <w:p w14:paraId="2AA86695" w14:textId="77777777" w:rsidR="00924700" w:rsidRDefault="00B44EC9" w:rsidP="00924700">
      <w:pPr>
        <w:pStyle w:val="HChG"/>
        <w:rPr>
          <w:szCs w:val="28"/>
          <w:lang w:val="en-US" w:eastAsia="ko-KR"/>
        </w:rPr>
      </w:pPr>
      <w:r w:rsidRPr="00B44EC9">
        <w:rPr>
          <w:szCs w:val="28"/>
          <w:lang w:val="en-US" w:eastAsia="ko-KR"/>
        </w:rPr>
        <w:br w:type="page"/>
      </w:r>
      <w:r w:rsidRPr="00B44EC9">
        <w:rPr>
          <w:szCs w:val="28"/>
          <w:lang w:val="en-US" w:eastAsia="ko-KR"/>
        </w:rPr>
        <w:lastRenderedPageBreak/>
        <w:t>Annexe IV</w:t>
      </w:r>
    </w:p>
    <w:p w14:paraId="19742258" w14:textId="77777777" w:rsidR="00B44EC9" w:rsidRPr="00692207" w:rsidRDefault="00B44EC9" w:rsidP="00924700">
      <w:pPr>
        <w:pStyle w:val="SingleTxtG"/>
        <w:jc w:val="right"/>
        <w:rPr>
          <w:lang w:eastAsia="ko-KR"/>
        </w:rPr>
      </w:pPr>
      <w:r w:rsidRPr="00692207">
        <w:rPr>
          <w:lang w:eastAsia="ko-KR"/>
        </w:rPr>
        <w:t>[</w:t>
      </w:r>
      <w:r w:rsidRPr="00692207">
        <w:rPr>
          <w:i/>
          <w:lang w:eastAsia="ko-KR"/>
        </w:rPr>
        <w:t>Anglais seulement</w:t>
      </w:r>
      <w:r w:rsidRPr="00692207">
        <w:rPr>
          <w:lang w:eastAsia="ko-KR"/>
        </w:rPr>
        <w:t>]</w:t>
      </w:r>
    </w:p>
    <w:p w14:paraId="175656FF" w14:textId="77777777" w:rsidR="00B44EC9" w:rsidRPr="00692207" w:rsidRDefault="00B44EC9" w:rsidP="00924700">
      <w:pPr>
        <w:pStyle w:val="HChG"/>
      </w:pPr>
      <w:r w:rsidRPr="00692207">
        <w:tab/>
      </w:r>
      <w:r w:rsidRPr="00692207">
        <w:tab/>
      </w:r>
      <w:r w:rsidRPr="00692207">
        <w:rPr>
          <w:rFonts w:hint="eastAsia"/>
        </w:rPr>
        <w:t xml:space="preserve">Data sheet </w:t>
      </w:r>
      <w:r w:rsidRPr="00692207">
        <w:t>for</w:t>
      </w:r>
      <w:r w:rsidRPr="00692207">
        <w:rPr>
          <w:rFonts w:hint="eastAsia"/>
        </w:rPr>
        <w:t xml:space="preserve"> Cyclohexylamine (UN 2357)</w:t>
      </w:r>
      <w:r w:rsidRPr="00650047">
        <w:rPr>
          <w:rStyle w:val="FootnoteReference"/>
        </w:rPr>
        <w:footnoteReference w:id="8"/>
      </w:r>
    </w:p>
    <w:p w14:paraId="665443FC" w14:textId="77777777" w:rsidR="00B44EC9" w:rsidRPr="00B44EC9" w:rsidRDefault="00B44EC9" w:rsidP="00B44EC9">
      <w:pPr>
        <w:spacing w:line="360" w:lineRule="auto"/>
        <w:ind w:left="1134"/>
        <w:rPr>
          <w:lang w:val="en-US" w:eastAsia="ko-KR"/>
        </w:rPr>
      </w:pPr>
      <w:r w:rsidRPr="00692207">
        <w:rPr>
          <w:rFonts w:hint="eastAsia"/>
          <w:lang w:eastAsia="ko-KR"/>
        </w:rPr>
        <w:t xml:space="preserve">Section 5. </w:t>
      </w:r>
      <w:r w:rsidRPr="00B44EC9">
        <w:rPr>
          <w:rFonts w:hint="eastAsia"/>
          <w:lang w:val="en-US" w:eastAsia="ko-KR"/>
        </w:rPr>
        <w:t>HARMFUL BIOLOGICAL EFFECTS</w:t>
      </w:r>
    </w:p>
    <w:p w14:paraId="49C10219" w14:textId="77777777" w:rsidR="00B44EC9" w:rsidRPr="00B44EC9" w:rsidRDefault="00B44EC9" w:rsidP="00B44EC9">
      <w:pPr>
        <w:spacing w:line="360" w:lineRule="auto"/>
        <w:ind w:left="1134"/>
        <w:rPr>
          <w:lang w:val="en-US" w:eastAsia="ko-KR"/>
        </w:rPr>
      </w:pPr>
      <w:r w:rsidRPr="00B44EC9">
        <w:rPr>
          <w:rFonts w:hint="eastAsia"/>
          <w:lang w:val="en-US" w:eastAsia="ko-KR"/>
        </w:rPr>
        <w:t>5.1</w:t>
      </w:r>
      <w:r w:rsidRPr="00B44EC9">
        <w:rPr>
          <w:rFonts w:hint="eastAsia"/>
          <w:lang w:val="en-US" w:eastAsia="ko-KR"/>
        </w:rPr>
        <w:tab/>
        <w:t>LD</w:t>
      </w:r>
      <w:r w:rsidRPr="00B44EC9">
        <w:rPr>
          <w:rFonts w:hint="eastAsia"/>
          <w:vertAlign w:val="subscript"/>
          <w:lang w:val="en-US" w:eastAsia="ko-KR"/>
        </w:rPr>
        <w:t>50</w:t>
      </w:r>
      <w:r w:rsidRPr="00B44EC9">
        <w:rPr>
          <w:rFonts w:hint="eastAsia"/>
          <w:lang w:val="en-US" w:eastAsia="ko-KR"/>
        </w:rPr>
        <w:t>, oral (2.6.2.1.1</w:t>
      </w:r>
      <w:r w:rsidRPr="00650047">
        <w:rPr>
          <w:rStyle w:val="FootnoteReference"/>
        </w:rPr>
        <w:footnoteReference w:id="9"/>
      </w:r>
      <w:r w:rsidRPr="00B44EC9">
        <w:rPr>
          <w:rFonts w:hint="eastAsia"/>
          <w:lang w:val="en-US" w:eastAsia="ko-KR"/>
        </w:rPr>
        <w:t xml:space="preserve">) </w:t>
      </w:r>
      <w:r w:rsidRPr="00B44EC9">
        <w:rPr>
          <w:lang w:val="en-US" w:eastAsia="ko-KR"/>
        </w:rPr>
        <w:t>…………………</w:t>
      </w:r>
      <w:r w:rsidRPr="00B44EC9">
        <w:rPr>
          <w:rFonts w:hint="eastAsia"/>
          <w:b/>
          <w:lang w:val="en-US" w:eastAsia="ko-KR"/>
        </w:rPr>
        <w:t>156</w:t>
      </w:r>
      <w:r w:rsidRPr="00B44EC9">
        <w:rPr>
          <w:rFonts w:hint="eastAsia"/>
          <w:lang w:val="en-US" w:eastAsia="ko-KR"/>
        </w:rPr>
        <w:t xml:space="preserve"> mg/kg</w:t>
      </w:r>
      <w:r w:rsidRPr="00B44EC9">
        <w:rPr>
          <w:vertAlign w:val="superscript"/>
          <w:lang w:val="en-US" w:eastAsia="ko-KR"/>
        </w:rPr>
        <w:t>a</w:t>
      </w:r>
      <w:r w:rsidRPr="00B44EC9">
        <w:rPr>
          <w:rFonts w:hint="eastAsia"/>
          <w:lang w:val="en-US" w:eastAsia="ko-KR"/>
        </w:rPr>
        <w:t xml:space="preserve">        Animal species </w:t>
      </w:r>
      <w:r w:rsidRPr="00B44EC9">
        <w:rPr>
          <w:lang w:val="en-US" w:eastAsia="ko-KR"/>
        </w:rPr>
        <w:t>…………</w:t>
      </w:r>
      <w:r w:rsidRPr="00B44EC9">
        <w:rPr>
          <w:rFonts w:hint="eastAsia"/>
          <w:lang w:val="en-US" w:eastAsia="ko-KR"/>
        </w:rPr>
        <w:t>..</w:t>
      </w:r>
      <w:r w:rsidRPr="00B44EC9">
        <w:rPr>
          <w:rFonts w:hint="eastAsia"/>
          <w:b/>
          <w:lang w:val="en-US" w:eastAsia="ko-KR"/>
        </w:rPr>
        <w:t>Rat</w:t>
      </w:r>
    </w:p>
    <w:p w14:paraId="0C7A53F9" w14:textId="77777777" w:rsidR="00B44EC9" w:rsidRPr="00B44EC9" w:rsidRDefault="00B44EC9" w:rsidP="00B44EC9">
      <w:pPr>
        <w:spacing w:line="360" w:lineRule="auto"/>
        <w:ind w:left="1134"/>
        <w:rPr>
          <w:lang w:val="en-US" w:eastAsia="ko-KR"/>
        </w:rPr>
      </w:pPr>
      <w:r w:rsidRPr="00B44EC9">
        <w:rPr>
          <w:rFonts w:hint="eastAsia"/>
          <w:lang w:val="en-US" w:eastAsia="ko-KR"/>
        </w:rPr>
        <w:t>5.2</w:t>
      </w:r>
      <w:r w:rsidRPr="00B44EC9">
        <w:rPr>
          <w:rFonts w:hint="eastAsia"/>
          <w:lang w:val="en-US" w:eastAsia="ko-KR"/>
        </w:rPr>
        <w:tab/>
        <w:t>LD</w:t>
      </w:r>
      <w:r w:rsidRPr="00B44EC9">
        <w:rPr>
          <w:rFonts w:hint="eastAsia"/>
          <w:vertAlign w:val="subscript"/>
          <w:lang w:val="en-US" w:eastAsia="ko-KR"/>
        </w:rPr>
        <w:t>50</w:t>
      </w:r>
      <w:r w:rsidRPr="00B44EC9">
        <w:rPr>
          <w:rFonts w:hint="eastAsia"/>
          <w:lang w:val="en-US" w:eastAsia="ko-KR"/>
        </w:rPr>
        <w:t xml:space="preserve">, dermal (2.6.2.1.2) </w:t>
      </w:r>
      <w:r w:rsidRPr="00B44EC9">
        <w:rPr>
          <w:lang w:val="en-US" w:eastAsia="ko-KR"/>
        </w:rPr>
        <w:t>……</w:t>
      </w:r>
      <w:r w:rsidRPr="00B44EC9">
        <w:rPr>
          <w:rFonts w:hint="eastAsia"/>
          <w:b/>
          <w:lang w:val="en-US" w:eastAsia="ko-KR"/>
        </w:rPr>
        <w:t>&gt;631 - &lt;1000</w:t>
      </w:r>
      <w:r w:rsidRPr="00B44EC9">
        <w:rPr>
          <w:rFonts w:hint="eastAsia"/>
          <w:lang w:val="en-US" w:eastAsia="ko-KR"/>
        </w:rPr>
        <w:t>mg/kg</w:t>
      </w:r>
      <w:r w:rsidRPr="00B44EC9">
        <w:rPr>
          <w:vertAlign w:val="superscript"/>
          <w:lang w:val="en-US" w:eastAsia="ko-KR"/>
        </w:rPr>
        <w:t>b</w:t>
      </w:r>
      <w:r w:rsidRPr="00B44EC9">
        <w:rPr>
          <w:rFonts w:hint="eastAsia"/>
          <w:lang w:val="en-US" w:eastAsia="ko-KR"/>
        </w:rPr>
        <w:t xml:space="preserve">        Animal species </w:t>
      </w:r>
      <w:r w:rsidRPr="00B44EC9">
        <w:rPr>
          <w:lang w:val="en-US" w:eastAsia="ko-KR"/>
        </w:rPr>
        <w:t>……</w:t>
      </w:r>
      <w:r w:rsidRPr="00B44EC9">
        <w:rPr>
          <w:rFonts w:hint="eastAsia"/>
          <w:lang w:val="en-US" w:eastAsia="ko-KR"/>
        </w:rPr>
        <w:t>.</w:t>
      </w:r>
      <w:r w:rsidRPr="00B44EC9">
        <w:rPr>
          <w:lang w:val="en-US" w:eastAsia="ko-KR"/>
        </w:rPr>
        <w:t>…</w:t>
      </w:r>
      <w:r w:rsidRPr="00B44EC9">
        <w:rPr>
          <w:rFonts w:hint="eastAsia"/>
          <w:b/>
          <w:lang w:val="en-US" w:eastAsia="ko-KR"/>
        </w:rPr>
        <w:t>Rabbit</w:t>
      </w:r>
    </w:p>
    <w:p w14:paraId="4BF43798" w14:textId="77777777" w:rsidR="00B44EC9" w:rsidRPr="00B44EC9" w:rsidRDefault="00B44EC9" w:rsidP="00B44EC9">
      <w:pPr>
        <w:spacing w:line="360" w:lineRule="auto"/>
        <w:ind w:left="1134"/>
        <w:rPr>
          <w:lang w:val="en-US" w:eastAsia="ko-KR"/>
        </w:rPr>
      </w:pPr>
      <w:r w:rsidRPr="00B44EC9">
        <w:rPr>
          <w:rFonts w:hint="eastAsia"/>
          <w:lang w:val="en-US" w:eastAsia="ko-KR"/>
        </w:rPr>
        <w:t>5.3</w:t>
      </w:r>
      <w:r w:rsidRPr="00B44EC9">
        <w:rPr>
          <w:rFonts w:hint="eastAsia"/>
          <w:lang w:val="en-US" w:eastAsia="ko-KR"/>
        </w:rPr>
        <w:tab/>
        <w:t>LC</w:t>
      </w:r>
      <w:r w:rsidRPr="00B44EC9">
        <w:rPr>
          <w:rFonts w:hint="eastAsia"/>
          <w:vertAlign w:val="subscript"/>
          <w:lang w:val="en-US" w:eastAsia="ko-KR"/>
        </w:rPr>
        <w:t>50</w:t>
      </w:r>
      <w:r w:rsidRPr="00B44EC9">
        <w:rPr>
          <w:rFonts w:hint="eastAsia"/>
          <w:lang w:val="en-US" w:eastAsia="ko-KR"/>
        </w:rPr>
        <w:t xml:space="preserve">, inhalation (2.6.2.1.3) </w:t>
      </w:r>
      <w:r w:rsidRPr="00B44EC9">
        <w:rPr>
          <w:lang w:val="en-US" w:eastAsia="ko-KR"/>
        </w:rPr>
        <w:t>…</w:t>
      </w:r>
      <w:r w:rsidRPr="00B44EC9">
        <w:rPr>
          <w:rFonts w:hint="eastAsia"/>
          <w:lang w:val="en-US" w:eastAsia="ko-KR"/>
        </w:rPr>
        <w:t>...no data</w:t>
      </w:r>
      <w:r w:rsidRPr="00B44EC9">
        <w:rPr>
          <w:lang w:val="en-US" w:eastAsia="ko-KR"/>
        </w:rPr>
        <w:t>…</w:t>
      </w:r>
      <w:r w:rsidRPr="00B44EC9">
        <w:rPr>
          <w:rFonts w:hint="eastAsia"/>
          <w:lang w:val="en-US" w:eastAsia="ko-KR"/>
        </w:rPr>
        <w:t>... mg/l         Exposure time</w:t>
      </w:r>
      <w:r w:rsidRPr="00B44EC9">
        <w:rPr>
          <w:lang w:val="en-US" w:eastAsia="ko-KR"/>
        </w:rPr>
        <w:t>………</w:t>
      </w:r>
      <w:r w:rsidRPr="00B44EC9">
        <w:rPr>
          <w:rFonts w:hint="eastAsia"/>
          <w:lang w:val="en-US" w:eastAsia="ko-KR"/>
        </w:rPr>
        <w:t>..</w:t>
      </w:r>
      <w:r w:rsidRPr="00B44EC9">
        <w:rPr>
          <w:rFonts w:hint="eastAsia"/>
          <w:b/>
          <w:lang w:val="en-US" w:eastAsia="ko-KR"/>
        </w:rPr>
        <w:t>no data</w:t>
      </w:r>
    </w:p>
    <w:p w14:paraId="7305AEA3" w14:textId="77777777" w:rsidR="00B44EC9" w:rsidRPr="00B44EC9" w:rsidRDefault="00B44EC9" w:rsidP="00B44EC9">
      <w:pPr>
        <w:spacing w:line="360" w:lineRule="auto"/>
        <w:ind w:left="1134"/>
        <w:rPr>
          <w:lang w:val="en-US" w:eastAsia="ko-KR"/>
        </w:rPr>
      </w:pPr>
      <w:r w:rsidRPr="00B44EC9">
        <w:rPr>
          <w:rFonts w:hint="eastAsia"/>
          <w:lang w:val="en-US" w:eastAsia="ko-KR"/>
        </w:rPr>
        <w:tab/>
      </w:r>
      <w:r w:rsidRPr="00B44EC9">
        <w:rPr>
          <w:rFonts w:hint="eastAsia"/>
          <w:lang w:val="en-US" w:eastAsia="ko-KR"/>
        </w:rPr>
        <w:tab/>
      </w:r>
      <w:r w:rsidRPr="00B44EC9">
        <w:rPr>
          <w:rFonts w:hint="eastAsia"/>
          <w:lang w:val="en-US" w:eastAsia="ko-KR"/>
        </w:rPr>
        <w:tab/>
      </w:r>
      <w:r w:rsidRPr="00B44EC9">
        <w:rPr>
          <w:rFonts w:hint="eastAsia"/>
          <w:lang w:val="en-US" w:eastAsia="ko-KR"/>
        </w:rPr>
        <w:tab/>
      </w:r>
      <w:r w:rsidRPr="00B44EC9">
        <w:rPr>
          <w:lang w:val="en-US" w:eastAsia="ko-KR"/>
        </w:rPr>
        <w:t>or …………</w:t>
      </w:r>
      <w:r w:rsidRPr="00B44EC9">
        <w:rPr>
          <w:rFonts w:hint="eastAsia"/>
          <w:lang w:val="en-US" w:eastAsia="ko-KR"/>
        </w:rPr>
        <w:t>.</w:t>
      </w:r>
      <w:r w:rsidRPr="00B44EC9">
        <w:rPr>
          <w:lang w:val="en-US" w:eastAsia="ko-KR"/>
        </w:rPr>
        <w:t>…</w:t>
      </w:r>
      <w:r w:rsidRPr="00B44EC9">
        <w:rPr>
          <w:rFonts w:hint="eastAsia"/>
          <w:lang w:val="en-US" w:eastAsia="ko-KR"/>
        </w:rPr>
        <w:t>.ml/m</w:t>
      </w:r>
      <w:r w:rsidRPr="00B44EC9">
        <w:rPr>
          <w:rFonts w:hint="eastAsia"/>
          <w:vertAlign w:val="superscript"/>
          <w:lang w:val="en-US" w:eastAsia="ko-KR"/>
        </w:rPr>
        <w:t>3</w:t>
      </w:r>
      <w:r w:rsidRPr="00B44EC9">
        <w:rPr>
          <w:rFonts w:hint="eastAsia"/>
          <w:lang w:val="en-US" w:eastAsia="ko-KR"/>
        </w:rPr>
        <w:t xml:space="preserve">          Animal species </w:t>
      </w:r>
      <w:r w:rsidRPr="00B44EC9">
        <w:rPr>
          <w:lang w:val="en-US" w:eastAsia="ko-KR"/>
        </w:rPr>
        <w:t>………………</w:t>
      </w:r>
      <w:r w:rsidR="00924700">
        <w:rPr>
          <w:lang w:val="en-US" w:eastAsia="ko-KR"/>
        </w:rPr>
        <w:t>…….</w:t>
      </w:r>
    </w:p>
    <w:p w14:paraId="3C099D0C" w14:textId="77777777" w:rsidR="00B44EC9" w:rsidRPr="00B44EC9" w:rsidRDefault="00B44EC9" w:rsidP="00B44EC9">
      <w:pPr>
        <w:spacing w:line="360" w:lineRule="auto"/>
        <w:ind w:left="1134"/>
        <w:rPr>
          <w:lang w:val="en-US" w:eastAsia="ko-KR"/>
        </w:rPr>
      </w:pPr>
      <w:r w:rsidRPr="00B44EC9">
        <w:rPr>
          <w:rFonts w:hint="eastAsia"/>
          <w:lang w:val="en-US" w:eastAsia="ko-KR"/>
        </w:rPr>
        <w:t>5.4</w:t>
      </w:r>
      <w:r w:rsidRPr="00B44EC9">
        <w:rPr>
          <w:rFonts w:hint="eastAsia"/>
          <w:lang w:val="en-US" w:eastAsia="ko-KR"/>
        </w:rPr>
        <w:tab/>
        <w:t>Saturated vapour concentration at 20</w:t>
      </w:r>
      <w:r w:rsidRPr="00B44EC9">
        <w:rPr>
          <w:rFonts w:ascii="Malgun Gothic" w:hAnsi="Malgun Gothic" w:hint="eastAsia"/>
          <w:lang w:val="en-US" w:eastAsia="ko-KR"/>
        </w:rPr>
        <w:t>℃</w:t>
      </w:r>
      <w:r w:rsidRPr="00B44EC9">
        <w:rPr>
          <w:rFonts w:hint="eastAsia"/>
          <w:lang w:val="en-US" w:eastAsia="ko-KR"/>
        </w:rPr>
        <w:t xml:space="preserve"> (2.6.2.2.4.3)</w:t>
      </w:r>
      <w:r w:rsidRPr="00B44EC9">
        <w:rPr>
          <w:lang w:val="en-US" w:eastAsia="ko-KR"/>
        </w:rPr>
        <w:t xml:space="preserve"> ……………………</w:t>
      </w:r>
      <w:r w:rsidR="00924700">
        <w:rPr>
          <w:lang w:val="en-US" w:eastAsia="ko-KR"/>
        </w:rPr>
        <w:t>…</w:t>
      </w:r>
      <w:r w:rsidRPr="00B44EC9">
        <w:rPr>
          <w:b/>
          <w:lang w:val="en-US" w:eastAsia="ko-KR"/>
        </w:rPr>
        <w:t>13800</w:t>
      </w:r>
      <w:r w:rsidRPr="00B44EC9">
        <w:rPr>
          <w:lang w:val="en-US" w:eastAsia="ko-KR"/>
        </w:rPr>
        <w:t xml:space="preserve"> ml/m</w:t>
      </w:r>
      <w:r w:rsidRPr="00B44EC9">
        <w:rPr>
          <w:vertAlign w:val="superscript"/>
          <w:lang w:val="en-US" w:eastAsia="ko-KR"/>
        </w:rPr>
        <w:t>3</w:t>
      </w:r>
    </w:p>
    <w:p w14:paraId="57DABCAF" w14:textId="77777777" w:rsidR="00B44EC9" w:rsidRPr="00B44EC9" w:rsidRDefault="00B44EC9" w:rsidP="00B44EC9">
      <w:pPr>
        <w:spacing w:line="360" w:lineRule="auto"/>
        <w:ind w:left="1134"/>
        <w:rPr>
          <w:lang w:val="en-US" w:eastAsia="ko-KR"/>
        </w:rPr>
      </w:pPr>
      <w:r w:rsidRPr="00B44EC9">
        <w:rPr>
          <w:rFonts w:hint="eastAsia"/>
          <w:lang w:val="en-US" w:eastAsia="ko-KR"/>
        </w:rPr>
        <w:t>5.5</w:t>
      </w:r>
      <w:r w:rsidRPr="00B44EC9">
        <w:rPr>
          <w:rFonts w:hint="eastAsia"/>
          <w:lang w:val="en-US" w:eastAsia="ko-KR"/>
        </w:rPr>
        <w:tab/>
        <w:t xml:space="preserve">Skin exposure (2.8) results : </w:t>
      </w:r>
      <w:r w:rsidRPr="00B44EC9">
        <w:rPr>
          <w:lang w:val="en-US" w:eastAsia="ko-KR"/>
        </w:rPr>
        <w:t xml:space="preserve"> </w:t>
      </w:r>
      <w:r w:rsidRPr="00B44EC9">
        <w:rPr>
          <w:b/>
          <w:lang w:val="en-US" w:eastAsia="ko-KR"/>
        </w:rPr>
        <w:t>Corrosive</w:t>
      </w:r>
      <w:r w:rsidRPr="00B44EC9">
        <w:rPr>
          <w:vertAlign w:val="superscript"/>
          <w:lang w:val="en-US" w:eastAsia="ko-KR"/>
        </w:rPr>
        <w:t>c</w:t>
      </w:r>
      <w:r w:rsidRPr="00B44EC9">
        <w:rPr>
          <w:rFonts w:hint="eastAsia"/>
          <w:b/>
          <w:lang w:val="en-US" w:eastAsia="ko-KR"/>
        </w:rPr>
        <w:tab/>
      </w:r>
      <w:r w:rsidRPr="00B44EC9">
        <w:rPr>
          <w:rFonts w:hint="eastAsia"/>
          <w:lang w:val="en-US" w:eastAsia="ko-KR"/>
        </w:rPr>
        <w:t>Exposure time</w:t>
      </w:r>
      <w:r w:rsidRPr="00B44EC9">
        <w:rPr>
          <w:lang w:val="en-US" w:eastAsia="ko-KR"/>
        </w:rPr>
        <w:t>……………………</w:t>
      </w:r>
      <w:r w:rsidRPr="00B44EC9">
        <w:rPr>
          <w:b/>
          <w:lang w:val="en-US" w:eastAsia="ko-KR"/>
        </w:rPr>
        <w:t>4</w:t>
      </w:r>
      <w:r w:rsidRPr="00B44EC9">
        <w:rPr>
          <w:lang w:val="en-US" w:eastAsia="ko-KR"/>
        </w:rPr>
        <w:t xml:space="preserve"> </w:t>
      </w:r>
      <w:r w:rsidRPr="00B44EC9">
        <w:rPr>
          <w:rFonts w:hint="eastAsia"/>
          <w:lang w:val="en-US" w:eastAsia="ko-KR"/>
        </w:rPr>
        <w:t>hours</w:t>
      </w:r>
    </w:p>
    <w:p w14:paraId="7D8571EB" w14:textId="77777777" w:rsidR="00B44EC9" w:rsidRPr="00B44EC9" w:rsidRDefault="00B44EC9" w:rsidP="00B44EC9">
      <w:pPr>
        <w:tabs>
          <w:tab w:val="left" w:pos="745"/>
        </w:tabs>
        <w:spacing w:line="360" w:lineRule="auto"/>
        <w:ind w:left="1134"/>
        <w:rPr>
          <w:lang w:val="en-US" w:eastAsia="ko-KR"/>
        </w:rPr>
      </w:pPr>
      <w:r w:rsidRPr="00B44EC9">
        <w:rPr>
          <w:rFonts w:hint="eastAsia"/>
          <w:lang w:val="en-US" w:eastAsia="ko-KR"/>
        </w:rPr>
        <w:tab/>
      </w:r>
      <w:r w:rsidRPr="00B44EC9">
        <w:rPr>
          <w:rFonts w:hint="eastAsia"/>
          <w:lang w:val="en-US" w:eastAsia="ko-KR"/>
        </w:rPr>
        <w:tab/>
      </w:r>
      <w:r w:rsidRPr="00B44EC9">
        <w:rPr>
          <w:rFonts w:hint="eastAsia"/>
          <w:lang w:val="en-US" w:eastAsia="ko-KR"/>
        </w:rPr>
        <w:tab/>
      </w:r>
      <w:r w:rsidRPr="00B44EC9">
        <w:rPr>
          <w:rFonts w:hint="eastAsia"/>
          <w:lang w:val="en-US" w:eastAsia="ko-KR"/>
        </w:rPr>
        <w:tab/>
      </w:r>
      <w:r w:rsidRPr="00B44EC9">
        <w:rPr>
          <w:rFonts w:hint="eastAsia"/>
          <w:lang w:val="en-US" w:eastAsia="ko-KR"/>
        </w:rPr>
        <w:tab/>
      </w:r>
      <w:r w:rsidRPr="00B44EC9">
        <w:rPr>
          <w:rFonts w:hint="eastAsia"/>
          <w:lang w:val="en-US" w:eastAsia="ko-KR"/>
        </w:rPr>
        <w:tab/>
        <w:t xml:space="preserve">              Animal species</w:t>
      </w:r>
      <w:r w:rsidRPr="00B44EC9">
        <w:rPr>
          <w:lang w:val="en-US" w:eastAsia="ko-KR"/>
        </w:rPr>
        <w:t>……………………</w:t>
      </w:r>
      <w:r w:rsidRPr="00B44EC9">
        <w:rPr>
          <w:b/>
          <w:lang w:val="en-US" w:eastAsia="ko-KR"/>
        </w:rPr>
        <w:t>Rabbit</w:t>
      </w:r>
    </w:p>
    <w:p w14:paraId="0370373D" w14:textId="77777777" w:rsidR="00B44EC9" w:rsidRPr="00B44EC9" w:rsidRDefault="00B44EC9" w:rsidP="00B44EC9">
      <w:pPr>
        <w:spacing w:line="360" w:lineRule="auto"/>
        <w:ind w:left="1134"/>
        <w:rPr>
          <w:lang w:val="en-US" w:eastAsia="ko-KR"/>
        </w:rPr>
      </w:pPr>
      <w:r w:rsidRPr="00B44EC9">
        <w:rPr>
          <w:rFonts w:hint="eastAsia"/>
          <w:lang w:val="en-US" w:eastAsia="ko-KR"/>
        </w:rPr>
        <w:t>5.6</w:t>
      </w:r>
      <w:r w:rsidRPr="00B44EC9">
        <w:rPr>
          <w:rFonts w:hint="eastAsia"/>
          <w:lang w:val="en-US" w:eastAsia="ko-KR"/>
        </w:rPr>
        <w:tab/>
        <w:t>Other data</w:t>
      </w:r>
      <w:r w:rsidRPr="00B44EC9">
        <w:rPr>
          <w:vertAlign w:val="superscript"/>
          <w:lang w:val="en-US" w:eastAsia="ko-KR"/>
        </w:rPr>
        <w:t>d</w:t>
      </w:r>
    </w:p>
    <w:p w14:paraId="0303E42C" w14:textId="77777777" w:rsidR="00B44EC9" w:rsidRPr="00B44EC9" w:rsidRDefault="00B44EC9" w:rsidP="00B44EC9">
      <w:pPr>
        <w:spacing w:line="360" w:lineRule="auto"/>
        <w:ind w:left="1134"/>
        <w:rPr>
          <w:b/>
          <w:lang w:val="en-US" w:eastAsia="ko-KR"/>
        </w:rPr>
      </w:pPr>
      <w:r w:rsidRPr="00B44EC9">
        <w:rPr>
          <w:b/>
          <w:lang w:val="en-US" w:eastAsia="ko-KR"/>
        </w:rPr>
        <w:t>Corrosive, severe skin and eye irritant, reproductive toxicity, germ cell mutagenicity, carcinogenicity and specific target organ toxicity (single and repeated exposure)</w:t>
      </w:r>
    </w:p>
    <w:p w14:paraId="47552AA0" w14:textId="77777777" w:rsidR="00B44EC9" w:rsidRPr="00B44EC9" w:rsidRDefault="00B44EC9" w:rsidP="00B44EC9">
      <w:pPr>
        <w:spacing w:line="360" w:lineRule="auto"/>
        <w:ind w:left="1134"/>
        <w:rPr>
          <w:b/>
          <w:u w:val="single"/>
          <w:lang w:val="en-US" w:eastAsia="ko-KR"/>
        </w:rPr>
      </w:pPr>
      <w:r w:rsidRPr="00B44EC9">
        <w:rPr>
          <w:rFonts w:hint="eastAsia"/>
          <w:lang w:val="en-US" w:eastAsia="ko-KR"/>
        </w:rPr>
        <w:tab/>
      </w:r>
      <w:r w:rsidRPr="00B44EC9">
        <w:rPr>
          <w:rFonts w:hint="eastAsia"/>
          <w:b/>
          <w:u w:val="single"/>
          <w:lang w:val="en-US" w:eastAsia="ko-KR"/>
        </w:rPr>
        <w:t xml:space="preserve">Ecological toxicity </w:t>
      </w:r>
    </w:p>
    <w:p w14:paraId="29511046" w14:textId="77777777" w:rsidR="00B44EC9" w:rsidRPr="00B44EC9" w:rsidRDefault="00B44EC9" w:rsidP="00B44EC9">
      <w:pPr>
        <w:spacing w:line="360" w:lineRule="auto"/>
        <w:ind w:left="1134"/>
        <w:rPr>
          <w:lang w:val="en-US" w:eastAsia="ko-KR"/>
        </w:rPr>
      </w:pPr>
      <w:r w:rsidRPr="00B44EC9">
        <w:rPr>
          <w:rFonts w:hint="eastAsia"/>
          <w:b/>
          <w:lang w:val="en-US" w:eastAsia="ko-KR"/>
        </w:rPr>
        <w:tab/>
        <w:t>Fish (</w:t>
      </w:r>
      <w:r w:rsidRPr="00B44EC9">
        <w:rPr>
          <w:rFonts w:hint="eastAsia"/>
          <w:b/>
          <w:i/>
          <w:lang w:val="en-US" w:eastAsia="ko-KR"/>
        </w:rPr>
        <w:t>Oryzias latipes</w:t>
      </w:r>
      <w:r w:rsidRPr="00B44EC9">
        <w:rPr>
          <w:rFonts w:hint="eastAsia"/>
          <w:b/>
          <w:lang w:val="en-US" w:eastAsia="ko-KR"/>
        </w:rPr>
        <w:t>), LC</w:t>
      </w:r>
      <w:r w:rsidRPr="00B44EC9">
        <w:rPr>
          <w:rFonts w:hint="eastAsia"/>
          <w:b/>
          <w:vertAlign w:val="subscript"/>
          <w:lang w:val="en-US" w:eastAsia="ko-KR"/>
        </w:rPr>
        <w:t>50</w:t>
      </w:r>
      <w:r w:rsidRPr="00B44EC9">
        <w:rPr>
          <w:rFonts w:hint="eastAsia"/>
          <w:b/>
          <w:lang w:val="en-US" w:eastAsia="ko-KR"/>
        </w:rPr>
        <w:t xml:space="preserve"> (96h) : 33mg/L</w:t>
      </w:r>
      <w:r w:rsidRPr="00B44EC9">
        <w:rPr>
          <w:vertAlign w:val="superscript"/>
          <w:lang w:val="en-US" w:eastAsia="ko-KR"/>
        </w:rPr>
        <w:t>e</w:t>
      </w:r>
    </w:p>
    <w:p w14:paraId="25EA173C" w14:textId="77777777" w:rsidR="00B44EC9" w:rsidRPr="00B44EC9" w:rsidRDefault="00B44EC9" w:rsidP="00B44EC9">
      <w:pPr>
        <w:spacing w:line="360" w:lineRule="auto"/>
        <w:ind w:left="1134"/>
        <w:rPr>
          <w:lang w:val="en-US" w:eastAsia="ko-KR"/>
        </w:rPr>
      </w:pPr>
      <w:r w:rsidRPr="00B44EC9">
        <w:rPr>
          <w:rFonts w:hint="eastAsia"/>
          <w:b/>
          <w:lang w:val="en-US" w:eastAsia="ko-KR"/>
        </w:rPr>
        <w:tab/>
      </w:r>
      <w:r w:rsidRPr="00B44EC9">
        <w:rPr>
          <w:b/>
          <w:lang w:val="en-US" w:eastAsia="ko-KR"/>
        </w:rPr>
        <w:t>Aquatic invertebrates</w:t>
      </w:r>
      <w:r w:rsidRPr="00B44EC9">
        <w:rPr>
          <w:rFonts w:hint="eastAsia"/>
          <w:b/>
          <w:lang w:val="en-US" w:eastAsia="ko-KR"/>
        </w:rPr>
        <w:t xml:space="preserve"> (</w:t>
      </w:r>
      <w:r w:rsidRPr="00B44EC9">
        <w:rPr>
          <w:rFonts w:hint="eastAsia"/>
          <w:b/>
          <w:i/>
          <w:lang w:val="en-US" w:eastAsia="ko-KR"/>
        </w:rPr>
        <w:t>Daphnia magna</w:t>
      </w:r>
      <w:r w:rsidRPr="00B44EC9">
        <w:rPr>
          <w:rFonts w:hint="eastAsia"/>
          <w:b/>
          <w:lang w:val="en-US" w:eastAsia="ko-KR"/>
        </w:rPr>
        <w:t>), EC</w:t>
      </w:r>
      <w:r w:rsidRPr="00B44EC9">
        <w:rPr>
          <w:rFonts w:hint="eastAsia"/>
          <w:b/>
          <w:vertAlign w:val="subscript"/>
          <w:lang w:val="en-US" w:eastAsia="ko-KR"/>
        </w:rPr>
        <w:t>50</w:t>
      </w:r>
      <w:r w:rsidRPr="00B44EC9">
        <w:rPr>
          <w:rFonts w:hint="eastAsia"/>
          <w:b/>
          <w:lang w:val="en-US" w:eastAsia="ko-KR"/>
        </w:rPr>
        <w:t xml:space="preserve"> (24h) : 80mg/L</w:t>
      </w:r>
      <w:r w:rsidRPr="00B44EC9">
        <w:rPr>
          <w:vertAlign w:val="superscript"/>
          <w:lang w:val="en-US" w:eastAsia="ko-KR"/>
        </w:rPr>
        <w:t>f</w:t>
      </w:r>
    </w:p>
    <w:p w14:paraId="208A2F6B" w14:textId="77777777" w:rsidR="00B44EC9" w:rsidRPr="008423AF" w:rsidRDefault="00B44EC9" w:rsidP="00B44EC9">
      <w:pPr>
        <w:spacing w:line="360" w:lineRule="auto"/>
        <w:ind w:left="1134"/>
        <w:rPr>
          <w:lang w:eastAsia="ko-KR"/>
        </w:rPr>
      </w:pPr>
      <w:r w:rsidRPr="008423AF">
        <w:rPr>
          <w:rFonts w:hint="eastAsia"/>
          <w:lang w:eastAsia="ko-KR"/>
        </w:rPr>
        <w:t>5.7</w:t>
      </w:r>
      <w:r w:rsidRPr="008423AF">
        <w:rPr>
          <w:rFonts w:hint="eastAsia"/>
          <w:lang w:eastAsia="ko-KR"/>
        </w:rPr>
        <w:tab/>
        <w:t>Human experience</w:t>
      </w:r>
      <w:r w:rsidRPr="008423AF">
        <w:rPr>
          <w:lang w:eastAsia="ko-KR"/>
        </w:rPr>
        <w:t>……………………………………………………</w:t>
      </w:r>
      <w:r w:rsidRPr="008423AF">
        <w:rPr>
          <w:rFonts w:hint="eastAsia"/>
          <w:lang w:eastAsia="ko-KR"/>
        </w:rPr>
        <w:t>.</w:t>
      </w:r>
      <w:r w:rsidRPr="008423AF">
        <w:rPr>
          <w:lang w:eastAsia="ko-KR"/>
        </w:rPr>
        <w:t>……</w:t>
      </w:r>
      <w:r w:rsidRPr="008423AF">
        <w:rPr>
          <w:rFonts w:hint="eastAsia"/>
          <w:lang w:eastAsia="ko-KR"/>
        </w:rPr>
        <w:t>.</w:t>
      </w:r>
      <w:r>
        <w:rPr>
          <w:lang w:eastAsia="ko-KR"/>
        </w:rPr>
        <w:t xml:space="preserve"> </w:t>
      </w:r>
      <w:r w:rsidRPr="008423AF">
        <w:rPr>
          <w:lang w:eastAsia="ko-KR"/>
        </w:rPr>
        <w:t>Not applicable</w:t>
      </w:r>
    </w:p>
    <w:p w14:paraId="7049CE72" w14:textId="77777777" w:rsidR="00B44EC9" w:rsidRPr="00924700" w:rsidRDefault="00924700" w:rsidP="00924700">
      <w:pPr>
        <w:pStyle w:val="SingleTxtG"/>
        <w:spacing w:before="240" w:after="0"/>
        <w:jc w:val="center"/>
        <w:rPr>
          <w:u w:val="single"/>
        </w:rPr>
      </w:pPr>
      <w:r>
        <w:rPr>
          <w:u w:val="single"/>
        </w:rPr>
        <w:tab/>
      </w:r>
      <w:r>
        <w:rPr>
          <w:u w:val="single"/>
        </w:rPr>
        <w:tab/>
      </w:r>
      <w:r>
        <w:rPr>
          <w:u w:val="single"/>
        </w:rPr>
        <w:tab/>
      </w:r>
    </w:p>
    <w:sectPr w:rsidR="00B44EC9" w:rsidRPr="00924700" w:rsidSect="00B44EC9">
      <w:headerReference w:type="even" r:id="rId56"/>
      <w:headerReference w:type="default" r:id="rId57"/>
      <w:footerReference w:type="even" r:id="rId58"/>
      <w:footerReference w:type="default" r:id="rId5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A2F45" w14:textId="77777777" w:rsidR="005668B4" w:rsidRDefault="005668B4" w:rsidP="00F95C08">
      <w:pPr>
        <w:spacing w:line="240" w:lineRule="auto"/>
      </w:pPr>
    </w:p>
  </w:endnote>
  <w:endnote w:type="continuationSeparator" w:id="0">
    <w:p w14:paraId="26CAB65D" w14:textId="77777777" w:rsidR="005668B4" w:rsidRPr="00AC3823" w:rsidRDefault="005668B4" w:rsidP="00AC3823">
      <w:pPr>
        <w:pStyle w:val="Footer"/>
      </w:pPr>
    </w:p>
  </w:endnote>
  <w:endnote w:type="continuationNotice" w:id="1">
    <w:p w14:paraId="5134C539" w14:textId="77777777" w:rsidR="005668B4" w:rsidRDefault="005668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anumGothic">
    <w:altName w:val="Malgun Gothic"/>
    <w:charset w:val="81"/>
    <w:family w:val="modern"/>
    <w:pitch w:val="variable"/>
    <w:sig w:usb0="800002A7" w:usb1="29D7FCFB"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5E57" w14:textId="77777777" w:rsidR="005668B4" w:rsidRPr="00002F14" w:rsidRDefault="005668B4" w:rsidP="00002F14">
    <w:pPr>
      <w:pStyle w:val="Footer"/>
      <w:tabs>
        <w:tab w:val="right" w:pos="9638"/>
      </w:tabs>
    </w:pPr>
    <w:r w:rsidRPr="00002F14">
      <w:rPr>
        <w:b/>
        <w:sz w:val="18"/>
      </w:rPr>
      <w:fldChar w:fldCharType="begin"/>
    </w:r>
    <w:r w:rsidRPr="00002F14">
      <w:rPr>
        <w:b/>
        <w:sz w:val="18"/>
      </w:rPr>
      <w:instrText xml:space="preserve"> PAGE  \* MERGEFORMAT </w:instrText>
    </w:r>
    <w:r w:rsidRPr="00002F14">
      <w:rPr>
        <w:b/>
        <w:sz w:val="18"/>
      </w:rPr>
      <w:fldChar w:fldCharType="separate"/>
    </w:r>
    <w:r w:rsidRPr="00002F14">
      <w:rPr>
        <w:b/>
        <w:noProof/>
        <w:sz w:val="18"/>
      </w:rPr>
      <w:t>2</w:t>
    </w:r>
    <w:r w:rsidRPr="00002F14">
      <w:rPr>
        <w:b/>
        <w:sz w:val="18"/>
      </w:rPr>
      <w:fldChar w:fldCharType="end"/>
    </w:r>
    <w:r>
      <w:rPr>
        <w:b/>
        <w:sz w:val="18"/>
      </w:rPr>
      <w:tab/>
    </w:r>
    <w:r>
      <w:t>GE.20-05051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F209" w14:textId="77777777" w:rsidR="005668B4" w:rsidRPr="00002F14" w:rsidRDefault="005668B4" w:rsidP="00002F14">
    <w:pPr>
      <w:pStyle w:val="Footer"/>
      <w:tabs>
        <w:tab w:val="right" w:pos="9638"/>
      </w:tabs>
      <w:rPr>
        <w:b/>
        <w:sz w:val="18"/>
      </w:rPr>
    </w:pPr>
    <w:r>
      <w:t>GE.20-05051</w:t>
    </w:r>
    <w:r>
      <w:tab/>
    </w:r>
    <w:r w:rsidRPr="00002F14">
      <w:rPr>
        <w:b/>
        <w:sz w:val="18"/>
      </w:rPr>
      <w:fldChar w:fldCharType="begin"/>
    </w:r>
    <w:r w:rsidRPr="00002F14">
      <w:rPr>
        <w:b/>
        <w:sz w:val="18"/>
      </w:rPr>
      <w:instrText xml:space="preserve"> PAGE  \* MERGEFORMAT </w:instrText>
    </w:r>
    <w:r w:rsidRPr="00002F14">
      <w:rPr>
        <w:b/>
        <w:sz w:val="18"/>
      </w:rPr>
      <w:fldChar w:fldCharType="separate"/>
    </w:r>
    <w:r w:rsidRPr="00002F14">
      <w:rPr>
        <w:b/>
        <w:noProof/>
        <w:sz w:val="18"/>
      </w:rPr>
      <w:t>3</w:t>
    </w:r>
    <w:r w:rsidRPr="00002F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1180" w14:textId="77777777" w:rsidR="005668B4" w:rsidRPr="00002F14" w:rsidRDefault="005668B4" w:rsidP="00002F14">
    <w:pPr>
      <w:pStyle w:val="Footer"/>
      <w:spacing w:before="120"/>
      <w:rPr>
        <w:sz w:val="20"/>
      </w:rPr>
    </w:pPr>
    <w:r>
      <w:rPr>
        <w:sz w:val="20"/>
      </w:rPr>
      <w:t>GE.</w:t>
    </w:r>
    <w:r>
      <w:rPr>
        <w:noProof/>
        <w:lang w:eastAsia="fr-CH"/>
      </w:rPr>
      <w:drawing>
        <wp:anchor distT="0" distB="0" distL="114300" distR="114300" simplePos="0" relativeHeight="251658240" behindDoc="0" locked="0" layoutInCell="1" allowOverlap="0" wp14:anchorId="173BB114" wp14:editId="68050CE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20-05051  (F)    040520    </w:t>
    </w:r>
    <w:r w:rsidRPr="005668B4">
      <w:rPr>
        <w:sz w:val="20"/>
      </w:rPr>
      <w:t>050520</w:t>
    </w:r>
    <w:r>
      <w:rPr>
        <w:sz w:val="20"/>
      </w:rPr>
      <w:br/>
    </w:r>
    <w:r w:rsidRPr="00002F14">
      <w:rPr>
        <w:rFonts w:ascii="C39T30Lfz" w:hAnsi="C39T30Lfz"/>
        <w:sz w:val="56"/>
      </w:rPr>
      <w:t></w:t>
    </w:r>
    <w:r w:rsidRPr="00002F14">
      <w:rPr>
        <w:rFonts w:ascii="C39T30Lfz" w:hAnsi="C39T30Lfz"/>
        <w:sz w:val="56"/>
      </w:rPr>
      <w:t></w:t>
    </w:r>
    <w:r w:rsidRPr="00002F14">
      <w:rPr>
        <w:rFonts w:ascii="C39T30Lfz" w:hAnsi="C39T30Lfz"/>
        <w:sz w:val="56"/>
      </w:rPr>
      <w:t></w:t>
    </w:r>
    <w:r w:rsidRPr="00002F14">
      <w:rPr>
        <w:rFonts w:ascii="C39T30Lfz" w:hAnsi="C39T30Lfz"/>
        <w:sz w:val="56"/>
      </w:rPr>
      <w:t></w:t>
    </w:r>
    <w:r w:rsidRPr="00002F14">
      <w:rPr>
        <w:rFonts w:ascii="C39T30Lfz" w:hAnsi="C39T30Lfz"/>
        <w:sz w:val="56"/>
      </w:rPr>
      <w:t></w:t>
    </w:r>
    <w:r w:rsidRPr="00002F14">
      <w:rPr>
        <w:rFonts w:ascii="C39T30Lfz" w:hAnsi="C39T30Lfz"/>
        <w:sz w:val="56"/>
      </w:rPr>
      <w:t></w:t>
    </w:r>
    <w:r w:rsidRPr="00002F14">
      <w:rPr>
        <w:rFonts w:ascii="C39T30Lfz" w:hAnsi="C39T30Lfz"/>
        <w:sz w:val="56"/>
      </w:rPr>
      <w:t></w:t>
    </w:r>
    <w:r w:rsidRPr="00002F14">
      <w:rPr>
        <w:rFonts w:ascii="C39T30Lfz" w:hAnsi="C39T30Lfz"/>
        <w:sz w:val="56"/>
      </w:rPr>
      <w:t></w:t>
    </w:r>
    <w:r w:rsidRPr="00002F14">
      <w:rPr>
        <w:rFonts w:ascii="C39T30Lfz" w:hAnsi="C39T30Lfz"/>
        <w:sz w:val="56"/>
      </w:rPr>
      <w:t></w:t>
    </w:r>
    <w:r>
      <w:rPr>
        <w:noProof/>
        <w:sz w:val="20"/>
      </w:rPr>
      <w:drawing>
        <wp:anchor distT="0" distB="0" distL="114300" distR="114300" simplePos="0" relativeHeight="251670528" behindDoc="0" locked="0" layoutInCell="1" allowOverlap="1" wp14:anchorId="24CDD6F0" wp14:editId="07BB6BD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E38C" w14:textId="77777777" w:rsidR="005668B4" w:rsidRPr="00D7521F" w:rsidRDefault="005668B4" w:rsidP="00D7521F">
    <w:pPr>
      <w:pStyle w:val="Footer"/>
    </w:pPr>
    <w:r>
      <w:rPr>
        <w:noProof/>
      </w:rPr>
      <mc:AlternateContent>
        <mc:Choice Requires="wps">
          <w:drawing>
            <wp:anchor distT="0" distB="0" distL="114300" distR="114300" simplePos="0" relativeHeight="251672576" behindDoc="0" locked="0" layoutInCell="1" allowOverlap="1" wp14:anchorId="550BAC75" wp14:editId="3BE3E756">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34BA213" w14:textId="77777777" w:rsidR="005668B4" w:rsidRPr="00002F14" w:rsidRDefault="005668B4" w:rsidP="00D7521F">
                          <w:pPr>
                            <w:pStyle w:val="Footer"/>
                            <w:tabs>
                              <w:tab w:val="right" w:pos="9638"/>
                            </w:tabs>
                          </w:pPr>
                          <w:r w:rsidRPr="00002F14">
                            <w:rPr>
                              <w:b/>
                              <w:sz w:val="18"/>
                            </w:rPr>
                            <w:fldChar w:fldCharType="begin"/>
                          </w:r>
                          <w:r w:rsidRPr="00002F14">
                            <w:rPr>
                              <w:b/>
                              <w:sz w:val="18"/>
                            </w:rPr>
                            <w:instrText xml:space="preserve"> PAGE  \* MERGEFORMAT </w:instrText>
                          </w:r>
                          <w:r w:rsidRPr="00002F14">
                            <w:rPr>
                              <w:b/>
                              <w:sz w:val="18"/>
                            </w:rPr>
                            <w:fldChar w:fldCharType="separate"/>
                          </w:r>
                          <w:r>
                            <w:rPr>
                              <w:b/>
                              <w:sz w:val="18"/>
                            </w:rPr>
                            <w:t>8</w:t>
                          </w:r>
                          <w:r w:rsidRPr="00002F14">
                            <w:rPr>
                              <w:b/>
                              <w:sz w:val="18"/>
                            </w:rPr>
                            <w:fldChar w:fldCharType="end"/>
                          </w:r>
                          <w:r>
                            <w:rPr>
                              <w:b/>
                              <w:sz w:val="18"/>
                            </w:rPr>
                            <w:tab/>
                          </w:r>
                          <w:r>
                            <w:t>GE.20-05051</w:t>
                          </w:r>
                        </w:p>
                        <w:p w14:paraId="4795804E" w14:textId="77777777" w:rsidR="005668B4" w:rsidRDefault="005668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50BAC75" id="_x0000_t202" coordsize="21600,21600" o:spt="202" path="m,l,21600r21600,l21600,xe">
              <v:stroke joinstyle="miter"/>
              <v:path gradientshapeok="t" o:connecttype="rect"/>
            </v:shapetype>
            <v:shape id="Zone de texte 5" o:spid="_x0000_s1028"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434BA213" w14:textId="77777777" w:rsidR="005668B4" w:rsidRPr="00002F14" w:rsidRDefault="005668B4" w:rsidP="00D7521F">
                    <w:pPr>
                      <w:pStyle w:val="Footer"/>
                      <w:tabs>
                        <w:tab w:val="right" w:pos="9638"/>
                      </w:tabs>
                    </w:pPr>
                    <w:r w:rsidRPr="00002F14">
                      <w:rPr>
                        <w:b/>
                        <w:sz w:val="18"/>
                      </w:rPr>
                      <w:fldChar w:fldCharType="begin"/>
                    </w:r>
                    <w:r w:rsidRPr="00002F14">
                      <w:rPr>
                        <w:b/>
                        <w:sz w:val="18"/>
                      </w:rPr>
                      <w:instrText xml:space="preserve"> PAGE  \* MERGEFORMAT </w:instrText>
                    </w:r>
                    <w:r w:rsidRPr="00002F14">
                      <w:rPr>
                        <w:b/>
                        <w:sz w:val="18"/>
                      </w:rPr>
                      <w:fldChar w:fldCharType="separate"/>
                    </w:r>
                    <w:r>
                      <w:rPr>
                        <w:b/>
                        <w:sz w:val="18"/>
                      </w:rPr>
                      <w:t>8</w:t>
                    </w:r>
                    <w:r w:rsidRPr="00002F14">
                      <w:rPr>
                        <w:b/>
                        <w:sz w:val="18"/>
                      </w:rPr>
                      <w:fldChar w:fldCharType="end"/>
                    </w:r>
                    <w:r>
                      <w:rPr>
                        <w:b/>
                        <w:sz w:val="18"/>
                      </w:rPr>
                      <w:tab/>
                    </w:r>
                    <w:r>
                      <w:t>GE.20-05051</w:t>
                    </w:r>
                  </w:p>
                  <w:p w14:paraId="4795804E" w14:textId="77777777" w:rsidR="005668B4" w:rsidRDefault="005668B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3FE" w14:textId="77777777" w:rsidR="005668B4" w:rsidRPr="00D7521F" w:rsidRDefault="005668B4" w:rsidP="00D7521F">
    <w:pPr>
      <w:pStyle w:val="Footer"/>
    </w:pPr>
    <w:r>
      <w:rPr>
        <w:noProof/>
      </w:rPr>
      <mc:AlternateContent>
        <mc:Choice Requires="wps">
          <w:drawing>
            <wp:anchor distT="0" distB="0" distL="114300" distR="114300" simplePos="0" relativeHeight="251674624" behindDoc="0" locked="0" layoutInCell="1" allowOverlap="1" wp14:anchorId="312E981F" wp14:editId="638EBAD8">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41AA35" w14:textId="77777777" w:rsidR="005668B4" w:rsidRPr="00002F14" w:rsidRDefault="005668B4" w:rsidP="00D7521F">
                          <w:pPr>
                            <w:pStyle w:val="Footer"/>
                            <w:tabs>
                              <w:tab w:val="right" w:pos="9638"/>
                            </w:tabs>
                            <w:rPr>
                              <w:b/>
                              <w:sz w:val="18"/>
                            </w:rPr>
                          </w:pPr>
                          <w:r>
                            <w:t>GE.20-05051</w:t>
                          </w:r>
                          <w:r>
                            <w:tab/>
                          </w:r>
                          <w:r w:rsidRPr="00002F14">
                            <w:rPr>
                              <w:b/>
                              <w:sz w:val="18"/>
                            </w:rPr>
                            <w:fldChar w:fldCharType="begin"/>
                          </w:r>
                          <w:r w:rsidRPr="00002F14">
                            <w:rPr>
                              <w:b/>
                              <w:sz w:val="18"/>
                            </w:rPr>
                            <w:instrText xml:space="preserve"> PAGE  \* MERGEFORMAT </w:instrText>
                          </w:r>
                          <w:r w:rsidRPr="00002F14">
                            <w:rPr>
                              <w:b/>
                              <w:sz w:val="18"/>
                            </w:rPr>
                            <w:fldChar w:fldCharType="separate"/>
                          </w:r>
                          <w:r>
                            <w:rPr>
                              <w:b/>
                              <w:sz w:val="18"/>
                            </w:rPr>
                            <w:t>9</w:t>
                          </w:r>
                          <w:r w:rsidRPr="00002F14">
                            <w:rPr>
                              <w:b/>
                              <w:sz w:val="18"/>
                            </w:rPr>
                            <w:fldChar w:fldCharType="end"/>
                          </w:r>
                        </w:p>
                        <w:p w14:paraId="572B69A7" w14:textId="77777777" w:rsidR="005668B4" w:rsidRDefault="005668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2E981F" id="_x0000_t202" coordsize="21600,21600" o:spt="202" path="m,l,21600r21600,l21600,xe">
              <v:stroke joinstyle="miter"/>
              <v:path gradientshapeok="t" o:connecttype="rect"/>
            </v:shapetype>
            <v:shape id="Zone de texte 7" o:spid="_x0000_s1029"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2941AA35" w14:textId="77777777" w:rsidR="005668B4" w:rsidRPr="00002F14" w:rsidRDefault="005668B4" w:rsidP="00D7521F">
                    <w:pPr>
                      <w:pStyle w:val="Footer"/>
                      <w:tabs>
                        <w:tab w:val="right" w:pos="9638"/>
                      </w:tabs>
                      <w:rPr>
                        <w:b/>
                        <w:sz w:val="18"/>
                      </w:rPr>
                    </w:pPr>
                    <w:r>
                      <w:t>GE.20-05051</w:t>
                    </w:r>
                    <w:r>
                      <w:tab/>
                    </w:r>
                    <w:r w:rsidRPr="00002F14">
                      <w:rPr>
                        <w:b/>
                        <w:sz w:val="18"/>
                      </w:rPr>
                      <w:fldChar w:fldCharType="begin"/>
                    </w:r>
                    <w:r w:rsidRPr="00002F14">
                      <w:rPr>
                        <w:b/>
                        <w:sz w:val="18"/>
                      </w:rPr>
                      <w:instrText xml:space="preserve"> PAGE  \* MERGEFORMAT </w:instrText>
                    </w:r>
                    <w:r w:rsidRPr="00002F14">
                      <w:rPr>
                        <w:b/>
                        <w:sz w:val="18"/>
                      </w:rPr>
                      <w:fldChar w:fldCharType="separate"/>
                    </w:r>
                    <w:r>
                      <w:rPr>
                        <w:b/>
                        <w:sz w:val="18"/>
                      </w:rPr>
                      <w:t>9</w:t>
                    </w:r>
                    <w:r w:rsidRPr="00002F14">
                      <w:rPr>
                        <w:b/>
                        <w:sz w:val="18"/>
                      </w:rPr>
                      <w:fldChar w:fldCharType="end"/>
                    </w:r>
                  </w:p>
                  <w:p w14:paraId="572B69A7" w14:textId="77777777" w:rsidR="005668B4" w:rsidRDefault="005668B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AB6E" w14:textId="77777777" w:rsidR="005668B4" w:rsidRPr="00B44EC9" w:rsidRDefault="005668B4" w:rsidP="00B44EC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B44EC9">
      <w:t>GE.20-05051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3BFF" w14:textId="77777777" w:rsidR="005668B4" w:rsidRPr="00B44EC9" w:rsidRDefault="005668B4" w:rsidP="00B44EC9">
    <w:pPr>
      <w:pStyle w:val="Footer"/>
      <w:tabs>
        <w:tab w:val="right" w:pos="9638"/>
      </w:tabs>
      <w:rPr>
        <w:b/>
        <w:sz w:val="18"/>
      </w:rPr>
    </w:pPr>
    <w:r>
      <w:t>GE.</w:t>
    </w:r>
    <w:r w:rsidRPr="00B44EC9">
      <w:t>20</w:t>
    </w:r>
    <w:r>
      <w:t>-</w:t>
    </w:r>
    <w:r w:rsidRPr="00B44EC9">
      <w:t>05051</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CDA6" w14:textId="77777777" w:rsidR="005668B4" w:rsidRPr="00AC3823" w:rsidRDefault="005668B4" w:rsidP="00AC3823">
      <w:pPr>
        <w:pStyle w:val="Footer"/>
        <w:tabs>
          <w:tab w:val="right" w:pos="2155"/>
        </w:tabs>
        <w:spacing w:after="80" w:line="240" w:lineRule="atLeast"/>
        <w:ind w:left="680"/>
        <w:rPr>
          <w:u w:val="single"/>
        </w:rPr>
      </w:pPr>
      <w:r>
        <w:rPr>
          <w:u w:val="single"/>
        </w:rPr>
        <w:tab/>
      </w:r>
    </w:p>
  </w:footnote>
  <w:footnote w:type="continuationSeparator" w:id="0">
    <w:p w14:paraId="2F41C3EE" w14:textId="77777777" w:rsidR="005668B4" w:rsidRPr="00AC3823" w:rsidRDefault="005668B4" w:rsidP="00AC3823">
      <w:pPr>
        <w:pStyle w:val="Footer"/>
        <w:tabs>
          <w:tab w:val="right" w:pos="2155"/>
        </w:tabs>
        <w:spacing w:after="80" w:line="240" w:lineRule="atLeast"/>
        <w:ind w:left="680"/>
        <w:rPr>
          <w:u w:val="single"/>
        </w:rPr>
      </w:pPr>
      <w:r>
        <w:rPr>
          <w:u w:val="single"/>
        </w:rPr>
        <w:tab/>
      </w:r>
    </w:p>
  </w:footnote>
  <w:footnote w:type="continuationNotice" w:id="1">
    <w:p w14:paraId="508B1171" w14:textId="77777777" w:rsidR="005668B4" w:rsidRPr="00AC3823" w:rsidRDefault="005668B4">
      <w:pPr>
        <w:spacing w:line="240" w:lineRule="auto"/>
        <w:rPr>
          <w:sz w:val="2"/>
          <w:szCs w:val="2"/>
        </w:rPr>
      </w:pPr>
    </w:p>
  </w:footnote>
  <w:footnote w:id="2">
    <w:p w14:paraId="75A2EBA6" w14:textId="77777777" w:rsidR="005668B4" w:rsidRPr="003F6C64" w:rsidRDefault="005668B4" w:rsidP="00002F14">
      <w:pPr>
        <w:pStyle w:val="FootnoteText"/>
        <w:rPr>
          <w:lang w:val="fr-FR"/>
        </w:rPr>
      </w:pPr>
      <w:r>
        <w:rPr>
          <w:lang w:val="fr-FR"/>
        </w:rPr>
        <w:tab/>
        <w:t>*</w:t>
      </w:r>
      <w:r>
        <w:rPr>
          <w:lang w:val="fr-FR"/>
        </w:rPr>
        <w:tab/>
      </w:r>
      <w:r w:rsidRPr="003F6C64">
        <w:rPr>
          <w:lang w:val="fr-FR"/>
        </w:rPr>
        <w:t>Sous-programme 2 du budget-programme pour 2020 (A/74/6 (Sect.20)) et informations complémentaires.</w:t>
      </w:r>
    </w:p>
  </w:footnote>
  <w:footnote w:id="3">
    <w:p w14:paraId="063730D3" w14:textId="77777777" w:rsidR="005668B4" w:rsidRPr="003A0DD8" w:rsidRDefault="005668B4" w:rsidP="00002F14">
      <w:pPr>
        <w:pStyle w:val="FootnoteText"/>
        <w:rPr>
          <w:lang w:val="fr-FR"/>
        </w:rPr>
      </w:pPr>
      <w:r>
        <w:rPr>
          <w:lang w:val="fr-FR"/>
        </w:rPr>
        <w:tab/>
      </w:r>
      <w:r w:rsidRPr="00650047">
        <w:rPr>
          <w:rStyle w:val="FootnoteReference"/>
        </w:rPr>
        <w:footnoteRef/>
      </w:r>
      <w:r>
        <w:rPr>
          <w:lang w:val="fr-FR"/>
        </w:rPr>
        <w:t xml:space="preserve"> </w:t>
      </w:r>
      <w:r>
        <w:rPr>
          <w:lang w:val="fr-FR"/>
        </w:rPr>
        <w:tab/>
      </w:r>
      <w:bookmarkStart w:id="1" w:name="_Hlk39562490"/>
      <w:r w:rsidR="00B41E3C">
        <w:rPr>
          <w:lang w:val="fr-FR"/>
        </w:rPr>
        <w:fldChar w:fldCharType="begin"/>
      </w:r>
      <w:r w:rsidR="00B41E3C">
        <w:rPr>
          <w:lang w:val="fr-FR"/>
        </w:rPr>
        <w:instrText>HYPERLINK "http://www.unece.org/fileadmin/DAM/trans/doc/2008/ac10c3/UN-SCETDG-33-INF08e.pdf"</w:instrText>
      </w:r>
      <w:r w:rsidR="00B41E3C">
        <w:rPr>
          <w:lang w:val="fr-FR"/>
        </w:rPr>
        <w:fldChar w:fldCharType="separate"/>
      </w:r>
      <w:r w:rsidRPr="00B41E3C">
        <w:rPr>
          <w:rStyle w:val="Hyperlink"/>
          <w:lang w:val="fr-FR"/>
        </w:rPr>
        <w:t>http://www.unece.org/fileadmin/DAM/trans/doc/2008/ac10c3/UN-SCETDG-33-INF08e.pdf</w:t>
      </w:r>
      <w:bookmarkEnd w:id="1"/>
      <w:r w:rsidR="00B41E3C">
        <w:rPr>
          <w:lang w:val="fr-FR"/>
        </w:rPr>
        <w:fldChar w:fldCharType="end"/>
      </w:r>
      <w:r>
        <w:rPr>
          <w:lang w:val="fr-FR"/>
        </w:rPr>
        <w:t>.</w:t>
      </w:r>
    </w:p>
  </w:footnote>
  <w:footnote w:id="4">
    <w:p w14:paraId="0E58C953" w14:textId="77777777" w:rsidR="005668B4" w:rsidRPr="00B44EC9" w:rsidRDefault="00B84AAB" w:rsidP="00B44EC9">
      <w:pPr>
        <w:pStyle w:val="FootnoteText"/>
        <w:rPr>
          <w:lang w:val="en-US" w:eastAsia="ko-KR"/>
        </w:rPr>
      </w:pPr>
      <w:r w:rsidRPr="00673225">
        <w:rPr>
          <w:lang w:val="fr-FR"/>
        </w:rPr>
        <w:tab/>
      </w:r>
      <w:r w:rsidR="005668B4" w:rsidRPr="00650047">
        <w:rPr>
          <w:rStyle w:val="FootnoteReference"/>
        </w:rPr>
        <w:footnoteRef/>
      </w:r>
      <w:r w:rsidR="005668B4" w:rsidRPr="00B44EC9">
        <w:rPr>
          <w:lang w:val="en-US"/>
        </w:rPr>
        <w:t xml:space="preserve"> </w:t>
      </w:r>
      <w:r w:rsidR="005668B4" w:rsidRPr="00B44EC9">
        <w:rPr>
          <w:rFonts w:hint="eastAsia"/>
          <w:lang w:val="en-US" w:eastAsia="ko-KR"/>
        </w:rPr>
        <w:tab/>
      </w:r>
      <w:r w:rsidR="005668B4" w:rsidRPr="00B44EC9">
        <w:rPr>
          <w:lang w:val="en-US" w:eastAsia="ko-KR"/>
        </w:rPr>
        <w:t>R</w:t>
      </w:r>
      <w:r w:rsidR="005668B4" w:rsidRPr="00B44EC9">
        <w:rPr>
          <w:rFonts w:hint="eastAsia"/>
          <w:lang w:val="en-US" w:eastAsia="ko-KR"/>
        </w:rPr>
        <w:t>eferences:</w:t>
      </w:r>
    </w:p>
    <w:p w14:paraId="7F30313E" w14:textId="77777777" w:rsidR="005668B4" w:rsidRPr="00B44EC9" w:rsidRDefault="005668B4" w:rsidP="00B84AAB">
      <w:pPr>
        <w:pStyle w:val="FootnoteText"/>
        <w:ind w:left="0" w:firstLine="0"/>
        <w:rPr>
          <w:lang w:val="en-US" w:eastAsia="ko-KR"/>
        </w:rPr>
      </w:pPr>
      <w:r w:rsidRPr="00B44EC9">
        <w:rPr>
          <w:vertAlign w:val="superscript"/>
          <w:lang w:val="en-US" w:eastAsia="ko-KR"/>
        </w:rPr>
        <w:tab/>
      </w:r>
      <w:r w:rsidR="00B84AAB">
        <w:rPr>
          <w:vertAlign w:val="superscript"/>
          <w:lang w:val="en-US" w:eastAsia="ko-KR"/>
        </w:rPr>
        <w:tab/>
      </w:r>
      <w:r w:rsidRPr="00B44EC9">
        <w:rPr>
          <w:vertAlign w:val="superscript"/>
          <w:lang w:val="en-US" w:eastAsia="ko-KR"/>
        </w:rPr>
        <w:t xml:space="preserve">a </w:t>
      </w:r>
      <w:r w:rsidRPr="00B44EC9">
        <w:rPr>
          <w:lang w:val="en-US" w:eastAsia="ko-KR"/>
        </w:rPr>
        <w:t>Lewis, R.J., 1996, Sax’s Dangerous Properties of Industrial Materials. 9th ed. Volumes 1-3. New</w:t>
      </w:r>
      <w:r w:rsidR="00B84AAB">
        <w:rPr>
          <w:lang w:val="en-US" w:eastAsia="ko-KR"/>
        </w:rPr>
        <w:t> </w:t>
      </w:r>
      <w:r w:rsidR="00B84AAB">
        <w:rPr>
          <w:lang w:val="en-US" w:eastAsia="ko-KR"/>
        </w:rPr>
        <w:tab/>
      </w:r>
      <w:r w:rsidR="00B84AAB">
        <w:rPr>
          <w:lang w:val="en-US" w:eastAsia="ko-KR"/>
        </w:rPr>
        <w:tab/>
      </w:r>
      <w:r w:rsidRPr="00B44EC9">
        <w:rPr>
          <w:lang w:val="en-US" w:eastAsia="ko-KR"/>
        </w:rPr>
        <w:t>York, NY: Van</w:t>
      </w:r>
      <w:r w:rsidR="00B84AAB">
        <w:rPr>
          <w:lang w:val="en-US" w:eastAsia="ko-KR"/>
        </w:rPr>
        <w:tab/>
      </w:r>
      <w:r w:rsidRPr="00B44EC9">
        <w:rPr>
          <w:lang w:val="en-US" w:eastAsia="ko-KR"/>
        </w:rPr>
        <w:t>Nostrand Reinhold, p. 1069</w:t>
      </w:r>
    </w:p>
    <w:p w14:paraId="76DE0B49" w14:textId="77777777" w:rsidR="005668B4" w:rsidRPr="00B44EC9" w:rsidRDefault="005668B4" w:rsidP="00B44EC9">
      <w:pPr>
        <w:pStyle w:val="FootnoteText"/>
        <w:rPr>
          <w:lang w:val="en-US" w:eastAsia="ko-KR"/>
        </w:rPr>
      </w:pPr>
      <w:r w:rsidRPr="00B44EC9">
        <w:rPr>
          <w:vertAlign w:val="superscript"/>
          <w:lang w:val="en-US" w:eastAsia="ko-KR"/>
        </w:rPr>
        <w:tab/>
      </w:r>
      <w:r w:rsidR="00B84AAB">
        <w:rPr>
          <w:vertAlign w:val="superscript"/>
          <w:lang w:val="en-US" w:eastAsia="ko-KR"/>
        </w:rPr>
        <w:tab/>
      </w:r>
      <w:r w:rsidRPr="00B44EC9">
        <w:rPr>
          <w:vertAlign w:val="superscript"/>
          <w:lang w:val="en-US" w:eastAsia="ko-KR"/>
        </w:rPr>
        <w:t xml:space="preserve">b </w:t>
      </w:r>
      <w:r w:rsidRPr="00B44EC9">
        <w:rPr>
          <w:lang w:val="en-US" w:eastAsia="ko-KR"/>
        </w:rPr>
        <w:t>European Chemical Agency (ECHA), Dibutylamine - Registration Dossier (</w:t>
      </w:r>
      <w:hyperlink r:id="rId1" w:history="1">
        <w:r w:rsidRPr="00B44EC9">
          <w:rPr>
            <w:rStyle w:val="Hyperlink"/>
            <w:lang w:val="en-US" w:eastAsia="ko-KR"/>
          </w:rPr>
          <w:t>https://echa.europa.eu/registration-</w:t>
        </w:r>
      </w:hyperlink>
      <w:r w:rsidRPr="00B44EC9">
        <w:rPr>
          <w:lang w:val="en-US" w:eastAsia="ko-KR"/>
        </w:rPr>
        <w:t>dossier/-/registered-dossier/13527/7/3/4)</w:t>
      </w:r>
    </w:p>
    <w:p w14:paraId="3F63E1C9" w14:textId="77777777" w:rsidR="005668B4" w:rsidRPr="00B44EC9" w:rsidRDefault="005668B4" w:rsidP="00B44EC9">
      <w:pPr>
        <w:pStyle w:val="FootnoteText"/>
        <w:rPr>
          <w:lang w:val="en-US" w:eastAsia="ko-KR"/>
        </w:rPr>
      </w:pPr>
      <w:r w:rsidRPr="00B44EC9">
        <w:rPr>
          <w:vertAlign w:val="superscript"/>
          <w:lang w:val="en-US" w:eastAsia="ko-KR"/>
        </w:rPr>
        <w:tab/>
      </w:r>
      <w:r w:rsidR="00B84AAB">
        <w:rPr>
          <w:vertAlign w:val="superscript"/>
          <w:lang w:val="en-US" w:eastAsia="ko-KR"/>
        </w:rPr>
        <w:tab/>
      </w:r>
      <w:r w:rsidRPr="00B44EC9">
        <w:rPr>
          <w:vertAlign w:val="superscript"/>
          <w:lang w:val="en-US" w:eastAsia="ko-KR"/>
        </w:rPr>
        <w:t>c</w:t>
      </w:r>
      <w:r w:rsidRPr="00B44EC9">
        <w:rPr>
          <w:lang w:val="en-US" w:eastAsia="ko-KR"/>
        </w:rPr>
        <w:t xml:space="preserve"> European Chemical Agency (ECHA), Dibutylamine - Registration Dossier (</w:t>
      </w:r>
      <w:hyperlink r:id="rId2" w:history="1">
        <w:r w:rsidRPr="00B44EC9">
          <w:rPr>
            <w:rStyle w:val="Hyperlink"/>
            <w:lang w:val="en-US" w:eastAsia="ko-KR"/>
          </w:rPr>
          <w:t>https://echa.europa.eu/registration-</w:t>
        </w:r>
      </w:hyperlink>
      <w:r w:rsidRPr="00B44EC9">
        <w:rPr>
          <w:lang w:val="en-US" w:eastAsia="ko-KR"/>
        </w:rPr>
        <w:t>dossier/-/registered-dossier/13527/7/3/3)</w:t>
      </w:r>
    </w:p>
    <w:p w14:paraId="75D9B601" w14:textId="77777777" w:rsidR="005668B4" w:rsidRPr="00B44EC9" w:rsidRDefault="005668B4" w:rsidP="00B44EC9">
      <w:pPr>
        <w:pStyle w:val="FootnoteText"/>
        <w:rPr>
          <w:lang w:val="en-US" w:eastAsia="ko-KR"/>
        </w:rPr>
      </w:pPr>
      <w:r w:rsidRPr="00B44EC9">
        <w:rPr>
          <w:vertAlign w:val="superscript"/>
          <w:lang w:val="en-US" w:eastAsia="ko-KR"/>
        </w:rPr>
        <w:tab/>
      </w:r>
      <w:r w:rsidR="00B84AAB">
        <w:rPr>
          <w:vertAlign w:val="superscript"/>
          <w:lang w:val="en-US" w:eastAsia="ko-KR"/>
        </w:rPr>
        <w:tab/>
      </w:r>
      <w:r w:rsidRPr="00B44EC9">
        <w:rPr>
          <w:vertAlign w:val="superscript"/>
          <w:lang w:val="en-US" w:eastAsia="ko-KR"/>
        </w:rPr>
        <w:t xml:space="preserve">d </w:t>
      </w:r>
      <w:r w:rsidRPr="00B44EC9">
        <w:rPr>
          <w:lang w:val="en-US" w:eastAsia="ko-KR"/>
        </w:rPr>
        <w:t>European Chemical Agency (ECHA), Dibutylamine - Registration Dossier (</w:t>
      </w:r>
      <w:hyperlink r:id="rId3" w:history="1">
        <w:r w:rsidRPr="00B44EC9">
          <w:rPr>
            <w:rStyle w:val="Hyperlink"/>
            <w:lang w:val="en-US" w:eastAsia="ko-KR"/>
          </w:rPr>
          <w:t>https://echa.europa.eu/registration-</w:t>
        </w:r>
      </w:hyperlink>
      <w:r w:rsidRPr="00B44EC9">
        <w:rPr>
          <w:lang w:val="en-US" w:eastAsia="ko-KR"/>
        </w:rPr>
        <w:t>dossier/-/registered-dossier/13527/7/4/2)</w:t>
      </w:r>
    </w:p>
    <w:p w14:paraId="3C284A56" w14:textId="77777777" w:rsidR="005668B4" w:rsidRPr="00B44EC9" w:rsidRDefault="005668B4" w:rsidP="00B44EC9">
      <w:pPr>
        <w:pStyle w:val="FootnoteText"/>
        <w:rPr>
          <w:lang w:val="en-US" w:eastAsia="ko-KR"/>
        </w:rPr>
      </w:pPr>
      <w:r w:rsidRPr="00B44EC9">
        <w:rPr>
          <w:vertAlign w:val="superscript"/>
          <w:lang w:val="en-US" w:eastAsia="ko-KR"/>
        </w:rPr>
        <w:tab/>
      </w:r>
      <w:r w:rsidR="00B84AAB">
        <w:rPr>
          <w:vertAlign w:val="superscript"/>
          <w:lang w:val="en-US" w:eastAsia="ko-KR"/>
        </w:rPr>
        <w:tab/>
      </w:r>
      <w:r w:rsidRPr="00B44EC9">
        <w:rPr>
          <w:vertAlign w:val="superscript"/>
          <w:lang w:val="en-US" w:eastAsia="ko-KR"/>
        </w:rPr>
        <w:t xml:space="preserve">e </w:t>
      </w:r>
      <w:r w:rsidRPr="00B44EC9">
        <w:rPr>
          <w:lang w:val="en-US" w:eastAsia="ko-KR"/>
        </w:rPr>
        <w:t>European Chemical Agency (ECHA), Dibutylamine - Registration Dossier (</w:t>
      </w:r>
      <w:hyperlink r:id="rId4" w:history="1">
        <w:r w:rsidRPr="00B44EC9">
          <w:rPr>
            <w:rStyle w:val="Hyperlink"/>
            <w:lang w:val="en-US" w:eastAsia="ko-KR"/>
          </w:rPr>
          <w:t>https://echa.europa.eu/registration-</w:t>
        </w:r>
      </w:hyperlink>
      <w:r w:rsidRPr="00B44EC9">
        <w:rPr>
          <w:lang w:val="en-US" w:eastAsia="ko-KR"/>
        </w:rPr>
        <w:t>dossier/-/registered-dossier/13527/2/1)</w:t>
      </w:r>
    </w:p>
    <w:p w14:paraId="70B89663" w14:textId="77777777" w:rsidR="005668B4" w:rsidRPr="00B44EC9" w:rsidRDefault="005668B4" w:rsidP="00B44EC9">
      <w:pPr>
        <w:pStyle w:val="FootnoteText"/>
        <w:rPr>
          <w:lang w:val="en-US" w:eastAsia="ko-KR"/>
        </w:rPr>
      </w:pPr>
      <w:r w:rsidRPr="00B44EC9">
        <w:rPr>
          <w:vertAlign w:val="superscript"/>
          <w:lang w:val="en-US" w:eastAsia="ko-KR"/>
        </w:rPr>
        <w:tab/>
      </w:r>
      <w:r w:rsidR="00B84AAB">
        <w:rPr>
          <w:vertAlign w:val="superscript"/>
          <w:lang w:val="en-US" w:eastAsia="ko-KR"/>
        </w:rPr>
        <w:tab/>
      </w:r>
      <w:r w:rsidRPr="00B44EC9">
        <w:rPr>
          <w:vertAlign w:val="superscript"/>
          <w:lang w:val="en-US" w:eastAsia="ko-KR"/>
        </w:rPr>
        <w:t xml:space="preserve">f </w:t>
      </w:r>
      <w:r w:rsidRPr="00B44EC9">
        <w:rPr>
          <w:lang w:val="en-US" w:eastAsia="ko-KR"/>
        </w:rPr>
        <w:t>Calamari, D., et al., 1980, Estimating the hazard of eight amines on aquatic life. Chemosphere 9, 753</w:t>
      </w:r>
    </w:p>
    <w:p w14:paraId="746E494D" w14:textId="77777777" w:rsidR="005668B4" w:rsidRPr="00B44EC9" w:rsidRDefault="005668B4" w:rsidP="00B44EC9">
      <w:pPr>
        <w:pStyle w:val="FootnoteText"/>
        <w:rPr>
          <w:lang w:val="en-US" w:eastAsia="ko-KR"/>
        </w:rPr>
      </w:pPr>
      <w:r w:rsidRPr="00B44EC9">
        <w:rPr>
          <w:vertAlign w:val="superscript"/>
          <w:lang w:val="en-US" w:eastAsia="ko-KR"/>
        </w:rPr>
        <w:tab/>
      </w:r>
      <w:r w:rsidR="00B84AAB">
        <w:rPr>
          <w:vertAlign w:val="superscript"/>
          <w:lang w:val="en-US" w:eastAsia="ko-KR"/>
        </w:rPr>
        <w:tab/>
      </w:r>
      <w:r w:rsidRPr="00B44EC9">
        <w:rPr>
          <w:vertAlign w:val="superscript"/>
          <w:lang w:val="en-US" w:eastAsia="ko-KR"/>
        </w:rPr>
        <w:t xml:space="preserve">g </w:t>
      </w:r>
      <w:r w:rsidRPr="00B44EC9">
        <w:rPr>
          <w:lang w:val="en-US" w:eastAsia="ko-KR"/>
        </w:rPr>
        <w:t>European Chemical Agency (ECHA), Dibutylamine - Registration Dossier (</w:t>
      </w:r>
      <w:hyperlink r:id="rId5" w:history="1">
        <w:r w:rsidRPr="00B44EC9">
          <w:rPr>
            <w:rStyle w:val="Hyperlink"/>
            <w:lang w:val="en-US" w:eastAsia="ko-KR"/>
          </w:rPr>
          <w:t>https://echa.europa.eu/registration-</w:t>
        </w:r>
      </w:hyperlink>
      <w:r w:rsidRPr="00B44EC9">
        <w:rPr>
          <w:lang w:val="en-US" w:eastAsia="ko-KR"/>
        </w:rPr>
        <w:t>dossier/-/registered-dossier/13527/6/2/4)</w:t>
      </w:r>
    </w:p>
  </w:footnote>
  <w:footnote w:id="5">
    <w:p w14:paraId="45FEFA32" w14:textId="77777777" w:rsidR="005668B4" w:rsidRPr="00B44EC9" w:rsidRDefault="00B84AAB" w:rsidP="00B84AAB">
      <w:pPr>
        <w:pStyle w:val="FootnoteText"/>
        <w:rPr>
          <w:lang w:val="en-US" w:eastAsia="ko-KR"/>
        </w:rPr>
      </w:pPr>
      <w:r>
        <w:rPr>
          <w:lang w:val="en-US"/>
        </w:rPr>
        <w:tab/>
      </w:r>
      <w:r w:rsidR="005668B4" w:rsidRPr="00650047">
        <w:rPr>
          <w:rStyle w:val="FootnoteReference"/>
        </w:rPr>
        <w:footnoteRef/>
      </w:r>
      <w:r>
        <w:rPr>
          <w:lang w:val="en-US"/>
        </w:rPr>
        <w:tab/>
      </w:r>
      <w:r w:rsidR="005668B4" w:rsidRPr="00B44EC9">
        <w:rPr>
          <w:rFonts w:hint="eastAsia"/>
          <w:lang w:val="en-US" w:eastAsia="ko-KR"/>
        </w:rPr>
        <w:t>This and similar references are to chapters and paragraphs in the Model Regulations on the Transport of Dangerous</w:t>
      </w:r>
      <w:r>
        <w:rPr>
          <w:lang w:val="en-US" w:eastAsia="ko-KR"/>
        </w:rPr>
        <w:t xml:space="preserve"> </w:t>
      </w:r>
      <w:r w:rsidR="005668B4" w:rsidRPr="00B44EC9">
        <w:rPr>
          <w:rFonts w:hint="eastAsia"/>
          <w:lang w:val="en-US" w:eastAsia="ko-KR"/>
        </w:rPr>
        <w:t>Goods.</w:t>
      </w:r>
    </w:p>
  </w:footnote>
  <w:footnote w:id="6">
    <w:p w14:paraId="61D1274E" w14:textId="77777777" w:rsidR="005668B4" w:rsidRPr="00B44EC9" w:rsidRDefault="00924700" w:rsidP="00B44EC9">
      <w:pPr>
        <w:pStyle w:val="FootnoteText"/>
        <w:rPr>
          <w:lang w:val="en-US" w:eastAsia="ko-KR"/>
        </w:rPr>
      </w:pPr>
      <w:r>
        <w:rPr>
          <w:lang w:val="en-US"/>
        </w:rPr>
        <w:tab/>
      </w:r>
      <w:r w:rsidR="005668B4" w:rsidRPr="00650047">
        <w:rPr>
          <w:rStyle w:val="FootnoteReference"/>
        </w:rPr>
        <w:footnoteRef/>
      </w:r>
      <w:r w:rsidR="005668B4" w:rsidRPr="00B44EC9">
        <w:rPr>
          <w:lang w:val="en-US"/>
        </w:rPr>
        <w:t xml:space="preserve"> </w:t>
      </w:r>
      <w:r w:rsidR="005668B4" w:rsidRPr="00B44EC9">
        <w:rPr>
          <w:rFonts w:hint="eastAsia"/>
          <w:lang w:val="en-US" w:eastAsia="ko-KR"/>
        </w:rPr>
        <w:tab/>
        <w:t>References:</w:t>
      </w:r>
    </w:p>
    <w:p w14:paraId="2FDDBEB1"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B44EC9">
        <w:rPr>
          <w:vertAlign w:val="superscript"/>
          <w:lang w:val="en-US" w:eastAsia="ko-KR"/>
        </w:rPr>
        <w:t xml:space="preserve">a </w:t>
      </w:r>
      <w:r w:rsidRPr="00B44EC9">
        <w:rPr>
          <w:lang w:val="en-US" w:eastAsia="ko-KR"/>
        </w:rPr>
        <w:t>European Chemical Agency (ECHA), Cyclohexyldimethylamine - Registration Dossier (https://echa.europa.eu/registration-dossier/-/registered-dossier/13521/7/3/2)</w:t>
      </w:r>
    </w:p>
    <w:p w14:paraId="68E96098" w14:textId="77777777" w:rsidR="005668B4" w:rsidRPr="00B44EC9" w:rsidRDefault="005668B4" w:rsidP="00B44EC9">
      <w:pPr>
        <w:pStyle w:val="FootnoteText"/>
        <w:rPr>
          <w:lang w:val="en-US" w:eastAsia="ko-KR"/>
        </w:rPr>
      </w:pPr>
      <w:r w:rsidRPr="00B44EC9">
        <w:rPr>
          <w:vertAlign w:val="superscript"/>
          <w:lang w:val="en-US" w:eastAsia="ko-KR"/>
        </w:rPr>
        <w:tab/>
      </w:r>
      <w:r w:rsidRPr="00B44EC9">
        <w:rPr>
          <w:vertAlign w:val="superscript"/>
          <w:lang w:val="en-US" w:eastAsia="ko-KR"/>
        </w:rPr>
        <w:tab/>
        <w:t xml:space="preserve">b </w:t>
      </w:r>
      <w:r w:rsidRPr="00B44EC9">
        <w:rPr>
          <w:lang w:val="en-US" w:eastAsia="ko-KR"/>
        </w:rPr>
        <w:t>European Chemical Agency (ECHA), Cyclohexyldimethylamine - Registration Dossier (https://echa.europa.eu/registration-dossier/-/registered-dossier/13521/7/3/4)</w:t>
      </w:r>
    </w:p>
    <w:p w14:paraId="5C2B8E52"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B44EC9">
        <w:rPr>
          <w:vertAlign w:val="superscript"/>
          <w:lang w:val="en-US" w:eastAsia="ko-KR"/>
        </w:rPr>
        <w:t xml:space="preserve">c </w:t>
      </w:r>
      <w:r w:rsidRPr="00B44EC9">
        <w:rPr>
          <w:lang w:val="en-US" w:eastAsia="ko-KR"/>
        </w:rPr>
        <w:t>European Chemical Agency (ECHA), Cyclohexyldimethylamine - Registration Dossier (https://echa.europa.eu/registration-dossier/-/registered-dossier/13521/7/3/3)</w:t>
      </w:r>
    </w:p>
    <w:p w14:paraId="0DFFB73C"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B44EC9">
        <w:rPr>
          <w:vertAlign w:val="superscript"/>
          <w:lang w:val="en-US" w:eastAsia="ko-KR"/>
        </w:rPr>
        <w:t xml:space="preserve">d </w:t>
      </w:r>
      <w:r w:rsidRPr="00B44EC9">
        <w:rPr>
          <w:lang w:val="en-US" w:eastAsia="ko-KR"/>
        </w:rPr>
        <w:t>European Chemical Agency (ECHA), Cyclohexyldimethylamine - Registration Dossier (</w:t>
      </w:r>
      <w:hyperlink r:id="rId6" w:history="1">
        <w:r w:rsidRPr="00B44EC9">
          <w:rPr>
            <w:rStyle w:val="Hyperlink"/>
            <w:lang w:val="en-US" w:eastAsia="ko-KR"/>
          </w:rPr>
          <w:t>https://echa.europa.eu/registration-dossier/-/registered-dossier/13521/7/4/2/?documentUUID=00a77466-5f8a-4</w:t>
        </w:r>
      </w:hyperlink>
      <w:r w:rsidRPr="00B44EC9">
        <w:rPr>
          <w:lang w:val="en-US" w:eastAsia="ko-KR"/>
        </w:rPr>
        <w:t>8a9-908c-39fb2a6053a5)</w:t>
      </w:r>
    </w:p>
    <w:p w14:paraId="26252B4D"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B44EC9">
        <w:rPr>
          <w:vertAlign w:val="superscript"/>
          <w:lang w:val="en-US" w:eastAsia="ko-KR"/>
        </w:rPr>
        <w:t xml:space="preserve">e </w:t>
      </w:r>
      <w:r w:rsidRPr="00B44EC9">
        <w:rPr>
          <w:lang w:val="en-US" w:eastAsia="ko-KR"/>
        </w:rPr>
        <w:t>European Chemical Agency (ECHA), Cyclohexyldimethylamine - Registration Dossier (https://echa.europa.eu/registration-dossier/-/registered-dossier/13521/2/1)</w:t>
      </w:r>
    </w:p>
    <w:p w14:paraId="7AFAECC8"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B44EC9">
        <w:rPr>
          <w:vertAlign w:val="superscript"/>
          <w:lang w:val="en-US" w:eastAsia="ko-KR"/>
        </w:rPr>
        <w:t xml:space="preserve">f </w:t>
      </w:r>
      <w:r w:rsidRPr="00B44EC9">
        <w:rPr>
          <w:lang w:val="en-US" w:eastAsia="ko-KR"/>
        </w:rPr>
        <w:t>European Chemical Agency (ECHA), Cyclohexyldimethylamine - Registration Dossier (https://echa.europa.eu/registration-dossier/-/registered-dossier/13521/6/2/2)</w:t>
      </w:r>
    </w:p>
    <w:p w14:paraId="075A9D43"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B44EC9">
        <w:rPr>
          <w:vertAlign w:val="superscript"/>
          <w:lang w:val="en-US" w:eastAsia="ko-KR"/>
        </w:rPr>
        <w:t xml:space="preserve">g </w:t>
      </w:r>
      <w:r w:rsidRPr="00B44EC9">
        <w:rPr>
          <w:lang w:val="en-US" w:eastAsia="ko-KR"/>
        </w:rPr>
        <w:t>European Chemical Agency (ECHA), Cyclohexyldimethylamine - Registration Dossier (https://echa.europa.eu/registration-dossier/-/registered-dossier/13521/6/2/6)</w:t>
      </w:r>
    </w:p>
  </w:footnote>
  <w:footnote w:id="7">
    <w:p w14:paraId="3A4FB655" w14:textId="77777777" w:rsidR="005668B4" w:rsidRPr="00B44EC9" w:rsidRDefault="00924700" w:rsidP="00B44EC9">
      <w:pPr>
        <w:pStyle w:val="FootnoteText"/>
        <w:rPr>
          <w:lang w:val="en-US" w:eastAsia="ko-KR"/>
        </w:rPr>
      </w:pPr>
      <w:r>
        <w:rPr>
          <w:lang w:val="en-US"/>
        </w:rPr>
        <w:tab/>
      </w:r>
      <w:r w:rsidR="005668B4" w:rsidRPr="00650047">
        <w:rPr>
          <w:rStyle w:val="FootnoteReference"/>
        </w:rPr>
        <w:footnoteRef/>
      </w:r>
      <w:r w:rsidR="005668B4" w:rsidRPr="00B44EC9">
        <w:rPr>
          <w:lang w:val="en-US"/>
        </w:rPr>
        <w:t xml:space="preserve"> </w:t>
      </w:r>
      <w:r w:rsidR="005668B4" w:rsidRPr="00B44EC9">
        <w:rPr>
          <w:rFonts w:hint="eastAsia"/>
          <w:lang w:val="en-US" w:eastAsia="ko-KR"/>
        </w:rPr>
        <w:tab/>
        <w:t>This and similar references are to chapters and paragraphs in the Model Regulations on the Transport of Dangerous Goods.</w:t>
      </w:r>
    </w:p>
  </w:footnote>
  <w:footnote w:id="8">
    <w:p w14:paraId="1F12AE0D" w14:textId="77777777" w:rsidR="005668B4" w:rsidRPr="00B44EC9" w:rsidRDefault="00924700" w:rsidP="00B44EC9">
      <w:pPr>
        <w:pStyle w:val="FootnoteText"/>
        <w:rPr>
          <w:lang w:val="en-US" w:eastAsia="ko-KR"/>
        </w:rPr>
      </w:pPr>
      <w:r>
        <w:rPr>
          <w:lang w:val="en-US"/>
        </w:rPr>
        <w:tab/>
      </w:r>
      <w:r w:rsidR="005668B4" w:rsidRPr="00650047">
        <w:rPr>
          <w:rStyle w:val="FootnoteReference"/>
        </w:rPr>
        <w:footnoteRef/>
      </w:r>
      <w:r w:rsidR="005668B4" w:rsidRPr="00B44EC9">
        <w:rPr>
          <w:lang w:val="en-US"/>
        </w:rPr>
        <w:t xml:space="preserve"> </w:t>
      </w:r>
      <w:r w:rsidR="005668B4" w:rsidRPr="00B44EC9">
        <w:rPr>
          <w:rFonts w:hint="eastAsia"/>
          <w:lang w:val="en-US" w:eastAsia="ko-KR"/>
        </w:rPr>
        <w:tab/>
        <w:t>References:</w:t>
      </w:r>
    </w:p>
    <w:p w14:paraId="2AABF407"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B44EC9">
        <w:rPr>
          <w:vertAlign w:val="superscript"/>
          <w:lang w:val="en-US" w:eastAsia="ko-KR"/>
        </w:rPr>
        <w:t xml:space="preserve">a </w:t>
      </w:r>
      <w:r w:rsidRPr="00B44EC9">
        <w:rPr>
          <w:lang w:val="en-US" w:eastAsia="ko-KR"/>
        </w:rPr>
        <w:t>Lewis, R.J., 1996, Sax’s Dangerous Properties of Industrial Materials. 9th ed. Volumes 1-3. New York, NY: Van Nostrand Reinhold, p. 960</w:t>
      </w:r>
    </w:p>
    <w:p w14:paraId="21BD7913"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B44EC9">
        <w:rPr>
          <w:vertAlign w:val="superscript"/>
          <w:lang w:val="en-US" w:eastAsia="ko-KR"/>
        </w:rPr>
        <w:t xml:space="preserve">b </w:t>
      </w:r>
      <w:r w:rsidRPr="00B44EC9">
        <w:rPr>
          <w:lang w:val="en-US" w:eastAsia="ko-KR"/>
        </w:rPr>
        <w:t>European Chemical Agency (ECHA), CYCLOHEXYLAMINE - Registration Dossier (</w:t>
      </w:r>
      <w:hyperlink r:id="rId7" w:history="1">
        <w:r w:rsidRPr="00B44EC9">
          <w:rPr>
            <w:rStyle w:val="Hyperlink"/>
            <w:lang w:val="en-US"/>
          </w:rPr>
          <w:t>https://echa.europa.eu/registration-dossier/-/registered-dossier/13348/7/3/4/?documentUUID=c8cc6b67-5607-45e4-87d3-1dc01649f75e</w:t>
        </w:r>
      </w:hyperlink>
      <w:r w:rsidRPr="00B44EC9">
        <w:rPr>
          <w:lang w:val="en-US" w:eastAsia="ko-KR"/>
        </w:rPr>
        <w:t>)</w:t>
      </w:r>
    </w:p>
    <w:p w14:paraId="7CDAA125"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B44EC9">
        <w:rPr>
          <w:vertAlign w:val="superscript"/>
          <w:lang w:val="en-US" w:eastAsia="ko-KR"/>
        </w:rPr>
        <w:t xml:space="preserve">c </w:t>
      </w:r>
      <w:r w:rsidRPr="00B44EC9">
        <w:rPr>
          <w:lang w:val="en-US" w:eastAsia="ko-KR"/>
        </w:rPr>
        <w:t>European Chemical Agency (ECHA), CYCLOHEXYLAMINE - Registration Dossier (</w:t>
      </w:r>
      <w:hyperlink r:id="rId8" w:history="1">
        <w:r w:rsidRPr="00924700">
          <w:rPr>
            <w:rStyle w:val="Hyperlink"/>
            <w:lang w:val="en-US" w:eastAsia="ko-KR"/>
          </w:rPr>
          <w:t>https://echa.europa.eu/de/registration-dossier/-/registered-dossier/13348/7/4/2/?documentUUID=d516cd27-</w:t>
        </w:r>
      </w:hyperlink>
      <w:r w:rsidRPr="00B44EC9">
        <w:rPr>
          <w:lang w:val="en-US" w:eastAsia="ko-KR"/>
        </w:rPr>
        <w:t>1283-4151-9832-18a05a74b703)</w:t>
      </w:r>
    </w:p>
    <w:p w14:paraId="6A650113"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B44EC9">
        <w:rPr>
          <w:vertAlign w:val="superscript"/>
          <w:lang w:val="en-US" w:eastAsia="ko-KR"/>
        </w:rPr>
        <w:t xml:space="preserve">d </w:t>
      </w:r>
      <w:r w:rsidRPr="00B44EC9">
        <w:rPr>
          <w:lang w:val="en-US" w:eastAsia="ko-KR"/>
        </w:rPr>
        <w:t>European Chemical Agency (ECHA), CYCLOHEXYLAMINE - Registration Dossier (https://echa.europa.eu/de/registration-dossier/-/registered-dossier/13348/2/1)</w:t>
      </w:r>
    </w:p>
    <w:p w14:paraId="3FE720D3"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B44EC9">
        <w:rPr>
          <w:vertAlign w:val="superscript"/>
          <w:lang w:val="en-US" w:eastAsia="ko-KR"/>
        </w:rPr>
        <w:t xml:space="preserve">e </w:t>
      </w:r>
      <w:r w:rsidRPr="00B44EC9">
        <w:rPr>
          <w:lang w:val="en-US" w:eastAsia="ko-KR"/>
        </w:rPr>
        <w:t>European Chemical Agency (ECHA), CYCLOHEXYLAMINE - Registration Dossier (https://echa.europa.eu/de/registration-dossier/-/registered-dossier/13348/6/2/2)</w:t>
      </w:r>
    </w:p>
    <w:p w14:paraId="20E32036" w14:textId="77777777" w:rsidR="005668B4" w:rsidRPr="00B44EC9" w:rsidRDefault="005668B4" w:rsidP="00B44EC9">
      <w:pPr>
        <w:pStyle w:val="FootnoteText"/>
        <w:rPr>
          <w:lang w:val="en-US" w:eastAsia="ko-KR"/>
        </w:rPr>
      </w:pPr>
      <w:r w:rsidRPr="00B44EC9">
        <w:rPr>
          <w:vertAlign w:val="superscript"/>
          <w:lang w:val="en-US" w:eastAsia="ko-KR"/>
        </w:rPr>
        <w:tab/>
      </w:r>
      <w:r w:rsidR="00924700">
        <w:rPr>
          <w:vertAlign w:val="superscript"/>
          <w:lang w:val="en-US" w:eastAsia="ko-KR"/>
        </w:rPr>
        <w:tab/>
      </w:r>
      <w:r w:rsidRPr="001110BF">
        <w:rPr>
          <w:vertAlign w:val="superscript"/>
          <w:lang w:val="de-DE" w:eastAsia="ko-KR"/>
        </w:rPr>
        <w:t xml:space="preserve">f </w:t>
      </w:r>
      <w:r w:rsidRPr="001110BF">
        <w:rPr>
          <w:lang w:val="de-DE" w:eastAsia="ko-KR"/>
        </w:rPr>
        <w:t xml:space="preserve">Bringmann G and Kuehn R, 1977, Befunde der Schadwirkung wassergefaehrdender Stoffe gegen Daphnia magna. </w:t>
      </w:r>
      <w:r w:rsidRPr="00B44EC9">
        <w:rPr>
          <w:lang w:val="en-US" w:eastAsia="ko-KR"/>
        </w:rPr>
        <w:t>Z. Wasser-Abwasser-Forsch. 10, 161</w:t>
      </w:r>
    </w:p>
  </w:footnote>
  <w:footnote w:id="9">
    <w:p w14:paraId="44577E20" w14:textId="77777777" w:rsidR="005668B4" w:rsidRPr="00B44EC9" w:rsidRDefault="00924700" w:rsidP="00B44EC9">
      <w:pPr>
        <w:pStyle w:val="FootnoteText"/>
        <w:rPr>
          <w:lang w:val="en-US" w:eastAsia="ko-KR"/>
        </w:rPr>
      </w:pPr>
      <w:r>
        <w:rPr>
          <w:lang w:val="en-US"/>
        </w:rPr>
        <w:tab/>
      </w:r>
      <w:r w:rsidR="005668B4" w:rsidRPr="00650047">
        <w:rPr>
          <w:rStyle w:val="FootnoteReference"/>
        </w:rPr>
        <w:footnoteRef/>
      </w:r>
      <w:r w:rsidR="005668B4" w:rsidRPr="00B44EC9">
        <w:rPr>
          <w:lang w:val="en-US"/>
        </w:rPr>
        <w:tab/>
      </w:r>
      <w:r w:rsidR="005668B4" w:rsidRPr="00B44EC9">
        <w:rPr>
          <w:rFonts w:hint="eastAsia"/>
          <w:lang w:val="en-US" w:eastAsia="ko-KR"/>
        </w:rPr>
        <w:t>This and similar references are to chapters and paragraphs in the Model Regulations on the Transport of Dangerous Goods.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48EE" w14:textId="687F2D07" w:rsidR="005668B4" w:rsidRPr="00002F14" w:rsidRDefault="00627985">
    <w:pPr>
      <w:pStyle w:val="Header"/>
    </w:pPr>
    <w:r>
      <w:fldChar w:fldCharType="begin"/>
    </w:r>
    <w:r>
      <w:instrText xml:space="preserve"> TITLE  \* MERGEFORMAT </w:instrText>
    </w:r>
    <w:r>
      <w:fldChar w:fldCharType="separate"/>
    </w:r>
    <w:r>
      <w:t>ST/SG/AC.10/C.3/2020/7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F096" w14:textId="0336FA94" w:rsidR="005668B4" w:rsidRPr="00002F14" w:rsidRDefault="00627985" w:rsidP="00002F14">
    <w:pPr>
      <w:pStyle w:val="Header"/>
      <w:jc w:val="right"/>
    </w:pPr>
    <w:r>
      <w:fldChar w:fldCharType="begin"/>
    </w:r>
    <w:r>
      <w:instrText xml:space="preserve"> TITLE  \* MERGEFORMAT </w:instrText>
    </w:r>
    <w:r>
      <w:fldChar w:fldCharType="separate"/>
    </w:r>
    <w:r>
      <w:t>ST/SG/AC.10/C.3/2020/7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65DA" w14:textId="77777777" w:rsidR="005668B4" w:rsidRPr="00D7521F" w:rsidRDefault="005668B4" w:rsidP="00D7521F">
    <w:r>
      <w:rPr>
        <w:noProof/>
      </w:rPr>
      <mc:AlternateContent>
        <mc:Choice Requires="wps">
          <w:drawing>
            <wp:anchor distT="0" distB="0" distL="114300" distR="114300" simplePos="0" relativeHeight="251671552" behindDoc="0" locked="0" layoutInCell="1" allowOverlap="1" wp14:anchorId="3C23CE00" wp14:editId="44A29BC2">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4D6AF2" w14:textId="27EE090A" w:rsidR="005668B4" w:rsidRPr="00002F14" w:rsidRDefault="00627985" w:rsidP="00D7521F">
                          <w:pPr>
                            <w:pStyle w:val="Header"/>
                          </w:pPr>
                          <w:r>
                            <w:fldChar w:fldCharType="begin"/>
                          </w:r>
                          <w:r>
                            <w:instrText xml:space="preserve"> TITLE  \* MERGEFORMAT </w:instrText>
                          </w:r>
                          <w:r>
                            <w:fldChar w:fldCharType="separate"/>
                          </w:r>
                          <w:r>
                            <w:t>ST/SG/AC.10/C.3/2020/7</w:t>
                          </w:r>
                          <w:r>
                            <w:fldChar w:fldCharType="end"/>
                          </w:r>
                        </w:p>
                        <w:p w14:paraId="220CA6A6" w14:textId="77777777" w:rsidR="005668B4" w:rsidRDefault="005668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23CE00"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514D6AF2" w14:textId="27EE090A" w:rsidR="005668B4" w:rsidRPr="00002F14" w:rsidRDefault="00627985" w:rsidP="00D7521F">
                    <w:pPr>
                      <w:pStyle w:val="Header"/>
                    </w:pPr>
                    <w:r>
                      <w:fldChar w:fldCharType="begin"/>
                    </w:r>
                    <w:r>
                      <w:instrText xml:space="preserve"> TITLE  \* MERGEFORMAT </w:instrText>
                    </w:r>
                    <w:r>
                      <w:fldChar w:fldCharType="separate"/>
                    </w:r>
                    <w:r>
                      <w:t>ST/SG/AC.10/C.3/2020/7</w:t>
                    </w:r>
                    <w:r>
                      <w:fldChar w:fldCharType="end"/>
                    </w:r>
                  </w:p>
                  <w:p w14:paraId="220CA6A6" w14:textId="77777777" w:rsidR="005668B4" w:rsidRDefault="005668B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0F4B" w14:textId="77777777" w:rsidR="005668B4" w:rsidRPr="00D7521F" w:rsidRDefault="005668B4" w:rsidP="00D7521F">
    <w:r>
      <w:rPr>
        <w:noProof/>
      </w:rPr>
      <mc:AlternateContent>
        <mc:Choice Requires="wps">
          <w:drawing>
            <wp:anchor distT="0" distB="0" distL="114300" distR="114300" simplePos="0" relativeHeight="251673600" behindDoc="0" locked="0" layoutInCell="1" allowOverlap="1" wp14:anchorId="2D3E3F70" wp14:editId="48147CFC">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AFC8659" w14:textId="59C58B4A" w:rsidR="005668B4" w:rsidRPr="00002F14" w:rsidRDefault="00627985" w:rsidP="00D7521F">
                          <w:pPr>
                            <w:pStyle w:val="Header"/>
                            <w:jc w:val="right"/>
                          </w:pPr>
                          <w:r>
                            <w:fldChar w:fldCharType="begin"/>
                          </w:r>
                          <w:r>
                            <w:instrText xml:space="preserve"> TITLE  \* MERGEFORMAT </w:instrText>
                          </w:r>
                          <w:r>
                            <w:fldChar w:fldCharType="separate"/>
                          </w:r>
                          <w:r>
                            <w:t>ST/SG/AC.10/C.3/2020/7</w:t>
                          </w:r>
                          <w:r>
                            <w:fldChar w:fldCharType="end"/>
                          </w:r>
                        </w:p>
                        <w:p w14:paraId="44BAF506" w14:textId="77777777" w:rsidR="005668B4" w:rsidRDefault="005668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3E3F70"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14:paraId="7AFC8659" w14:textId="59C58B4A" w:rsidR="005668B4" w:rsidRPr="00002F14" w:rsidRDefault="00627985" w:rsidP="00D7521F">
                    <w:pPr>
                      <w:pStyle w:val="Header"/>
                      <w:jc w:val="right"/>
                    </w:pPr>
                    <w:r>
                      <w:fldChar w:fldCharType="begin"/>
                    </w:r>
                    <w:r>
                      <w:instrText xml:space="preserve"> TITLE  \* MERGEFORMAT </w:instrText>
                    </w:r>
                    <w:r>
                      <w:fldChar w:fldCharType="separate"/>
                    </w:r>
                    <w:r>
                      <w:t>ST/SG/AC.10/C.3/2020/7</w:t>
                    </w:r>
                    <w:r>
                      <w:fldChar w:fldCharType="end"/>
                    </w:r>
                  </w:p>
                  <w:p w14:paraId="44BAF506" w14:textId="77777777" w:rsidR="005668B4" w:rsidRDefault="005668B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14A0" w14:textId="46826798" w:rsidR="005668B4" w:rsidRPr="00B44EC9" w:rsidRDefault="00627985" w:rsidP="00B44EC9">
    <w:pPr>
      <w:pStyle w:val="Header"/>
    </w:pPr>
    <w:r>
      <w:fldChar w:fldCharType="begin"/>
    </w:r>
    <w:r>
      <w:instrText xml:space="preserve"> TITLE  \* MERGEFORMAT </w:instrText>
    </w:r>
    <w:r>
      <w:fldChar w:fldCharType="separate"/>
    </w:r>
    <w:r>
      <w:t>ST/SG/AC.10/C.3/2020/7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D944" w14:textId="3DB8DD16" w:rsidR="005668B4" w:rsidRPr="00B44EC9" w:rsidRDefault="00627985" w:rsidP="00B44EC9">
    <w:pPr>
      <w:pStyle w:val="Header"/>
      <w:jc w:val="right"/>
    </w:pPr>
    <w:r>
      <w:fldChar w:fldCharType="begin"/>
    </w:r>
    <w:r>
      <w:instrText xml:space="preserve"> TITLE  \* MERGEFORMAT </w:instrText>
    </w:r>
    <w:r>
      <w:fldChar w:fldCharType="separate"/>
    </w:r>
    <w:r>
      <w:t>ST/SG/AC.10/C.3/2020/7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11"/>
    <w:rsid w:val="00002F14"/>
    <w:rsid w:val="00017F94"/>
    <w:rsid w:val="00023842"/>
    <w:rsid w:val="000305D3"/>
    <w:rsid w:val="000334F9"/>
    <w:rsid w:val="0007796D"/>
    <w:rsid w:val="000B7790"/>
    <w:rsid w:val="00111F2F"/>
    <w:rsid w:val="00132EA9"/>
    <w:rsid w:val="00136EED"/>
    <w:rsid w:val="0014365E"/>
    <w:rsid w:val="00173C29"/>
    <w:rsid w:val="00176178"/>
    <w:rsid w:val="001E160B"/>
    <w:rsid w:val="001F525A"/>
    <w:rsid w:val="00223272"/>
    <w:rsid w:val="0024779E"/>
    <w:rsid w:val="00283190"/>
    <w:rsid w:val="002832AC"/>
    <w:rsid w:val="002B645F"/>
    <w:rsid w:val="002C2912"/>
    <w:rsid w:val="002C5F9B"/>
    <w:rsid w:val="002D7C93"/>
    <w:rsid w:val="00347781"/>
    <w:rsid w:val="003F29F9"/>
    <w:rsid w:val="00404111"/>
    <w:rsid w:val="00412696"/>
    <w:rsid w:val="00441C3B"/>
    <w:rsid w:val="00446FE5"/>
    <w:rsid w:val="00452396"/>
    <w:rsid w:val="004E468C"/>
    <w:rsid w:val="005505B7"/>
    <w:rsid w:val="005668B4"/>
    <w:rsid w:val="00573BE5"/>
    <w:rsid w:val="00584DC4"/>
    <w:rsid w:val="00586ED3"/>
    <w:rsid w:val="00596AA9"/>
    <w:rsid w:val="005F4DF7"/>
    <w:rsid w:val="00627985"/>
    <w:rsid w:val="00673225"/>
    <w:rsid w:val="0068456F"/>
    <w:rsid w:val="00692207"/>
    <w:rsid w:val="0071601D"/>
    <w:rsid w:val="007A62E6"/>
    <w:rsid w:val="0080684C"/>
    <w:rsid w:val="00871C75"/>
    <w:rsid w:val="008776DC"/>
    <w:rsid w:val="008B40CD"/>
    <w:rsid w:val="008F303A"/>
    <w:rsid w:val="00924700"/>
    <w:rsid w:val="009705C8"/>
    <w:rsid w:val="009C1CF4"/>
    <w:rsid w:val="00A30353"/>
    <w:rsid w:val="00A61520"/>
    <w:rsid w:val="00AC3823"/>
    <w:rsid w:val="00AE323C"/>
    <w:rsid w:val="00B00181"/>
    <w:rsid w:val="00B00B0D"/>
    <w:rsid w:val="00B32CE2"/>
    <w:rsid w:val="00B35786"/>
    <w:rsid w:val="00B41E3C"/>
    <w:rsid w:val="00B44EC9"/>
    <w:rsid w:val="00B765F7"/>
    <w:rsid w:val="00B84AAB"/>
    <w:rsid w:val="00BA0CA9"/>
    <w:rsid w:val="00BF0FAE"/>
    <w:rsid w:val="00C02897"/>
    <w:rsid w:val="00C97EE1"/>
    <w:rsid w:val="00CC5636"/>
    <w:rsid w:val="00CE47B4"/>
    <w:rsid w:val="00D3439C"/>
    <w:rsid w:val="00D7521F"/>
    <w:rsid w:val="00DB1831"/>
    <w:rsid w:val="00DD3BFD"/>
    <w:rsid w:val="00DF6678"/>
    <w:rsid w:val="00E91B01"/>
    <w:rsid w:val="00EC5888"/>
    <w:rsid w:val="00EF2E22"/>
    <w:rsid w:val="00F01738"/>
    <w:rsid w:val="00F25CC9"/>
    <w:rsid w:val="00F660DF"/>
    <w:rsid w:val="00F730C8"/>
    <w:rsid w:val="00F95C08"/>
    <w:rsid w:val="00FB4B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939D6"/>
  <w15:docId w15:val="{AEE777D8-68B7-4F33-8B14-659A5E2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002F14"/>
    <w:rPr>
      <w:rFonts w:ascii="Times New Roman" w:eastAsiaTheme="minorHAnsi" w:hAnsi="Times New Roman" w:cs="Times New Roman"/>
      <w:b/>
      <w:sz w:val="24"/>
      <w:szCs w:val="20"/>
      <w:lang w:eastAsia="en-US"/>
    </w:rPr>
  </w:style>
  <w:style w:type="paragraph" w:customStyle="1" w:styleId="Default">
    <w:name w:val="Default"/>
    <w:rsid w:val="00002F14"/>
    <w:pPr>
      <w:widowControl w:val="0"/>
      <w:autoSpaceDE w:val="0"/>
      <w:autoSpaceDN w:val="0"/>
      <w:adjustRightInd w:val="0"/>
      <w:spacing w:after="0" w:line="240" w:lineRule="auto"/>
    </w:pPr>
    <w:rPr>
      <w:rFonts w:ascii="Arial" w:eastAsia="Malgun Gothic" w:hAnsi="Arial" w:cs="Arial"/>
      <w:color w:val="000000"/>
      <w:sz w:val="24"/>
      <w:szCs w:val="24"/>
      <w:lang w:val="en-US" w:eastAsia="ko-KR"/>
    </w:rPr>
  </w:style>
  <w:style w:type="character" w:customStyle="1" w:styleId="HChGChar">
    <w:name w:val="_ H _Ch_G Char"/>
    <w:link w:val="HChG"/>
    <w:rsid w:val="00002F14"/>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B41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ubchem.ncbi.nlm.nih.gov/source/hsdb/310" TargetMode="External"/><Relationship Id="rId26" Type="http://schemas.openxmlformats.org/officeDocument/2006/relationships/hyperlink" Target="https://echa.europa.eu/registration-dossier/-/registered-dossier/13521/7/3/2" TargetMode="External"/><Relationship Id="rId39" Type="http://schemas.openxmlformats.org/officeDocument/2006/relationships/hyperlink" Target="https://pubchem.ncbi.nlm.nih.gov/compound/7415" TargetMode="External"/><Relationship Id="rId21" Type="http://schemas.openxmlformats.org/officeDocument/2006/relationships/hyperlink" Target="https://echa.europa.eu/sv/registration-dossier/-/registered-dossier/13527/7/3/4" TargetMode="External"/><Relationship Id="rId34" Type="http://schemas.openxmlformats.org/officeDocument/2006/relationships/hyperlink" Target="https://echa.europa.eu/registration-dossier/-/registered-dossier/13521/7/3/4/?documentUUID=1d745de2-2814-4d76-a245-52d02a5be09a" TargetMode="External"/><Relationship Id="rId42" Type="http://schemas.openxmlformats.org/officeDocument/2006/relationships/hyperlink" Target="https://pubchem.ncbi.nlm.nih.gov/compound/Cyclohexylamine" TargetMode="External"/><Relationship Id="rId47" Type="http://schemas.openxmlformats.org/officeDocument/2006/relationships/hyperlink" Target="https://echa.europa.eu/documents/10162/3baf4dd8-ae8a-eca0-8e2a-d617a12fc29e" TargetMode="External"/><Relationship Id="rId50" Type="http://schemas.openxmlformats.org/officeDocument/2006/relationships/hyperlink" Target="https://echa.europa.eu/registration-dossier/-/registered-dossier/13348/7/3/4/?documentUUID=c8cc6b67-5607-45e4-87d3-1dc01649f75e" TargetMode="External"/><Relationship Id="rId55" Type="http://schemas.openxmlformats.org/officeDocument/2006/relationships/footer" Target="footer5.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pubchem.ncbi.nlm.nih.gov/compound/8148" TargetMode="External"/><Relationship Id="rId20" Type="http://schemas.openxmlformats.org/officeDocument/2006/relationships/hyperlink" Target="https://pubchem.ncbi.nlm.nih.gov/source/hsdb/310" TargetMode="External"/><Relationship Id="rId29" Type="http://schemas.openxmlformats.org/officeDocument/2006/relationships/hyperlink" Target="https://pubchem.ncbi.nlm.nih.gov/compound/7415" TargetMode="External"/><Relationship Id="rId41" Type="http://schemas.openxmlformats.org/officeDocument/2006/relationships/hyperlink" Target="https://pubchem.ncbi.nlm.nih.gov/compound/Cyclohexylamine"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echa.europa.eu/sv/registration-dossier/-/registered-dossier/13527/7/3/3" TargetMode="External"/><Relationship Id="rId32" Type="http://schemas.openxmlformats.org/officeDocument/2006/relationships/hyperlink" Target="https://echa.europa.eu/registration-dossier/-/registered-dossier/13521/7/3/4" TargetMode="External"/><Relationship Id="rId37" Type="http://schemas.openxmlformats.org/officeDocument/2006/relationships/hyperlink" Target="https://echa.europa.eu/registration-dossier/-/registered-dossier/13521/7/3/3/?documentUUID=3b895cb8-c1e2-442d-ba9b-ef103e53f24a" TargetMode="External"/><Relationship Id="rId40" Type="http://schemas.openxmlformats.org/officeDocument/2006/relationships/hyperlink" Target="https://pubchem.ncbi.nlm.nih.gov/compound/7415" TargetMode="External"/><Relationship Id="rId45" Type="http://schemas.openxmlformats.org/officeDocument/2006/relationships/hyperlink" Target="https://pubchem.ncbi.nlm.nih.gov/compound/Cyclohexylamine"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pubchem.ncbi.nlm.nih.gov/compound/8148" TargetMode="External"/><Relationship Id="rId23" Type="http://schemas.openxmlformats.org/officeDocument/2006/relationships/hyperlink" Target="https://pubchem.ncbi.nlm.nih.gov/compound/8148" TargetMode="External"/><Relationship Id="rId28" Type="http://schemas.openxmlformats.org/officeDocument/2006/relationships/hyperlink" Target="https://pubchem.ncbi.nlm.nih.gov/compound/7415" TargetMode="External"/><Relationship Id="rId36" Type="http://schemas.openxmlformats.org/officeDocument/2006/relationships/hyperlink" Target="https://echa.europa.eu/registration-dossier/-/registered-dossier/13521/7/3/3" TargetMode="External"/><Relationship Id="rId49" Type="http://schemas.openxmlformats.org/officeDocument/2006/relationships/hyperlink" Target="https://echa.europa.eu/registration-dossier/-/registered-dossier/13348/7/3/4/?documentUUID=f9bd1fe9-6918-4468-88ed-1cdb7a61382f" TargetMode="External"/><Relationship Id="rId57" Type="http://schemas.openxmlformats.org/officeDocument/2006/relationships/header" Target="header6.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ubchem.ncbi.nlm.nih.gov/source/hsdb/310" TargetMode="External"/><Relationship Id="rId31" Type="http://schemas.openxmlformats.org/officeDocument/2006/relationships/hyperlink" Target="https://hpvchemicals.oecd.org/UI/handler.axd?id=ee5efcff-697d-48f7-ab7d-032356a83370" TargetMode="External"/><Relationship Id="rId44" Type="http://schemas.openxmlformats.org/officeDocument/2006/relationships/hyperlink" Target="https://pubchem.ncbi.nlm.nih.gov/compound/Cyclohexylamine" TargetMode="External"/><Relationship Id="rId52" Type="http://schemas.openxmlformats.org/officeDocument/2006/relationships/header" Target="header3.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cha.europa.eu/sv/registration-dossier/-/registered-dossier/13527/7/3/2" TargetMode="External"/><Relationship Id="rId22" Type="http://schemas.openxmlformats.org/officeDocument/2006/relationships/hyperlink" Target="https://pubchem.ncbi.nlm.nih.gov/compound/8148" TargetMode="External"/><Relationship Id="rId27" Type="http://schemas.openxmlformats.org/officeDocument/2006/relationships/hyperlink" Target="https://pubchem.ncbi.nlm.nih.gov/compound/7415" TargetMode="External"/><Relationship Id="rId30" Type="http://schemas.openxmlformats.org/officeDocument/2006/relationships/hyperlink" Target="https://pubchem.ncbi.nlm.nih.gov/compound/7415" TargetMode="External"/><Relationship Id="rId35" Type="http://schemas.openxmlformats.org/officeDocument/2006/relationships/hyperlink" Target="https://pubchem.ncbi.nlm.nih.gov/compound/7415" TargetMode="External"/><Relationship Id="rId43" Type="http://schemas.openxmlformats.org/officeDocument/2006/relationships/hyperlink" Target="https://echa.europa.eu/registration-dossier/-/registered-dossier/13348/7/3/2/?documentUUID=7db775d0-0a4b-40f3-862d-f8e33e24187c" TargetMode="External"/><Relationship Id="rId48" Type="http://schemas.openxmlformats.org/officeDocument/2006/relationships/hyperlink" Target="https://pubchem.ncbi.nlm.nih.gov/compound/Cyclohexylamine" TargetMode="External"/><Relationship Id="rId56" Type="http://schemas.openxmlformats.org/officeDocument/2006/relationships/header" Target="header5.xml"/><Relationship Id="rId8" Type="http://schemas.openxmlformats.org/officeDocument/2006/relationships/hyperlink" Target="https://pubchem.ncbi.nlm.nih.gov/compound/8148" TargetMode="External"/><Relationship Id="rId51" Type="http://schemas.openxmlformats.org/officeDocument/2006/relationships/hyperlink" Target="https://en.wikipedia.org/wiki/Klimisch_score"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pubchem.ncbi.nlm.nih.gov/compound/8148" TargetMode="External"/><Relationship Id="rId25" Type="http://schemas.openxmlformats.org/officeDocument/2006/relationships/hyperlink" Target="https://echa.europa.eu/sv/registration-dossier/-/registered-dossier/13527/7/3/3/?documentUUID=022335f9-857a-4952-a1c6-f5e8e88255df" TargetMode="External"/><Relationship Id="rId33" Type="http://schemas.openxmlformats.org/officeDocument/2006/relationships/hyperlink" Target="https://echa.europa.eu/registration-dossier/-/registered-dossier/13521/7/3/4/?documentUUID=c63bdc9f-e4f3-41c7-a94e-fcdb1c56ecaa" TargetMode="External"/><Relationship Id="rId38" Type="http://schemas.openxmlformats.org/officeDocument/2006/relationships/hyperlink" Target="https://echa.europa.eu/sv/registration-dossier/-/registered-dossier/13521/7/3/3/?documentUUID=8b0dbaef-c4e3-443b-961d-77fdea82aa07" TargetMode="External"/><Relationship Id="rId46" Type="http://schemas.openxmlformats.org/officeDocument/2006/relationships/hyperlink" Target="https://echa.europa.eu/documents/10162/3baf4dd8-ae8a-eca0-8e2a-d617a12fc29e" TargetMode="External"/><Relationship Id="rId59"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https://echa.europa.eu/de/registration-dossier/-/registered-dossier/13348/7/4/2/?documentUUID=d516cd27-1283-4151-9832-18a05a74b703" TargetMode="External"/><Relationship Id="rId3" Type="http://schemas.openxmlformats.org/officeDocument/2006/relationships/hyperlink" Target="https://echa.europa.eu/registration-" TargetMode="External"/><Relationship Id="rId7" Type="http://schemas.openxmlformats.org/officeDocument/2006/relationships/hyperlink" Target="https://echa.europa.eu/registration-dossier/-/registered-dossier/13348/7/3/4/?documentUUID=c8cc6b67-5607-%0945e4-87d3-1dc01649f75e" TargetMode="External"/><Relationship Id="rId2" Type="http://schemas.openxmlformats.org/officeDocument/2006/relationships/hyperlink" Target="https://echa.europa.eu/registration-" TargetMode="External"/><Relationship Id="rId1" Type="http://schemas.openxmlformats.org/officeDocument/2006/relationships/hyperlink" Target="https://echa.europa.eu/registration-" TargetMode="External"/><Relationship Id="rId6" Type="http://schemas.openxmlformats.org/officeDocument/2006/relationships/hyperlink" Target="https://echa.europa.eu/registration-dossier/-/registered-dossier/13521/7/4/2/?documentUUID=00a77466-5f8a-4" TargetMode="External"/><Relationship Id="rId5" Type="http://schemas.openxmlformats.org/officeDocument/2006/relationships/hyperlink" Target="https://echa.europa.eu/registration-" TargetMode="External"/><Relationship Id="rId4" Type="http://schemas.openxmlformats.org/officeDocument/2006/relationships/hyperlink" Target="https://echa.europa.eu/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5819</Words>
  <Characters>33173</Characters>
  <Application>Microsoft Office Word</Application>
  <DocSecurity>0</DocSecurity>
  <Lines>276</Lines>
  <Paragraphs>77</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ST/SG/AC.10/C.3/2020/7</vt:lpstr>
      <vt:lpstr>ST/SG/AC.10/C.3/2020/7</vt:lpstr>
      <vt:lpstr>Genève, 29 juin-8 juillet 2020</vt:lpstr>
    </vt:vector>
  </TitlesOfParts>
  <Company>DCM</Company>
  <LinksUpToDate>false</LinksUpToDate>
  <CharactersWithSpaces>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dc:title>
  <dc:subject/>
  <dc:creator>Edith BOURION</dc:creator>
  <cp:keywords/>
  <cp:lastModifiedBy>Laurence Berthet</cp:lastModifiedBy>
  <cp:revision>3</cp:revision>
  <cp:lastPrinted>2020-05-05T13:05:00Z</cp:lastPrinted>
  <dcterms:created xsi:type="dcterms:W3CDTF">2020-05-05T13:05:00Z</dcterms:created>
  <dcterms:modified xsi:type="dcterms:W3CDTF">2020-05-05T13:05:00Z</dcterms:modified>
</cp:coreProperties>
</file>