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501DB" w:rsidRPr="00A501DB" w14:paraId="45A13353" w14:textId="77777777" w:rsidTr="006476E1">
        <w:trPr>
          <w:trHeight w:val="851"/>
        </w:trPr>
        <w:tc>
          <w:tcPr>
            <w:tcW w:w="1259" w:type="dxa"/>
            <w:tcBorders>
              <w:top w:val="nil"/>
              <w:left w:val="nil"/>
              <w:bottom w:val="single" w:sz="4" w:space="0" w:color="auto"/>
              <w:right w:val="nil"/>
            </w:tcBorders>
          </w:tcPr>
          <w:p w14:paraId="3603634F"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3B058F7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F5E7451" w14:textId="3D10E5F7" w:rsidR="00E52109" w:rsidRPr="00A501DB" w:rsidRDefault="00D57F64" w:rsidP="00515107">
            <w:pPr>
              <w:suppressAutoHyphens w:val="0"/>
              <w:jc w:val="right"/>
              <w:rPr>
                <w:lang w:eastAsia="ko-KR"/>
              </w:rPr>
            </w:pPr>
            <w:r w:rsidRPr="00A501DB">
              <w:rPr>
                <w:sz w:val="40"/>
              </w:rPr>
              <w:t>ST</w:t>
            </w:r>
            <w:r w:rsidRPr="00A501DB">
              <w:t>/SG/AC.10/C.3/20</w:t>
            </w:r>
            <w:r w:rsidR="00515107" w:rsidRPr="00A501DB">
              <w:rPr>
                <w:rFonts w:eastAsia="Malgun Gothic" w:hint="eastAsia"/>
                <w:lang w:eastAsia="ko-KR"/>
              </w:rPr>
              <w:t>20/</w:t>
            </w:r>
            <w:r w:rsidR="00EF1BB9">
              <w:rPr>
                <w:rFonts w:eastAsia="Malgun Gothic"/>
                <w:lang w:eastAsia="ko-KR"/>
              </w:rPr>
              <w:t>6</w:t>
            </w:r>
          </w:p>
        </w:tc>
      </w:tr>
      <w:tr w:rsidR="00E52109" w14:paraId="7C79FEA7" w14:textId="77777777" w:rsidTr="006476E1">
        <w:trPr>
          <w:trHeight w:val="2835"/>
        </w:trPr>
        <w:tc>
          <w:tcPr>
            <w:tcW w:w="1259" w:type="dxa"/>
            <w:tcBorders>
              <w:top w:val="single" w:sz="4" w:space="0" w:color="auto"/>
              <w:left w:val="nil"/>
              <w:bottom w:val="single" w:sz="12" w:space="0" w:color="auto"/>
              <w:right w:val="nil"/>
            </w:tcBorders>
          </w:tcPr>
          <w:p w14:paraId="543AC035" w14:textId="77777777" w:rsidR="00E52109" w:rsidRDefault="00E52109" w:rsidP="006476E1">
            <w:pPr>
              <w:spacing w:before="120"/>
              <w:jc w:val="center"/>
            </w:pPr>
            <w:r>
              <w:rPr>
                <w:noProof/>
                <w:lang w:val="en-US" w:eastAsia="ko-KR"/>
              </w:rPr>
              <w:drawing>
                <wp:inline distT="0" distB="0" distL="0" distR="0" wp14:anchorId="78359018" wp14:editId="39E5F31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EC8EE9" w14:textId="77777777" w:rsidR="00E52109" w:rsidRPr="00A501DB" w:rsidRDefault="00D94B05" w:rsidP="006476E1">
            <w:pPr>
              <w:spacing w:before="120" w:line="420" w:lineRule="exact"/>
              <w:rPr>
                <w:b/>
                <w:sz w:val="40"/>
                <w:szCs w:val="40"/>
              </w:rPr>
            </w:pPr>
            <w:r w:rsidRPr="00A501DB">
              <w:rPr>
                <w:b/>
                <w:sz w:val="40"/>
                <w:szCs w:val="40"/>
              </w:rPr>
              <w:t>Secretariat</w:t>
            </w:r>
          </w:p>
        </w:tc>
        <w:tc>
          <w:tcPr>
            <w:tcW w:w="2930" w:type="dxa"/>
            <w:tcBorders>
              <w:top w:val="single" w:sz="4" w:space="0" w:color="auto"/>
              <w:left w:val="nil"/>
              <w:bottom w:val="single" w:sz="12" w:space="0" w:color="auto"/>
              <w:right w:val="nil"/>
            </w:tcBorders>
          </w:tcPr>
          <w:p w14:paraId="4A3382CB" w14:textId="77777777" w:rsidR="00D94B05" w:rsidRPr="00A501DB" w:rsidRDefault="00D57F64" w:rsidP="00D57F64">
            <w:pPr>
              <w:suppressAutoHyphens w:val="0"/>
              <w:spacing w:before="240" w:line="240" w:lineRule="exact"/>
            </w:pPr>
            <w:r w:rsidRPr="00A501DB">
              <w:t>Distr.: General</w:t>
            </w:r>
          </w:p>
          <w:p w14:paraId="352D9338" w14:textId="0FA5288F" w:rsidR="00D57F64" w:rsidRPr="00A501DB" w:rsidRDefault="0085600D" w:rsidP="00D57F64">
            <w:pPr>
              <w:suppressAutoHyphens w:val="0"/>
              <w:spacing w:line="240" w:lineRule="exact"/>
              <w:rPr>
                <w:rFonts w:eastAsia="Malgun Gothic"/>
                <w:lang w:eastAsia="ko-KR"/>
              </w:rPr>
            </w:pPr>
            <w:r>
              <w:rPr>
                <w:rFonts w:eastAsia="Malgun Gothic"/>
                <w:lang w:eastAsia="ko-KR"/>
              </w:rPr>
              <w:t>31</w:t>
            </w:r>
            <w:r w:rsidR="000B24C9" w:rsidRPr="00A501DB">
              <w:t xml:space="preserve"> </w:t>
            </w:r>
            <w:r>
              <w:rPr>
                <w:rFonts w:eastAsia="Malgun Gothic"/>
                <w:lang w:eastAsia="ko-KR"/>
              </w:rPr>
              <w:t>March</w:t>
            </w:r>
            <w:r w:rsidR="000B24C9" w:rsidRPr="00A501DB">
              <w:t xml:space="preserve"> </w:t>
            </w:r>
            <w:r w:rsidR="00D57F64" w:rsidRPr="00A501DB">
              <w:t>20</w:t>
            </w:r>
            <w:r w:rsidR="00515107" w:rsidRPr="00A501DB">
              <w:rPr>
                <w:rFonts w:eastAsia="Malgun Gothic" w:hint="eastAsia"/>
                <w:lang w:eastAsia="ko-KR"/>
              </w:rPr>
              <w:t>20</w:t>
            </w:r>
          </w:p>
          <w:p w14:paraId="30758D48" w14:textId="77777777" w:rsidR="00D57F64" w:rsidRPr="00A501DB" w:rsidRDefault="00D57F64" w:rsidP="00D57F64">
            <w:pPr>
              <w:suppressAutoHyphens w:val="0"/>
              <w:spacing w:line="240" w:lineRule="exact"/>
            </w:pPr>
          </w:p>
          <w:p w14:paraId="28B9D701" w14:textId="77777777" w:rsidR="00D57F64" w:rsidRPr="00A501DB" w:rsidRDefault="00D57F64" w:rsidP="00D57F64">
            <w:pPr>
              <w:suppressAutoHyphens w:val="0"/>
              <w:spacing w:line="240" w:lineRule="exact"/>
            </w:pPr>
            <w:r w:rsidRPr="00A501DB">
              <w:t>Original: English</w:t>
            </w:r>
          </w:p>
        </w:tc>
      </w:tr>
    </w:tbl>
    <w:p w14:paraId="6F2B3CD5" w14:textId="77777777" w:rsidR="006D0865" w:rsidRPr="006500BA" w:rsidRDefault="006D086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8C9B46F" w14:textId="77777777" w:rsidR="006D0865" w:rsidRPr="006500BA" w:rsidRDefault="006D0865" w:rsidP="004858F5">
      <w:pPr>
        <w:spacing w:before="120"/>
        <w:rPr>
          <w:rFonts w:ascii="Helv" w:hAnsi="Helv" w:cs="Helv"/>
          <w:b/>
          <w:color w:val="000000"/>
        </w:rPr>
      </w:pPr>
      <w:r w:rsidRPr="006500BA">
        <w:rPr>
          <w:b/>
        </w:rPr>
        <w:t xml:space="preserve">Sub-Committee of Experts on the </w:t>
      </w:r>
      <w:r>
        <w:rPr>
          <w:b/>
        </w:rPr>
        <w:t>Transport of Dangerous Goods</w:t>
      </w:r>
    </w:p>
    <w:p w14:paraId="1D1BE64F" w14:textId="6AF86223" w:rsidR="006D0865" w:rsidRPr="003A1B34" w:rsidRDefault="00B330B3" w:rsidP="004858F5">
      <w:pPr>
        <w:spacing w:before="120"/>
        <w:rPr>
          <w:b/>
        </w:rPr>
      </w:pPr>
      <w:r w:rsidRPr="003A1B34">
        <w:rPr>
          <w:b/>
        </w:rPr>
        <w:t>Fifty-</w:t>
      </w:r>
      <w:r w:rsidR="006D6542" w:rsidRPr="003A1B34">
        <w:rPr>
          <w:rFonts w:eastAsia="Malgun Gothic" w:hint="eastAsia"/>
          <w:b/>
          <w:lang w:eastAsia="ko-KR"/>
        </w:rPr>
        <w:t>seventh</w:t>
      </w:r>
      <w:r w:rsidR="006D0865" w:rsidRPr="003A1B34">
        <w:rPr>
          <w:b/>
        </w:rPr>
        <w:t xml:space="preserve"> session</w:t>
      </w:r>
    </w:p>
    <w:p w14:paraId="683CC346" w14:textId="248D9B89" w:rsidR="00FC21DC" w:rsidRPr="003A1B34" w:rsidRDefault="00FC21DC" w:rsidP="00FC21DC">
      <w:pPr>
        <w:tabs>
          <w:tab w:val="left" w:pos="6361"/>
          <w:tab w:val="left" w:pos="6939"/>
        </w:tabs>
        <w:spacing w:before="40"/>
        <w:outlineLvl w:val="0"/>
        <w:rPr>
          <w:bCs/>
        </w:rPr>
      </w:pPr>
      <w:r w:rsidRPr="003A1B34">
        <w:t>Geneva, 29 June</w:t>
      </w:r>
      <w:r w:rsidR="00EF1BB9">
        <w:t>-</w:t>
      </w:r>
      <w:r w:rsidRPr="003A1B34">
        <w:t>8 July 2020</w:t>
      </w:r>
    </w:p>
    <w:p w14:paraId="291A7AE3" w14:textId="6A215B36" w:rsidR="006D0865" w:rsidRPr="003A1B34" w:rsidRDefault="006D0865" w:rsidP="004858F5">
      <w:r w:rsidRPr="003A1B34">
        <w:t xml:space="preserve">Item </w:t>
      </w:r>
      <w:r w:rsidR="003A1B34" w:rsidRPr="003A1B34">
        <w:t xml:space="preserve">3 </w:t>
      </w:r>
      <w:r w:rsidRPr="003A1B34">
        <w:t>of the provisional agenda</w:t>
      </w:r>
    </w:p>
    <w:p w14:paraId="77E91D0B" w14:textId="684AC168" w:rsidR="0035091E" w:rsidRPr="003A1B34" w:rsidRDefault="006C3036" w:rsidP="0035091E">
      <w:pPr>
        <w:rPr>
          <w:b/>
          <w:bCs/>
        </w:rPr>
      </w:pPr>
      <w:r>
        <w:rPr>
          <w:rFonts w:eastAsia="Malgun Gothic" w:hint="eastAsia"/>
          <w:b/>
          <w:bCs/>
          <w:lang w:eastAsia="ko-KR"/>
        </w:rPr>
        <w:t>Listing, classification and packing</w:t>
      </w:r>
    </w:p>
    <w:p w14:paraId="450C333F" w14:textId="11D66042" w:rsidR="0035091E" w:rsidRPr="00701805" w:rsidRDefault="0035091E" w:rsidP="0035091E">
      <w:pPr>
        <w:pStyle w:val="HChG"/>
        <w:rPr>
          <w:rFonts w:eastAsia="Malgun Gothic"/>
          <w:lang w:eastAsia="ko-KR"/>
        </w:rPr>
      </w:pPr>
      <w:r>
        <w:tab/>
      </w:r>
      <w:r>
        <w:tab/>
      </w:r>
      <w:r w:rsidR="00F520D0" w:rsidRPr="00701805">
        <w:rPr>
          <w:rFonts w:eastAsia="Malgun Gothic"/>
          <w:lang w:eastAsia="ko-KR"/>
        </w:rPr>
        <w:t>Clarification of control and emergency temperatures for formulations listed in packing instruction IBC520 and portable tank instruction T23</w:t>
      </w:r>
    </w:p>
    <w:p w14:paraId="0016C24B" w14:textId="6BB34939" w:rsidR="0035091E" w:rsidRPr="00701805" w:rsidRDefault="0035091E" w:rsidP="0035091E">
      <w:pPr>
        <w:pStyle w:val="H1G"/>
        <w:rPr>
          <w:lang w:eastAsia="ko-KR" w:bidi="en-GB"/>
        </w:rPr>
      </w:pPr>
      <w:r w:rsidRPr="00701805">
        <w:tab/>
      </w:r>
      <w:r w:rsidRPr="00701805">
        <w:tab/>
      </w:r>
      <w:r w:rsidR="00F520D0" w:rsidRPr="00701805">
        <w:rPr>
          <w:rFonts w:eastAsia="Malgun Gothic"/>
          <w:lang w:eastAsia="ko-KR"/>
        </w:rPr>
        <w:t>Transmitted by the expert from the Republic of Korea and the European Chemical Industry Council (CEFIC)</w:t>
      </w:r>
      <w:r w:rsidR="00A528E0">
        <w:rPr>
          <w:rStyle w:val="FootnoteReference"/>
        </w:rPr>
        <w:footnoteReference w:customMarkFollows="1" w:id="2"/>
        <w:t>*</w:t>
      </w:r>
    </w:p>
    <w:p w14:paraId="042878E3" w14:textId="165D96C5" w:rsidR="0035091E" w:rsidRPr="00701805" w:rsidRDefault="0035091E" w:rsidP="0035091E">
      <w:pPr>
        <w:pStyle w:val="HChG"/>
      </w:pPr>
      <w:r w:rsidRPr="00701805">
        <w:tab/>
      </w:r>
      <w:r w:rsidRPr="00701805">
        <w:tab/>
      </w:r>
      <w:r w:rsidR="00701805">
        <w:rPr>
          <w:rFonts w:eastAsia="Batang" w:hint="eastAsia"/>
          <w:lang w:eastAsia="ko-KR"/>
        </w:rPr>
        <w:t>Introduction</w:t>
      </w:r>
    </w:p>
    <w:p w14:paraId="1FB25471" w14:textId="2DC9D8A6" w:rsidR="0035091E" w:rsidRPr="00701805" w:rsidRDefault="0035091E" w:rsidP="0035091E">
      <w:pPr>
        <w:pStyle w:val="SingleTxtG"/>
        <w:rPr>
          <w:rFonts w:eastAsia="Batang"/>
          <w:lang w:eastAsia="ko-KR"/>
        </w:rPr>
      </w:pPr>
      <w:r w:rsidRPr="00701805">
        <w:t>1.</w:t>
      </w:r>
      <w:r w:rsidRPr="00701805">
        <w:tab/>
      </w:r>
      <w:r w:rsidR="00F520D0" w:rsidRPr="00701805">
        <w:rPr>
          <w:rFonts w:eastAsia="Malgun Gothic"/>
          <w:lang w:eastAsia="ko-KR"/>
        </w:rPr>
        <w:t xml:space="preserve">In </w:t>
      </w:r>
      <w:r w:rsidR="00EF1BB9">
        <w:rPr>
          <w:rFonts w:eastAsia="Malgun Gothic"/>
          <w:lang w:eastAsia="ko-KR"/>
        </w:rPr>
        <w:t>the twentieth revised edition of the</w:t>
      </w:r>
      <w:r w:rsidR="00F520D0" w:rsidRPr="00701805">
        <w:rPr>
          <w:rFonts w:eastAsia="Malgun Gothic"/>
          <w:lang w:eastAsia="ko-KR"/>
        </w:rPr>
        <w:t xml:space="preserve"> Model Regulations, a new </w:t>
      </w:r>
      <w:r w:rsidR="00F874FC">
        <w:rPr>
          <w:rFonts w:eastAsia="Malgun Gothic" w:hint="eastAsia"/>
          <w:lang w:eastAsia="ko-KR"/>
        </w:rPr>
        <w:t>provision</w:t>
      </w:r>
      <w:r w:rsidR="00F520D0" w:rsidRPr="00701805">
        <w:rPr>
          <w:rFonts w:eastAsia="Malgun Gothic"/>
          <w:lang w:eastAsia="ko-KR"/>
        </w:rPr>
        <w:t xml:space="preserve"> has been added in packing instruction IBC520 of 4.1.4.2 and portable tank instruction T23 of 4.2.5.2.6 as below:</w:t>
      </w:r>
    </w:p>
    <w:p w14:paraId="1B9D35F5" w14:textId="7D790F2D" w:rsidR="00A92C5D" w:rsidRDefault="00A92C5D" w:rsidP="00701805">
      <w:pPr>
        <w:pStyle w:val="SingleTxtG"/>
        <w:ind w:left="1701"/>
        <w:rPr>
          <w:rFonts w:eastAsia="Batang"/>
          <w:lang w:eastAsia="ko-KR"/>
        </w:rPr>
      </w:pPr>
      <w:r w:rsidRPr="00701805">
        <w:rPr>
          <w:rFonts w:eastAsia="Batang"/>
          <w:lang w:eastAsia="ko-KR"/>
        </w:rPr>
        <w:t>“</w:t>
      </w:r>
      <w:r w:rsidR="00F520D0" w:rsidRPr="00701805">
        <w:rPr>
          <w:rFonts w:eastAsia="Batang"/>
          <w:lang w:eastAsia="ko-KR"/>
        </w:rPr>
        <w:t>…The formulations listed below may also be transported packed in accordance with packing method OP8 of packing instruction P520 of 4.1.4.1, with the same control and emergency temperatures, if applicable.”</w:t>
      </w:r>
    </w:p>
    <w:p w14:paraId="0DAB1AFD" w14:textId="3492DA21" w:rsidR="00A92C5D" w:rsidRPr="00701805" w:rsidRDefault="00A92C5D" w:rsidP="00A92C5D">
      <w:pPr>
        <w:pStyle w:val="SingleTxtG"/>
        <w:rPr>
          <w:rFonts w:eastAsia="Batang"/>
          <w:lang w:eastAsia="ko-KR"/>
        </w:rPr>
      </w:pPr>
      <w:r w:rsidRPr="00701805">
        <w:rPr>
          <w:rFonts w:eastAsia="Malgun Gothic"/>
          <w:lang w:eastAsia="ko-KR"/>
        </w:rPr>
        <w:t>2.</w:t>
      </w:r>
      <w:r w:rsidRPr="00701805">
        <w:rPr>
          <w:rFonts w:eastAsia="Malgun Gothic"/>
          <w:lang w:eastAsia="ko-KR"/>
        </w:rPr>
        <w:tab/>
      </w:r>
      <w:r w:rsidR="00F520D0" w:rsidRPr="00701805">
        <w:rPr>
          <w:rFonts w:eastAsia="Malgun Gothic"/>
          <w:lang w:eastAsia="ko-KR"/>
        </w:rPr>
        <w:t>According to th</w:t>
      </w:r>
      <w:r w:rsidR="004012E6">
        <w:rPr>
          <w:rFonts w:eastAsia="Malgun Gothic"/>
          <w:lang w:eastAsia="ko-KR"/>
        </w:rPr>
        <w:t>is</w:t>
      </w:r>
      <w:r w:rsidR="00F520D0" w:rsidRPr="00701805">
        <w:rPr>
          <w:rFonts w:eastAsia="Malgun Gothic"/>
          <w:lang w:eastAsia="ko-KR"/>
        </w:rPr>
        <w:t xml:space="preserve"> </w:t>
      </w:r>
      <w:r w:rsidR="004012E6">
        <w:rPr>
          <w:rFonts w:eastAsia="Malgun Gothic"/>
          <w:lang w:eastAsia="ko-KR"/>
        </w:rPr>
        <w:t xml:space="preserve">new </w:t>
      </w:r>
      <w:r w:rsidR="00F520D0" w:rsidRPr="00701805">
        <w:rPr>
          <w:rFonts w:eastAsia="Malgun Gothic"/>
          <w:lang w:eastAsia="ko-KR"/>
        </w:rPr>
        <w:t>provision, the formulations that are not listed in 2.4.2.3.2.3 (</w:t>
      </w:r>
      <w:r w:rsidR="00F520D0" w:rsidRPr="00701805">
        <w:rPr>
          <w:rFonts w:eastAsia="Malgun Gothic"/>
          <w:i/>
          <w:lang w:eastAsia="ko-KR"/>
        </w:rPr>
        <w:t xml:space="preserve">List of currently assigned self-reactive substances in </w:t>
      </w:r>
      <w:proofErr w:type="spellStart"/>
      <w:r w:rsidR="00F520D0" w:rsidRPr="00701805">
        <w:rPr>
          <w:rFonts w:eastAsia="Malgun Gothic"/>
          <w:i/>
          <w:lang w:eastAsia="ko-KR"/>
        </w:rPr>
        <w:t>packagings</w:t>
      </w:r>
      <w:proofErr w:type="spellEnd"/>
      <w:r w:rsidR="00F520D0" w:rsidRPr="00701805">
        <w:rPr>
          <w:rFonts w:eastAsia="Malgun Gothic"/>
          <w:i/>
          <w:lang w:eastAsia="ko-KR"/>
        </w:rPr>
        <w:t xml:space="preserve">) </w:t>
      </w:r>
      <w:r w:rsidR="00F520D0" w:rsidRPr="00701805">
        <w:rPr>
          <w:rFonts w:eastAsia="Malgun Gothic"/>
          <w:lang w:eastAsia="ko-KR"/>
        </w:rPr>
        <w:t xml:space="preserve">and 2.5.3.2.4 </w:t>
      </w:r>
      <w:r w:rsidR="00F520D0" w:rsidRPr="00701805">
        <w:rPr>
          <w:rFonts w:eastAsia="Malgun Gothic"/>
          <w:i/>
          <w:lang w:eastAsia="ko-KR"/>
        </w:rPr>
        <w:t xml:space="preserve">(List of currently assigned organic peroxides in </w:t>
      </w:r>
      <w:proofErr w:type="spellStart"/>
      <w:r w:rsidR="00F520D0" w:rsidRPr="00701805">
        <w:rPr>
          <w:rFonts w:eastAsia="Malgun Gothic"/>
          <w:i/>
          <w:lang w:eastAsia="ko-KR"/>
        </w:rPr>
        <w:t>packagings</w:t>
      </w:r>
      <w:proofErr w:type="spellEnd"/>
      <w:r w:rsidR="00F520D0" w:rsidRPr="00701805">
        <w:rPr>
          <w:rFonts w:eastAsia="Malgun Gothic"/>
          <w:i/>
          <w:lang w:eastAsia="ko-KR"/>
        </w:rPr>
        <w:t>)</w:t>
      </w:r>
      <w:r w:rsidR="00F520D0" w:rsidRPr="00701805">
        <w:rPr>
          <w:rFonts w:eastAsia="Malgun Gothic"/>
          <w:lang w:eastAsia="ko-KR"/>
        </w:rPr>
        <w:t xml:space="preserve">, but listed in IBC520 or T23, can be transported in </w:t>
      </w:r>
      <w:proofErr w:type="spellStart"/>
      <w:r w:rsidR="00F520D0" w:rsidRPr="00701805">
        <w:rPr>
          <w:rFonts w:eastAsia="Malgun Gothic"/>
          <w:lang w:eastAsia="ko-KR"/>
        </w:rPr>
        <w:t>packagings</w:t>
      </w:r>
      <w:proofErr w:type="spellEnd"/>
      <w:r w:rsidR="00F520D0" w:rsidRPr="00701805">
        <w:rPr>
          <w:rFonts w:eastAsia="Malgun Gothic"/>
          <w:lang w:eastAsia="ko-KR"/>
        </w:rPr>
        <w:t xml:space="preserve"> with the same control and emergency temperatures.</w:t>
      </w:r>
    </w:p>
    <w:p w14:paraId="5883039D" w14:textId="416DC163" w:rsidR="001D605D" w:rsidRPr="00701805" w:rsidRDefault="001D605D" w:rsidP="001D605D">
      <w:pPr>
        <w:pStyle w:val="HChG"/>
      </w:pPr>
      <w:r w:rsidRPr="00701805">
        <w:tab/>
      </w:r>
      <w:r w:rsidRPr="00701805">
        <w:tab/>
      </w:r>
      <w:r>
        <w:rPr>
          <w:rFonts w:eastAsia="Batang" w:hint="eastAsia"/>
          <w:lang w:eastAsia="ko-KR"/>
        </w:rPr>
        <w:t>Discussion</w:t>
      </w:r>
    </w:p>
    <w:p w14:paraId="13DE2906" w14:textId="49B2FD59" w:rsidR="00A92C5D" w:rsidRPr="00701805" w:rsidRDefault="00A92C5D" w:rsidP="00A92C5D">
      <w:pPr>
        <w:pStyle w:val="SingleTxtG"/>
        <w:rPr>
          <w:rFonts w:eastAsia="Batang"/>
          <w:lang w:eastAsia="ko-KR"/>
        </w:rPr>
      </w:pPr>
      <w:r w:rsidRPr="00701805">
        <w:rPr>
          <w:rFonts w:eastAsia="Malgun Gothic"/>
          <w:lang w:eastAsia="ko-KR"/>
        </w:rPr>
        <w:t>3.</w:t>
      </w:r>
      <w:r w:rsidRPr="00701805">
        <w:rPr>
          <w:rFonts w:eastAsia="Malgun Gothic"/>
          <w:lang w:eastAsia="ko-KR"/>
        </w:rPr>
        <w:tab/>
      </w:r>
      <w:r w:rsidR="00F520D0" w:rsidRPr="00701805">
        <w:rPr>
          <w:lang w:eastAsia="ko-KR"/>
        </w:rPr>
        <w:t xml:space="preserve">Some formulations of UN 3119 ORGANIC PEROXIDE TYPE F, LIQUID, TEMPERATURE CONTROLLED, listed in IBC520 or T23, are also indicated in 2.4.2.3.2.3 or 2.5.3.2.4. In general, each provision indicates different control and emergency temperatures, and a more stringent means of temperature control is applied to intermediate bulk containers (IBCs) and portable tanks, compared to the temperature control applied to </w:t>
      </w:r>
      <w:proofErr w:type="spellStart"/>
      <w:r w:rsidR="00F520D0" w:rsidRPr="00701805">
        <w:rPr>
          <w:lang w:eastAsia="ko-KR"/>
        </w:rPr>
        <w:t>packagings</w:t>
      </w:r>
      <w:proofErr w:type="spellEnd"/>
      <w:r w:rsidR="00F520D0" w:rsidRPr="00701805">
        <w:rPr>
          <w:lang w:eastAsia="ko-KR"/>
        </w:rPr>
        <w:t>.</w:t>
      </w:r>
      <w:r w:rsidR="00083B54">
        <w:rPr>
          <w:lang w:eastAsia="ko-KR"/>
        </w:rPr>
        <w:t xml:space="preserve"> </w:t>
      </w:r>
    </w:p>
    <w:p w14:paraId="40075324" w14:textId="77777777" w:rsidR="00EF1BB9" w:rsidRDefault="00EF1BB9">
      <w:pPr>
        <w:suppressAutoHyphens w:val="0"/>
        <w:kinsoku/>
        <w:overflowPunct/>
        <w:autoSpaceDE/>
        <w:autoSpaceDN/>
        <w:adjustRightInd/>
        <w:snapToGrid/>
        <w:spacing w:after="200" w:line="276" w:lineRule="auto"/>
        <w:rPr>
          <w:rFonts w:eastAsia="Batang"/>
          <w:lang w:eastAsia="ko-KR"/>
        </w:rPr>
      </w:pPr>
      <w:r>
        <w:rPr>
          <w:rFonts w:eastAsia="Batang"/>
          <w:lang w:eastAsia="ko-KR"/>
        </w:rPr>
        <w:br w:type="page"/>
      </w:r>
    </w:p>
    <w:p w14:paraId="67CD6DD7" w14:textId="453084B6" w:rsidR="00083B54" w:rsidRDefault="00A92C5D" w:rsidP="00A92C5D">
      <w:pPr>
        <w:pStyle w:val="SingleTxtG"/>
        <w:rPr>
          <w:rFonts w:eastAsia="Batang"/>
          <w:lang w:eastAsia="ko-KR"/>
        </w:rPr>
      </w:pPr>
      <w:r w:rsidRPr="00701805">
        <w:rPr>
          <w:rFonts w:eastAsia="Batang"/>
          <w:lang w:eastAsia="ko-KR"/>
        </w:rPr>
        <w:lastRenderedPageBreak/>
        <w:t>4.</w:t>
      </w:r>
      <w:r w:rsidRPr="00701805">
        <w:rPr>
          <w:rFonts w:eastAsia="Batang"/>
          <w:lang w:eastAsia="ko-KR"/>
        </w:rPr>
        <w:tab/>
      </w:r>
      <w:r w:rsidR="002035EA">
        <w:rPr>
          <w:rFonts w:eastAsia="Batang"/>
          <w:lang w:eastAsia="ko-KR"/>
        </w:rPr>
        <w:t>S</w:t>
      </w:r>
      <w:r w:rsidR="00083B54">
        <w:rPr>
          <w:rFonts w:eastAsia="Batang"/>
          <w:lang w:eastAsia="ko-KR"/>
        </w:rPr>
        <w:t xml:space="preserve">ome formulations are </w:t>
      </w:r>
      <w:r w:rsidR="00384614">
        <w:rPr>
          <w:rFonts w:eastAsia="Batang"/>
          <w:lang w:eastAsia="ko-KR"/>
        </w:rPr>
        <w:t xml:space="preserve">included </w:t>
      </w:r>
      <w:r w:rsidR="00083B54">
        <w:rPr>
          <w:rFonts w:eastAsia="Batang"/>
          <w:lang w:eastAsia="ko-KR"/>
        </w:rPr>
        <w:t xml:space="preserve">in the list for </w:t>
      </w:r>
      <w:proofErr w:type="spellStart"/>
      <w:r w:rsidR="00083B54">
        <w:rPr>
          <w:rFonts w:eastAsia="Batang"/>
          <w:lang w:eastAsia="ko-KR"/>
        </w:rPr>
        <w:t>packagings</w:t>
      </w:r>
      <w:proofErr w:type="spellEnd"/>
      <w:r w:rsidR="00083B54">
        <w:rPr>
          <w:rFonts w:eastAsia="Batang"/>
          <w:lang w:eastAsia="ko-KR"/>
        </w:rPr>
        <w:t xml:space="preserve"> (</w:t>
      </w:r>
      <w:bookmarkStart w:id="1" w:name="_Hlk36473182"/>
      <w:r w:rsidR="00083B54">
        <w:rPr>
          <w:rFonts w:eastAsia="Malgun Gothic" w:hint="eastAsia"/>
          <w:lang w:eastAsia="ko-KR"/>
        </w:rPr>
        <w:t xml:space="preserve">2.4.2.3.2.3 </w:t>
      </w:r>
      <w:bookmarkEnd w:id="1"/>
      <w:r w:rsidR="00083B54">
        <w:rPr>
          <w:rFonts w:eastAsia="Malgun Gothic" w:hint="eastAsia"/>
          <w:lang w:eastAsia="ko-KR"/>
        </w:rPr>
        <w:t>and 2.5.3.2.4</w:t>
      </w:r>
      <w:r w:rsidR="00083B54">
        <w:rPr>
          <w:rFonts w:eastAsia="Malgun Gothic"/>
          <w:lang w:eastAsia="ko-KR"/>
        </w:rPr>
        <w:t>)</w:t>
      </w:r>
      <w:r w:rsidR="00083B54">
        <w:rPr>
          <w:rFonts w:eastAsia="Batang"/>
          <w:lang w:eastAsia="ko-KR"/>
        </w:rPr>
        <w:t xml:space="preserve">, IBC520 and tank instruction T23, and other formulations are </w:t>
      </w:r>
      <w:r w:rsidR="00083B54" w:rsidRPr="00083B54">
        <w:rPr>
          <w:rFonts w:eastAsia="Batang"/>
          <w:b/>
          <w:lang w:eastAsia="ko-KR"/>
        </w:rPr>
        <w:t>only</w:t>
      </w:r>
      <w:r w:rsidR="00083B54">
        <w:rPr>
          <w:rFonts w:eastAsia="Batang"/>
          <w:lang w:eastAsia="ko-KR"/>
        </w:rPr>
        <w:t xml:space="preserve"> listed in either IBC520 or T23</w:t>
      </w:r>
      <w:r w:rsidR="002035EA">
        <w:rPr>
          <w:rFonts w:eastAsia="Batang"/>
          <w:lang w:eastAsia="ko-KR"/>
        </w:rPr>
        <w:t>. T</w:t>
      </w:r>
      <w:r w:rsidR="00083B54">
        <w:rPr>
          <w:rFonts w:eastAsia="Batang"/>
          <w:lang w:eastAsia="ko-KR"/>
        </w:rPr>
        <w:t>his may lead to confusion</w:t>
      </w:r>
      <w:r w:rsidR="00A501DB">
        <w:rPr>
          <w:rFonts w:eastAsia="Batang"/>
          <w:lang w:eastAsia="ko-KR"/>
        </w:rPr>
        <w:t xml:space="preserve"> in the selection of the control and emergency temperatures when applicable (although always at the safe side as the confusion may lead to the selection of a lower control and emergency temperature of the listed formulation in </w:t>
      </w:r>
      <w:r w:rsidR="00A501DB" w:rsidRPr="006C3036">
        <w:rPr>
          <w:rFonts w:eastAsia="Batang"/>
          <w:lang w:eastAsia="ko-KR"/>
        </w:rPr>
        <w:t>IBC5</w:t>
      </w:r>
      <w:r w:rsidR="00024391" w:rsidRPr="006C3036">
        <w:rPr>
          <w:rFonts w:eastAsia="Batang" w:hint="eastAsia"/>
          <w:lang w:eastAsia="ko-KR"/>
        </w:rPr>
        <w:t>20</w:t>
      </w:r>
      <w:r w:rsidR="00A501DB" w:rsidRPr="006C3036">
        <w:rPr>
          <w:rFonts w:eastAsia="Batang"/>
          <w:lang w:eastAsia="ko-KR"/>
        </w:rPr>
        <w:t xml:space="preserve"> or T23</w:t>
      </w:r>
      <w:r w:rsidR="00A501DB">
        <w:rPr>
          <w:rFonts w:eastAsia="Batang"/>
          <w:lang w:eastAsia="ko-KR"/>
        </w:rPr>
        <w:t>).</w:t>
      </w:r>
      <w:r w:rsidR="00083B54">
        <w:rPr>
          <w:rFonts w:eastAsia="Batang"/>
          <w:lang w:eastAsia="ko-KR"/>
        </w:rPr>
        <w:t xml:space="preserve"> </w:t>
      </w:r>
      <w:r w:rsidR="002035EA">
        <w:rPr>
          <w:rFonts w:eastAsia="Batang"/>
          <w:lang w:eastAsia="ko-KR"/>
        </w:rPr>
        <w:t>For</w:t>
      </w:r>
      <w:r w:rsidR="00A501DB">
        <w:rPr>
          <w:rFonts w:eastAsia="Batang"/>
          <w:lang w:eastAsia="ko-KR"/>
        </w:rPr>
        <w:t xml:space="preserve"> current examples, </w:t>
      </w:r>
      <w:r w:rsidR="002035EA">
        <w:rPr>
          <w:rFonts w:eastAsia="Batang"/>
          <w:lang w:eastAsia="ko-KR"/>
        </w:rPr>
        <w:t>see a</w:t>
      </w:r>
      <w:r w:rsidR="00A501DB">
        <w:rPr>
          <w:rFonts w:eastAsia="Batang"/>
          <w:lang w:eastAsia="ko-KR"/>
        </w:rPr>
        <w:t>nnex.</w:t>
      </w:r>
    </w:p>
    <w:p w14:paraId="63849DA5" w14:textId="102A0764" w:rsidR="00A501DB" w:rsidRDefault="00F520D0" w:rsidP="00A92C5D">
      <w:pPr>
        <w:pStyle w:val="SingleTxtG"/>
        <w:rPr>
          <w:rFonts w:eastAsia="Malgun Gothic"/>
          <w:lang w:eastAsia="ko-KR"/>
        </w:rPr>
      </w:pPr>
      <w:r w:rsidRPr="00701805">
        <w:rPr>
          <w:rFonts w:eastAsia="Malgun Gothic"/>
          <w:lang w:eastAsia="ko-KR"/>
        </w:rPr>
        <w:t>5.</w:t>
      </w:r>
      <w:r w:rsidRPr="00701805">
        <w:rPr>
          <w:rFonts w:eastAsia="Malgun Gothic"/>
          <w:lang w:eastAsia="ko-KR"/>
        </w:rPr>
        <w:tab/>
      </w:r>
      <w:r w:rsidR="00A501DB">
        <w:rPr>
          <w:rFonts w:eastAsia="Malgun Gothic"/>
          <w:lang w:eastAsia="ko-KR"/>
        </w:rPr>
        <w:t>To avoid this confusion the Republic of Korea and CEFIC propose the following.</w:t>
      </w:r>
    </w:p>
    <w:p w14:paraId="7F10180A" w14:textId="4B506EA8" w:rsidR="00A92C5D" w:rsidRPr="00701805" w:rsidRDefault="00EF1BB9" w:rsidP="00EF1BB9">
      <w:pPr>
        <w:pStyle w:val="HChG"/>
        <w:rPr>
          <w:lang w:eastAsia="ko-KR"/>
        </w:rPr>
      </w:pPr>
      <w:r>
        <w:rPr>
          <w:lang w:eastAsia="ko-KR"/>
        </w:rPr>
        <w:tab/>
      </w:r>
      <w:r>
        <w:rPr>
          <w:lang w:eastAsia="ko-KR"/>
        </w:rPr>
        <w:tab/>
      </w:r>
      <w:r w:rsidR="00F520D0" w:rsidRPr="00701805">
        <w:rPr>
          <w:lang w:eastAsia="ko-KR"/>
        </w:rPr>
        <w:t>Proposal</w:t>
      </w:r>
    </w:p>
    <w:p w14:paraId="7F50BECE" w14:textId="6BEB4DAB" w:rsidR="00A92C5D" w:rsidRPr="00701805" w:rsidRDefault="002E16B6" w:rsidP="00A92C5D">
      <w:pPr>
        <w:pStyle w:val="SingleTxtG"/>
        <w:rPr>
          <w:rFonts w:eastAsia="Batang"/>
          <w:lang w:eastAsia="ko-KR"/>
        </w:rPr>
      </w:pPr>
      <w:r>
        <w:rPr>
          <w:rFonts w:eastAsia="Batang" w:hint="eastAsia"/>
          <w:lang w:eastAsia="ko-KR"/>
        </w:rPr>
        <w:t>6</w:t>
      </w:r>
      <w:r w:rsidR="00A92C5D" w:rsidRPr="00701805">
        <w:rPr>
          <w:rFonts w:eastAsia="Batang"/>
          <w:lang w:eastAsia="ko-KR"/>
        </w:rPr>
        <w:t>.</w:t>
      </w:r>
      <w:r w:rsidR="00A92C5D" w:rsidRPr="00701805">
        <w:rPr>
          <w:rFonts w:eastAsia="Batang"/>
          <w:lang w:eastAsia="ko-KR"/>
        </w:rPr>
        <w:tab/>
      </w:r>
      <w:r w:rsidR="00205F7A">
        <w:rPr>
          <w:rFonts w:eastAsia="Batang" w:hint="eastAsia"/>
          <w:lang w:eastAsia="ko-KR"/>
        </w:rPr>
        <w:t xml:space="preserve">Amend </w:t>
      </w:r>
      <w:r w:rsidR="00007C84">
        <w:rPr>
          <w:rFonts w:eastAsia="Batang" w:hint="eastAsia"/>
          <w:lang w:eastAsia="ko-KR"/>
        </w:rPr>
        <w:t>2.4.2.3.2.3, 2.5.3.2.4, IBC520 of 4.1.4.2 and T23 of 4.2.5.2.6 t</w:t>
      </w:r>
      <w:r w:rsidR="00205F7A">
        <w:rPr>
          <w:rFonts w:eastAsia="Batang" w:hint="eastAsia"/>
          <w:lang w:eastAsia="ko-KR"/>
        </w:rPr>
        <w:t xml:space="preserve">o read as </w:t>
      </w:r>
      <w:r w:rsidR="00E64595">
        <w:rPr>
          <w:rFonts w:eastAsia="Batang" w:hint="eastAsia"/>
          <w:lang w:eastAsia="ko-KR"/>
        </w:rPr>
        <w:t xml:space="preserve">follows </w:t>
      </w:r>
      <w:r w:rsidR="0032761A">
        <w:rPr>
          <w:rFonts w:eastAsia="Batang" w:hint="eastAsia"/>
          <w:lang w:eastAsia="ko-KR"/>
        </w:rPr>
        <w:t>(</w:t>
      </w:r>
      <w:r w:rsidR="00205F7A">
        <w:rPr>
          <w:rFonts w:eastAsia="Batang" w:hint="eastAsia"/>
          <w:lang w:eastAsia="ko-KR"/>
        </w:rPr>
        <w:t xml:space="preserve">new </w:t>
      </w:r>
      <w:r w:rsidR="0032761A">
        <w:rPr>
          <w:rFonts w:eastAsia="Batang" w:hint="eastAsia"/>
          <w:lang w:eastAsia="ko-KR"/>
        </w:rPr>
        <w:t>text</w:t>
      </w:r>
      <w:r w:rsidR="002035EA">
        <w:rPr>
          <w:rFonts w:eastAsia="Batang"/>
          <w:lang w:eastAsia="ko-KR"/>
        </w:rPr>
        <w:t xml:space="preserve"> is shown</w:t>
      </w:r>
      <w:r w:rsidR="0032761A">
        <w:rPr>
          <w:rFonts w:eastAsia="Batang" w:hint="eastAsia"/>
          <w:lang w:eastAsia="ko-KR"/>
        </w:rPr>
        <w:t xml:space="preserve"> </w:t>
      </w:r>
      <w:r w:rsidR="004012E6">
        <w:rPr>
          <w:rFonts w:eastAsia="Batang"/>
          <w:lang w:eastAsia="ko-KR"/>
        </w:rPr>
        <w:t xml:space="preserve">in </w:t>
      </w:r>
      <w:r w:rsidR="00007C84">
        <w:rPr>
          <w:rFonts w:eastAsia="Batang" w:hint="eastAsia"/>
          <w:b/>
          <w:lang w:eastAsia="ko-KR"/>
        </w:rPr>
        <w:t>bold</w:t>
      </w:r>
      <w:r w:rsidR="0032761A">
        <w:rPr>
          <w:rFonts w:eastAsia="Batang" w:hint="eastAsia"/>
          <w:lang w:eastAsia="ko-KR"/>
        </w:rPr>
        <w:t>)</w:t>
      </w:r>
      <w:r w:rsidR="000D4079" w:rsidRPr="00701805">
        <w:rPr>
          <w:lang w:eastAsia="ko-KR"/>
        </w:rPr>
        <w:t>:</w:t>
      </w:r>
    </w:p>
    <w:p w14:paraId="1C2A0DE9" w14:textId="3D0F9A4C" w:rsidR="00067EEB" w:rsidRDefault="00205F7A" w:rsidP="00067EEB">
      <w:pPr>
        <w:pStyle w:val="SingleTxtG"/>
        <w:adjustRightInd/>
        <w:ind w:left="1701"/>
        <w:rPr>
          <w:rFonts w:eastAsia="Malgun Gothic"/>
          <w:lang w:eastAsia="ko-KR"/>
        </w:rPr>
      </w:pPr>
      <w:r>
        <w:rPr>
          <w:rFonts w:eastAsia="Malgun Gothic" w:hint="eastAsia"/>
          <w:lang w:eastAsia="ko-KR"/>
        </w:rPr>
        <w:t>(a)</w:t>
      </w:r>
      <w:r w:rsidR="002E16B6">
        <w:rPr>
          <w:rFonts w:eastAsia="Malgun Gothic" w:hint="eastAsia"/>
          <w:lang w:eastAsia="ko-KR"/>
        </w:rPr>
        <w:tab/>
      </w:r>
      <w:r w:rsidR="002035EA">
        <w:rPr>
          <w:rFonts w:eastAsia="Malgun Gothic"/>
          <w:lang w:eastAsia="ko-KR"/>
        </w:rPr>
        <w:t>L</w:t>
      </w:r>
      <w:r>
        <w:rPr>
          <w:rFonts w:eastAsia="Malgun Gothic" w:hint="eastAsia"/>
          <w:lang w:eastAsia="ko-KR"/>
        </w:rPr>
        <w:t>ast sentence of 2.4.2.3.2.3 and 2.5.3.2.4</w:t>
      </w:r>
      <w:r w:rsidR="002035EA">
        <w:rPr>
          <w:rFonts w:eastAsia="Malgun Gothic"/>
          <w:lang w:eastAsia="ko-KR"/>
        </w:rPr>
        <w:t>:</w:t>
      </w:r>
      <w:r>
        <w:rPr>
          <w:rFonts w:eastAsia="Malgun Gothic" w:hint="eastAsia"/>
          <w:lang w:eastAsia="ko-KR"/>
        </w:rPr>
        <w:t xml:space="preserve"> </w:t>
      </w:r>
    </w:p>
    <w:p w14:paraId="4D666040" w14:textId="258D24DC" w:rsidR="00597AB8" w:rsidRPr="00067EEB" w:rsidRDefault="000D4079" w:rsidP="00DF34AC">
      <w:pPr>
        <w:pStyle w:val="SingleTxtG"/>
        <w:adjustRightInd/>
        <w:ind w:left="2268"/>
        <w:rPr>
          <w:rFonts w:eastAsia="Malgun Gothic"/>
          <w:lang w:eastAsia="ko-KR"/>
        </w:rPr>
      </w:pPr>
      <w:r w:rsidRPr="00701805">
        <w:rPr>
          <w:lang w:eastAsia="ko-KR"/>
        </w:rPr>
        <w:t>“</w:t>
      </w:r>
      <w:r w:rsidRPr="00E64595">
        <w:rPr>
          <w:rFonts w:eastAsia="Malgun Gothic"/>
          <w:color w:val="000000" w:themeColor="text1"/>
          <w:lang w:eastAsia="ko-KR"/>
        </w:rPr>
        <w:t xml:space="preserve">The formulations </w:t>
      </w:r>
      <w:r w:rsidRPr="00007C84">
        <w:rPr>
          <w:rFonts w:eastAsia="Malgun Gothic"/>
          <w:b/>
          <w:color w:val="000000" w:themeColor="text1"/>
          <w:lang w:eastAsia="ko-KR"/>
        </w:rPr>
        <w:t>not listed in this provision but</w:t>
      </w:r>
      <w:r w:rsidRPr="00E64595">
        <w:rPr>
          <w:rFonts w:eastAsia="Malgun Gothic"/>
          <w:color w:val="000000" w:themeColor="text1"/>
          <w:lang w:eastAsia="ko-KR"/>
        </w:rPr>
        <w:t xml:space="preserve"> listed in packing instruction IBC520 of 4.1.4.2 and</w:t>
      </w:r>
      <w:r w:rsidR="00E64595">
        <w:rPr>
          <w:rFonts w:eastAsia="Malgun Gothic" w:hint="eastAsia"/>
          <w:color w:val="000000" w:themeColor="text1"/>
          <w:lang w:eastAsia="ko-KR"/>
        </w:rPr>
        <w:t xml:space="preserve"> </w:t>
      </w:r>
      <w:r w:rsidR="00E64595" w:rsidRPr="00E64595">
        <w:rPr>
          <w:rFonts w:eastAsia="Malgun Gothic" w:hint="eastAsia"/>
          <w:color w:val="000000" w:themeColor="text1"/>
          <w:lang w:eastAsia="ko-KR"/>
        </w:rPr>
        <w:t>in</w:t>
      </w:r>
      <w:r w:rsidRPr="00E64595">
        <w:rPr>
          <w:rFonts w:eastAsia="Malgun Gothic"/>
          <w:color w:val="000000" w:themeColor="text1"/>
          <w:lang w:eastAsia="ko-KR"/>
        </w:rPr>
        <w:t xml:space="preserve"> portable tank instruction T23 of 4.2.5.2.6 </w:t>
      </w:r>
      <w:r w:rsidRPr="00701805">
        <w:rPr>
          <w:lang w:eastAsia="ko-KR"/>
        </w:rPr>
        <w:t xml:space="preserve">may </w:t>
      </w:r>
      <w:r w:rsidR="00E64595">
        <w:rPr>
          <w:rFonts w:eastAsia="Malgun Gothic" w:hint="eastAsia"/>
          <w:lang w:eastAsia="ko-KR"/>
        </w:rPr>
        <w:t xml:space="preserve">also </w:t>
      </w:r>
      <w:r w:rsidRPr="00701805">
        <w:rPr>
          <w:lang w:eastAsia="ko-KR"/>
        </w:rPr>
        <w:t>be transported packed in accordance with pack</w:t>
      </w:r>
      <w:r w:rsidR="00E64595">
        <w:rPr>
          <w:rFonts w:eastAsia="Malgun Gothic" w:hint="eastAsia"/>
          <w:lang w:eastAsia="ko-KR"/>
        </w:rPr>
        <w:t>i</w:t>
      </w:r>
      <w:r w:rsidRPr="00701805">
        <w:rPr>
          <w:lang w:eastAsia="ko-KR"/>
        </w:rPr>
        <w:t>ng method OP8 of packing instruction P520</w:t>
      </w:r>
      <w:r w:rsidR="00E64595">
        <w:rPr>
          <w:rFonts w:eastAsia="Malgun Gothic" w:hint="eastAsia"/>
          <w:lang w:eastAsia="ko-KR"/>
        </w:rPr>
        <w:t xml:space="preserve"> of 4.1.4.1, with the same control and emergency</w:t>
      </w:r>
      <w:r w:rsidR="002035EA">
        <w:rPr>
          <w:rFonts w:eastAsia="Malgun Gothic"/>
          <w:lang w:eastAsia="ko-KR"/>
        </w:rPr>
        <w:t xml:space="preserve"> temperatures</w:t>
      </w:r>
      <w:r w:rsidR="00E64595">
        <w:rPr>
          <w:rFonts w:eastAsia="Malgun Gothic" w:hint="eastAsia"/>
          <w:lang w:eastAsia="ko-KR"/>
        </w:rPr>
        <w:t>, if applicable.</w:t>
      </w:r>
      <w:r w:rsidR="00E64595">
        <w:rPr>
          <w:rFonts w:eastAsia="Malgun Gothic"/>
          <w:lang w:eastAsia="ko-KR"/>
        </w:rPr>
        <w:t>”</w:t>
      </w:r>
    </w:p>
    <w:p w14:paraId="236017D8" w14:textId="500140A1" w:rsidR="00DE7811" w:rsidRPr="00701805" w:rsidRDefault="00DF34AC" w:rsidP="00E64595">
      <w:pPr>
        <w:pStyle w:val="SingleTxtG"/>
        <w:adjustRightInd/>
        <w:rPr>
          <w:rFonts w:eastAsia="Batang"/>
          <w:lang w:eastAsia="ko-KR"/>
        </w:rPr>
      </w:pPr>
      <w:r>
        <w:rPr>
          <w:rFonts w:eastAsia="Batang"/>
          <w:lang w:eastAsia="ko-KR"/>
        </w:rPr>
        <w:tab/>
      </w:r>
      <w:r w:rsidR="00575BBA" w:rsidRPr="00701805">
        <w:rPr>
          <w:rFonts w:eastAsia="Batang"/>
          <w:lang w:eastAsia="ko-KR"/>
        </w:rPr>
        <w:tab/>
      </w:r>
      <w:r w:rsidR="00205F7A">
        <w:rPr>
          <w:rFonts w:eastAsia="Batang" w:hint="eastAsia"/>
          <w:lang w:eastAsia="ko-KR"/>
        </w:rPr>
        <w:t>(b)</w:t>
      </w:r>
      <w:r w:rsidR="002E16B6">
        <w:rPr>
          <w:rFonts w:eastAsia="Batang" w:hint="eastAsia"/>
          <w:lang w:eastAsia="ko-KR"/>
        </w:rPr>
        <w:tab/>
      </w:r>
      <w:r w:rsidR="002035EA">
        <w:rPr>
          <w:rFonts w:eastAsia="Batang"/>
          <w:lang w:eastAsia="ko-KR"/>
        </w:rPr>
        <w:t>S</w:t>
      </w:r>
      <w:r w:rsidR="00E64595">
        <w:rPr>
          <w:rFonts w:eastAsia="Batang" w:hint="eastAsia"/>
          <w:lang w:eastAsia="ko-KR"/>
        </w:rPr>
        <w:t xml:space="preserve">econd sentence in the third row of IBC520 </w:t>
      </w:r>
      <w:r w:rsidR="00FF10A8">
        <w:rPr>
          <w:rFonts w:eastAsia="Batang" w:hint="eastAsia"/>
          <w:lang w:eastAsia="ko-KR"/>
        </w:rPr>
        <w:t>of 4.1.4.2</w:t>
      </w:r>
      <w:r w:rsidR="002035EA">
        <w:rPr>
          <w:rFonts w:eastAsia="Batang"/>
          <w:lang w:eastAsia="ko-KR"/>
        </w:rPr>
        <w:t>:</w:t>
      </w:r>
      <w:r w:rsidR="00FF10A8">
        <w:rPr>
          <w:rFonts w:eastAsia="Batang" w:hint="eastAsia"/>
          <w:lang w:eastAsia="ko-KR"/>
        </w:rPr>
        <w:t xml:space="preserve"> </w:t>
      </w:r>
    </w:p>
    <w:p w14:paraId="0F3BB44B" w14:textId="5B19335C" w:rsidR="000D4079" w:rsidRPr="00701805" w:rsidRDefault="000D4079" w:rsidP="00DF34AC">
      <w:pPr>
        <w:pStyle w:val="SingleTxtG"/>
        <w:adjustRightInd/>
        <w:ind w:left="2268"/>
        <w:rPr>
          <w:lang w:eastAsia="ko-KR"/>
        </w:rPr>
      </w:pPr>
      <w:r w:rsidRPr="00701805">
        <w:rPr>
          <w:lang w:eastAsia="ko-KR"/>
        </w:rPr>
        <w:t>“</w:t>
      </w:r>
      <w:r w:rsidR="00FF10A8">
        <w:rPr>
          <w:rFonts w:eastAsia="Malgun Gothic"/>
          <w:lang w:eastAsia="ko-KR"/>
        </w:rPr>
        <w:t>…</w:t>
      </w:r>
      <w:r w:rsidR="00EF1BB9">
        <w:rPr>
          <w:rFonts w:eastAsia="Malgun Gothic"/>
          <w:lang w:eastAsia="ko-KR"/>
        </w:rPr>
        <w:t xml:space="preserve"> </w:t>
      </w:r>
      <w:r w:rsidRPr="00FF10A8">
        <w:rPr>
          <w:rFonts w:eastAsia="Malgun Gothic"/>
          <w:color w:val="000000" w:themeColor="text1"/>
          <w:lang w:eastAsia="ko-KR"/>
        </w:rPr>
        <w:t xml:space="preserve">The formulations </w:t>
      </w:r>
      <w:r w:rsidRPr="00007C84">
        <w:rPr>
          <w:rFonts w:eastAsia="Malgun Gothic"/>
          <w:b/>
          <w:color w:val="000000" w:themeColor="text1"/>
          <w:lang w:eastAsia="ko-KR"/>
        </w:rPr>
        <w:t>not listed in 2.4.2.3.2.3 and 2.5.3.2.4 but</w:t>
      </w:r>
      <w:r w:rsidRPr="00FF10A8">
        <w:rPr>
          <w:rFonts w:eastAsia="Malgun Gothic"/>
          <w:color w:val="000000" w:themeColor="text1"/>
          <w:lang w:eastAsia="ko-KR"/>
        </w:rPr>
        <w:t xml:space="preserve"> listed below </w:t>
      </w:r>
      <w:r w:rsidRPr="00701805">
        <w:rPr>
          <w:rFonts w:eastAsia="Malgun Gothic"/>
          <w:lang w:eastAsia="ko-KR"/>
        </w:rPr>
        <w:t>m</w:t>
      </w:r>
      <w:r w:rsidRPr="00701805">
        <w:rPr>
          <w:lang w:eastAsia="ko-KR"/>
        </w:rPr>
        <w:t xml:space="preserve">ay </w:t>
      </w:r>
      <w:r w:rsidRPr="00701805">
        <w:rPr>
          <w:rFonts w:eastAsia="Malgun Gothic"/>
          <w:lang w:eastAsia="ko-KR"/>
        </w:rPr>
        <w:t xml:space="preserve">also </w:t>
      </w:r>
      <w:r w:rsidRPr="00701805">
        <w:rPr>
          <w:lang w:eastAsia="ko-KR"/>
        </w:rPr>
        <w:t>be transported packed in accordance with packaging method OP8 of packing instruction P520</w:t>
      </w:r>
      <w:r w:rsidR="00FF10A8">
        <w:rPr>
          <w:rFonts w:eastAsia="Malgun Gothic" w:hint="eastAsia"/>
          <w:lang w:eastAsia="ko-KR"/>
        </w:rPr>
        <w:t xml:space="preserve"> of 4.1.4.1, with the same control and emergency temperatures, if applicable.</w:t>
      </w:r>
      <w:r w:rsidR="00FF10A8">
        <w:rPr>
          <w:rFonts w:eastAsia="Malgun Gothic"/>
          <w:lang w:eastAsia="ko-KR"/>
        </w:rPr>
        <w:t>”</w:t>
      </w:r>
    </w:p>
    <w:p w14:paraId="0B8071B8" w14:textId="23BFDC63" w:rsidR="00DE7811" w:rsidRPr="00701805" w:rsidRDefault="00205F7A" w:rsidP="00DF34AC">
      <w:pPr>
        <w:pStyle w:val="SingleTxtG"/>
        <w:adjustRightInd/>
        <w:snapToGrid/>
        <w:ind w:left="1701"/>
        <w:rPr>
          <w:rFonts w:eastAsia="Batang"/>
          <w:lang w:eastAsia="ko-KR"/>
        </w:rPr>
      </w:pPr>
      <w:r>
        <w:rPr>
          <w:rFonts w:eastAsia="Batang"/>
          <w:lang w:eastAsia="ko-KR"/>
        </w:rPr>
        <w:t>(c)</w:t>
      </w:r>
      <w:r w:rsidR="002E16B6">
        <w:rPr>
          <w:rFonts w:eastAsia="Batang" w:hint="eastAsia"/>
          <w:lang w:eastAsia="ko-KR"/>
        </w:rPr>
        <w:tab/>
      </w:r>
      <w:r w:rsidR="002035EA">
        <w:rPr>
          <w:rFonts w:eastAsia="Batang"/>
          <w:lang w:eastAsia="ko-KR"/>
        </w:rPr>
        <w:t>F</w:t>
      </w:r>
      <w:r w:rsidR="00FF10A8">
        <w:rPr>
          <w:rFonts w:eastAsia="Batang" w:hint="eastAsia"/>
          <w:lang w:eastAsia="ko-KR"/>
        </w:rPr>
        <w:t xml:space="preserve">ourth sentence in the </w:t>
      </w:r>
      <w:r w:rsidR="002035EA">
        <w:rPr>
          <w:rFonts w:eastAsia="Batang"/>
          <w:lang w:eastAsia="ko-KR"/>
        </w:rPr>
        <w:t xml:space="preserve">paragraph under the heading </w:t>
      </w:r>
      <w:r w:rsidR="00FF10A8">
        <w:rPr>
          <w:rFonts w:eastAsia="Batang" w:hint="eastAsia"/>
          <w:lang w:eastAsia="ko-KR"/>
        </w:rPr>
        <w:t xml:space="preserve">of </w:t>
      </w:r>
      <w:r w:rsidR="00FF10A8">
        <w:rPr>
          <w:lang w:eastAsia="ko-KR"/>
        </w:rPr>
        <w:t>T23 of 4.2.5.2.6</w:t>
      </w:r>
      <w:r w:rsidR="002035EA">
        <w:rPr>
          <w:lang w:eastAsia="ko-KR"/>
        </w:rPr>
        <w:t>:</w:t>
      </w:r>
    </w:p>
    <w:p w14:paraId="74C7D0E3" w14:textId="12767BF6" w:rsidR="000D4079" w:rsidRPr="00463D15" w:rsidRDefault="000D4079" w:rsidP="00DF34AC">
      <w:pPr>
        <w:pStyle w:val="SingleTxtG"/>
        <w:adjustRightInd/>
        <w:snapToGrid/>
        <w:ind w:left="2268"/>
        <w:rPr>
          <w:rFonts w:eastAsia="Malgun Gothic"/>
          <w:lang w:eastAsia="ko-KR"/>
        </w:rPr>
      </w:pPr>
      <w:r w:rsidRPr="00701805">
        <w:rPr>
          <w:lang w:eastAsia="ko-KR"/>
        </w:rPr>
        <w:t>“</w:t>
      </w:r>
      <w:r w:rsidR="00FF10A8">
        <w:rPr>
          <w:rFonts w:eastAsia="Malgun Gothic"/>
          <w:lang w:eastAsia="ko-KR"/>
        </w:rPr>
        <w:t>…</w:t>
      </w:r>
      <w:r w:rsidR="00EF1BB9">
        <w:rPr>
          <w:rFonts w:eastAsia="Malgun Gothic"/>
          <w:lang w:eastAsia="ko-KR"/>
        </w:rPr>
        <w:t xml:space="preserve"> </w:t>
      </w:r>
      <w:r w:rsidRPr="00FF10A8">
        <w:rPr>
          <w:rFonts w:eastAsia="Malgun Gothic"/>
          <w:color w:val="000000" w:themeColor="text1"/>
          <w:lang w:eastAsia="ko-KR"/>
        </w:rPr>
        <w:t xml:space="preserve">The formulations </w:t>
      </w:r>
      <w:r w:rsidRPr="00007C84">
        <w:rPr>
          <w:rFonts w:eastAsia="Malgun Gothic"/>
          <w:b/>
          <w:color w:val="000000" w:themeColor="text1"/>
          <w:lang w:eastAsia="ko-KR"/>
        </w:rPr>
        <w:t>not listed in 2.4.2.3.2.3 and 2.5.3.2.4 but</w:t>
      </w:r>
      <w:r w:rsidRPr="00FF10A8">
        <w:rPr>
          <w:rFonts w:eastAsia="Malgun Gothic"/>
          <w:color w:val="000000" w:themeColor="text1"/>
          <w:lang w:eastAsia="ko-KR"/>
        </w:rPr>
        <w:t xml:space="preserve"> listed below</w:t>
      </w:r>
      <w:r w:rsidRPr="00701805">
        <w:rPr>
          <w:rFonts w:eastAsia="Malgun Gothic"/>
          <w:lang w:eastAsia="ko-KR"/>
        </w:rPr>
        <w:t xml:space="preserve"> m</w:t>
      </w:r>
      <w:r w:rsidRPr="00701805">
        <w:rPr>
          <w:lang w:eastAsia="ko-KR"/>
        </w:rPr>
        <w:t xml:space="preserve">ay </w:t>
      </w:r>
      <w:r w:rsidRPr="00701805">
        <w:rPr>
          <w:rFonts w:eastAsia="Malgun Gothic"/>
          <w:lang w:eastAsia="ko-KR"/>
        </w:rPr>
        <w:t xml:space="preserve">also </w:t>
      </w:r>
      <w:r w:rsidRPr="00701805">
        <w:rPr>
          <w:lang w:eastAsia="ko-KR"/>
        </w:rPr>
        <w:t>be transported packed in accordance with packaging method OP8 of packing instruction P520</w:t>
      </w:r>
      <w:r w:rsidR="00463D15">
        <w:rPr>
          <w:rFonts w:eastAsia="Malgun Gothic" w:hint="eastAsia"/>
          <w:lang w:eastAsia="ko-KR"/>
        </w:rPr>
        <w:t xml:space="preserve"> of 4.1.4.1, with the same control and emergency temperatures, if applicable</w:t>
      </w:r>
      <w:r w:rsidRPr="00701805">
        <w:rPr>
          <w:lang w:eastAsia="ko-KR"/>
        </w:rPr>
        <w:t>.</w:t>
      </w:r>
      <w:r w:rsidR="00463D15">
        <w:rPr>
          <w:rFonts w:eastAsia="Malgun Gothic"/>
          <w:lang w:eastAsia="ko-KR"/>
        </w:rPr>
        <w:t>”</w:t>
      </w:r>
    </w:p>
    <w:p w14:paraId="0A72FBE1" w14:textId="7C130CB2" w:rsidR="006748C3" w:rsidRDefault="006748C3" w:rsidP="000D4079">
      <w:pPr>
        <w:spacing w:before="240"/>
        <w:jc w:val="center"/>
        <w:rPr>
          <w:u w:val="single"/>
        </w:rPr>
      </w:pPr>
    </w:p>
    <w:p w14:paraId="7B267E3E" w14:textId="77777777" w:rsidR="006748C3" w:rsidRDefault="006748C3">
      <w:pPr>
        <w:suppressAutoHyphens w:val="0"/>
        <w:kinsoku/>
        <w:overflowPunct/>
        <w:autoSpaceDE/>
        <w:autoSpaceDN/>
        <w:adjustRightInd/>
        <w:snapToGrid/>
        <w:spacing w:after="200" w:line="276" w:lineRule="auto"/>
        <w:rPr>
          <w:u w:val="single"/>
        </w:rPr>
      </w:pPr>
      <w:r>
        <w:rPr>
          <w:u w:val="single"/>
        </w:rPr>
        <w:br w:type="page"/>
      </w:r>
    </w:p>
    <w:p w14:paraId="1BC856D5" w14:textId="1C355588" w:rsidR="006748C3" w:rsidRDefault="00A528E0" w:rsidP="00844A07">
      <w:pPr>
        <w:pStyle w:val="HChG"/>
        <w:rPr>
          <w:lang w:eastAsia="ko-KR"/>
        </w:rPr>
      </w:pPr>
      <w:r>
        <w:rPr>
          <w:rFonts w:hint="eastAsia"/>
          <w:lang w:eastAsia="ko-KR"/>
        </w:rPr>
        <w:lastRenderedPageBreak/>
        <w:t>Annex</w:t>
      </w:r>
    </w:p>
    <w:p w14:paraId="0D806A66" w14:textId="11D467A2" w:rsidR="00F073CE" w:rsidRPr="00A528E0" w:rsidRDefault="00844A07" w:rsidP="00844A07">
      <w:pPr>
        <w:pStyle w:val="HChG"/>
        <w:rPr>
          <w:lang w:eastAsia="ko-KR"/>
        </w:rPr>
      </w:pPr>
      <w:r>
        <w:rPr>
          <w:lang w:eastAsia="ko-KR"/>
        </w:rPr>
        <w:tab/>
      </w:r>
      <w:r>
        <w:rPr>
          <w:lang w:eastAsia="ko-KR"/>
        </w:rPr>
        <w:tab/>
      </w:r>
      <w:r w:rsidR="0032761A">
        <w:rPr>
          <w:rFonts w:hint="eastAsia"/>
          <w:lang w:eastAsia="ko-KR"/>
        </w:rPr>
        <w:t>Table</w:t>
      </w:r>
      <w:r w:rsidR="00F073CE">
        <w:rPr>
          <w:rFonts w:hint="eastAsia"/>
          <w:lang w:eastAsia="ko-KR"/>
        </w:rPr>
        <w:t xml:space="preserve"> of </w:t>
      </w:r>
      <w:r w:rsidR="00AA1C9A">
        <w:rPr>
          <w:lang w:eastAsia="ko-KR"/>
        </w:rPr>
        <w:t>f</w:t>
      </w:r>
      <w:r w:rsidR="00AA1C9A">
        <w:rPr>
          <w:rFonts w:hint="eastAsia"/>
          <w:lang w:eastAsia="ko-KR"/>
        </w:rPr>
        <w:t xml:space="preserve">ormulations </w:t>
      </w:r>
      <w:r w:rsidR="00AA1C9A">
        <w:rPr>
          <w:lang w:eastAsia="ko-KR"/>
        </w:rPr>
        <w:t xml:space="preserve">of </w:t>
      </w:r>
      <w:r w:rsidR="00F073CE">
        <w:rPr>
          <w:rFonts w:hint="eastAsia"/>
          <w:lang w:eastAsia="ko-KR"/>
        </w:rPr>
        <w:t xml:space="preserve">UN 3119 </w:t>
      </w:r>
      <w:r w:rsidR="00AA1C9A">
        <w:rPr>
          <w:lang w:eastAsia="ko-KR"/>
        </w:rPr>
        <w:t>o</w:t>
      </w:r>
      <w:r w:rsidR="00F073CE">
        <w:rPr>
          <w:rFonts w:hint="eastAsia"/>
          <w:lang w:eastAsia="ko-KR"/>
        </w:rPr>
        <w:t xml:space="preserve">rganic </w:t>
      </w:r>
      <w:r w:rsidR="00AA1C9A">
        <w:rPr>
          <w:lang w:eastAsia="ko-KR"/>
        </w:rPr>
        <w:t>p</w:t>
      </w:r>
      <w:r w:rsidR="00F073CE">
        <w:rPr>
          <w:rFonts w:hint="eastAsia"/>
          <w:lang w:eastAsia="ko-KR"/>
        </w:rPr>
        <w:t>eroxides</w:t>
      </w:r>
      <w:r w:rsidR="00F874FC">
        <w:rPr>
          <w:rFonts w:hint="eastAsia"/>
          <w:lang w:eastAsia="ko-KR"/>
        </w:rPr>
        <w:t xml:space="preserve"> </w:t>
      </w:r>
      <w:r w:rsidR="00F073CE">
        <w:rPr>
          <w:rFonts w:hint="eastAsia"/>
          <w:lang w:eastAsia="ko-KR"/>
        </w:rPr>
        <w:t>with different control and emergency temperatures</w:t>
      </w:r>
    </w:p>
    <w:tbl>
      <w:tblPr>
        <w:tblStyle w:val="TableGrid"/>
        <w:tblW w:w="4870" w:type="pct"/>
        <w:jc w:val="center"/>
        <w:tblCellMar>
          <w:left w:w="108" w:type="dxa"/>
          <w:right w:w="108" w:type="dxa"/>
        </w:tblCellMar>
        <w:tblLook w:val="04A0" w:firstRow="1" w:lastRow="0" w:firstColumn="1" w:lastColumn="0" w:noHBand="0" w:noVBand="1"/>
      </w:tblPr>
      <w:tblGrid>
        <w:gridCol w:w="4413"/>
        <w:gridCol w:w="831"/>
        <w:gridCol w:w="694"/>
        <w:gridCol w:w="968"/>
        <w:gridCol w:w="868"/>
        <w:gridCol w:w="808"/>
        <w:gridCol w:w="797"/>
      </w:tblGrid>
      <w:tr w:rsidR="006748C3" w14:paraId="034B7CA7" w14:textId="77777777" w:rsidTr="00F874FC">
        <w:trPr>
          <w:trHeight w:val="307"/>
          <w:jc w:val="center"/>
        </w:trPr>
        <w:tc>
          <w:tcPr>
            <w:tcW w:w="2352" w:type="pct"/>
            <w:vMerge w:val="restart"/>
            <w:tcBorders>
              <w:top w:val="single" w:sz="4" w:space="0" w:color="auto"/>
              <w:left w:val="single" w:sz="4" w:space="0" w:color="auto"/>
              <w:bottom w:val="single" w:sz="4" w:space="0" w:color="auto"/>
              <w:right w:val="single" w:sz="4" w:space="0" w:color="auto"/>
            </w:tcBorders>
            <w:vAlign w:val="center"/>
            <w:hideMark/>
          </w:tcPr>
          <w:p w14:paraId="7EEC04BE" w14:textId="77777777" w:rsidR="006748C3" w:rsidRPr="00F073CE" w:rsidRDefault="006748C3">
            <w:pPr>
              <w:tabs>
                <w:tab w:val="left" w:pos="800"/>
                <w:tab w:val="left" w:pos="851"/>
              </w:tabs>
              <w:jc w:val="center"/>
              <w:rPr>
                <w:rFonts w:ascii="Arial" w:hAnsi="Arial" w:cs="Arial"/>
                <w:b/>
                <w:sz w:val="22"/>
                <w:lang w:val="en-GB" w:eastAsia="ko-KR"/>
              </w:rPr>
            </w:pPr>
            <w:r w:rsidRPr="00F073CE">
              <w:rPr>
                <w:rFonts w:cs="Arial"/>
                <w:b/>
                <w:lang w:eastAsia="ko-KR"/>
              </w:rPr>
              <w:t>UN 3119 ORGANIC PEROXIDE</w:t>
            </w:r>
          </w:p>
        </w:tc>
        <w:tc>
          <w:tcPr>
            <w:tcW w:w="2648" w:type="pct"/>
            <w:gridSpan w:val="6"/>
            <w:tcBorders>
              <w:top w:val="single" w:sz="4" w:space="0" w:color="auto"/>
              <w:left w:val="single" w:sz="4" w:space="0" w:color="auto"/>
              <w:bottom w:val="single" w:sz="4" w:space="0" w:color="auto"/>
              <w:right w:val="single" w:sz="4" w:space="0" w:color="auto"/>
            </w:tcBorders>
            <w:vAlign w:val="center"/>
            <w:hideMark/>
          </w:tcPr>
          <w:p w14:paraId="3F7EECB4" w14:textId="77777777" w:rsidR="006748C3" w:rsidRPr="00F073CE" w:rsidRDefault="006748C3">
            <w:pPr>
              <w:tabs>
                <w:tab w:val="left" w:pos="800"/>
                <w:tab w:val="left" w:pos="851"/>
              </w:tabs>
              <w:jc w:val="center"/>
              <w:rPr>
                <w:rFonts w:ascii="Arial" w:hAnsi="Arial" w:cs="Arial"/>
                <w:b/>
                <w:sz w:val="22"/>
                <w:lang w:val="en-GB" w:eastAsia="ko-KR"/>
              </w:rPr>
            </w:pPr>
            <w:r w:rsidRPr="00F073CE">
              <w:rPr>
                <w:rFonts w:cs="Arial"/>
                <w:b/>
                <w:lang w:eastAsia="ko-KR"/>
              </w:rPr>
              <w:t>Provisions</w:t>
            </w:r>
          </w:p>
        </w:tc>
      </w:tr>
      <w:tr w:rsidR="006748C3" w14:paraId="51141DAB" w14:textId="77777777" w:rsidTr="00F874FC">
        <w:trPr>
          <w:trHeight w:val="307"/>
          <w:jc w:val="center"/>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01F9BC2F" w14:textId="77777777" w:rsidR="006748C3" w:rsidRPr="00F073CE" w:rsidRDefault="006748C3">
            <w:pPr>
              <w:suppressAutoHyphens w:val="0"/>
              <w:kinsoku/>
              <w:overflowPunct/>
              <w:autoSpaceDE/>
              <w:autoSpaceDN/>
              <w:adjustRightInd/>
              <w:snapToGrid/>
              <w:spacing w:line="240" w:lineRule="auto"/>
              <w:rPr>
                <w:rFonts w:ascii="Arial" w:hAnsi="Arial" w:cs="Arial"/>
                <w:b/>
                <w:sz w:val="22"/>
                <w:lang w:val="en-GB" w:eastAsia="ko-KR"/>
              </w:rPr>
            </w:pPr>
          </w:p>
        </w:tc>
        <w:tc>
          <w:tcPr>
            <w:tcW w:w="813" w:type="pct"/>
            <w:gridSpan w:val="2"/>
            <w:tcBorders>
              <w:top w:val="single" w:sz="4" w:space="0" w:color="auto"/>
              <w:left w:val="single" w:sz="4" w:space="0" w:color="auto"/>
              <w:bottom w:val="single" w:sz="4" w:space="0" w:color="auto"/>
              <w:right w:val="single" w:sz="4" w:space="0" w:color="auto"/>
            </w:tcBorders>
            <w:vAlign w:val="center"/>
            <w:hideMark/>
          </w:tcPr>
          <w:p w14:paraId="64B4FC50" w14:textId="77777777" w:rsidR="006748C3" w:rsidRPr="00F073CE" w:rsidRDefault="006748C3">
            <w:pPr>
              <w:tabs>
                <w:tab w:val="left" w:pos="800"/>
                <w:tab w:val="left" w:pos="851"/>
              </w:tabs>
              <w:jc w:val="center"/>
              <w:rPr>
                <w:rFonts w:ascii="Arial" w:hAnsi="Arial" w:cs="Arial"/>
                <w:b/>
                <w:sz w:val="22"/>
                <w:lang w:val="en-GB" w:eastAsia="ko-KR"/>
              </w:rPr>
            </w:pPr>
            <w:bookmarkStart w:id="2" w:name="_Hlk36473118"/>
            <w:r w:rsidRPr="00F073CE">
              <w:rPr>
                <w:rFonts w:cs="Arial"/>
                <w:b/>
                <w:lang w:eastAsia="ko-KR"/>
              </w:rPr>
              <w:t>2.5.3.2.4</w:t>
            </w:r>
            <w:bookmarkEnd w:id="2"/>
          </w:p>
        </w:tc>
        <w:tc>
          <w:tcPr>
            <w:tcW w:w="979" w:type="pct"/>
            <w:gridSpan w:val="2"/>
            <w:tcBorders>
              <w:top w:val="single" w:sz="4" w:space="0" w:color="auto"/>
              <w:left w:val="single" w:sz="4" w:space="0" w:color="auto"/>
              <w:bottom w:val="single" w:sz="4" w:space="0" w:color="auto"/>
              <w:right w:val="single" w:sz="4" w:space="0" w:color="auto"/>
            </w:tcBorders>
            <w:vAlign w:val="center"/>
            <w:hideMark/>
          </w:tcPr>
          <w:p w14:paraId="0E408478" w14:textId="1C985D76" w:rsidR="006748C3" w:rsidRPr="00007C84" w:rsidRDefault="006748C3" w:rsidP="00007C84">
            <w:pPr>
              <w:tabs>
                <w:tab w:val="left" w:pos="800"/>
                <w:tab w:val="left" w:pos="851"/>
              </w:tabs>
              <w:jc w:val="center"/>
              <w:rPr>
                <w:rFonts w:ascii="Arial" w:eastAsia="Malgun Gothic" w:hAnsi="Arial" w:cs="Arial"/>
                <w:b/>
                <w:sz w:val="22"/>
                <w:lang w:val="en-GB" w:eastAsia="ko-KR"/>
              </w:rPr>
            </w:pPr>
            <w:r w:rsidRPr="00F073CE">
              <w:rPr>
                <w:rFonts w:cs="Arial"/>
                <w:b/>
                <w:lang w:eastAsia="ko-KR"/>
              </w:rPr>
              <w:t>IBC520</w:t>
            </w:r>
            <w:r w:rsidR="00007C84">
              <w:rPr>
                <w:rFonts w:eastAsia="Malgun Gothic" w:cs="Arial" w:hint="eastAsia"/>
                <w:b/>
                <w:lang w:eastAsia="ko-KR"/>
              </w:rPr>
              <w:t xml:space="preserve"> of 4.1.4.2</w:t>
            </w:r>
          </w:p>
        </w:tc>
        <w:tc>
          <w:tcPr>
            <w:tcW w:w="856" w:type="pct"/>
            <w:gridSpan w:val="2"/>
            <w:tcBorders>
              <w:top w:val="single" w:sz="4" w:space="0" w:color="auto"/>
              <w:left w:val="single" w:sz="4" w:space="0" w:color="auto"/>
              <w:bottom w:val="single" w:sz="4" w:space="0" w:color="auto"/>
              <w:right w:val="single" w:sz="4" w:space="0" w:color="auto"/>
            </w:tcBorders>
            <w:vAlign w:val="center"/>
            <w:hideMark/>
          </w:tcPr>
          <w:p w14:paraId="5C26A1A5" w14:textId="7ADAF74D" w:rsidR="006748C3" w:rsidRPr="00007C84" w:rsidRDefault="006748C3">
            <w:pPr>
              <w:tabs>
                <w:tab w:val="left" w:pos="800"/>
                <w:tab w:val="left" w:pos="851"/>
              </w:tabs>
              <w:jc w:val="center"/>
              <w:rPr>
                <w:rFonts w:ascii="Arial" w:eastAsia="Malgun Gothic" w:hAnsi="Arial" w:cs="Arial"/>
                <w:b/>
                <w:sz w:val="22"/>
                <w:lang w:val="en-GB" w:eastAsia="ko-KR"/>
              </w:rPr>
            </w:pPr>
            <w:r w:rsidRPr="00F073CE">
              <w:rPr>
                <w:rFonts w:cs="Arial"/>
                <w:b/>
                <w:lang w:eastAsia="ko-KR"/>
              </w:rPr>
              <w:t>T23</w:t>
            </w:r>
            <w:r w:rsidR="00007C84">
              <w:rPr>
                <w:rFonts w:eastAsia="Malgun Gothic" w:cs="Arial" w:hint="eastAsia"/>
                <w:b/>
                <w:lang w:eastAsia="ko-KR"/>
              </w:rPr>
              <w:t xml:space="preserve"> of 4.2.5.2.6</w:t>
            </w:r>
          </w:p>
        </w:tc>
      </w:tr>
      <w:tr w:rsidR="00F874FC" w14:paraId="524DED81" w14:textId="77777777" w:rsidTr="00F874FC">
        <w:trPr>
          <w:trHeight w:val="879"/>
          <w:jc w:val="center"/>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0BC30416" w14:textId="77777777" w:rsidR="006748C3" w:rsidRPr="00F073CE" w:rsidRDefault="006748C3">
            <w:pPr>
              <w:suppressAutoHyphens w:val="0"/>
              <w:kinsoku/>
              <w:overflowPunct/>
              <w:autoSpaceDE/>
              <w:autoSpaceDN/>
              <w:adjustRightInd/>
              <w:snapToGrid/>
              <w:spacing w:line="240" w:lineRule="auto"/>
              <w:rPr>
                <w:rFonts w:ascii="Arial" w:hAnsi="Arial" w:cs="Arial"/>
                <w:b/>
                <w:sz w:val="22"/>
                <w:lang w:val="en-GB" w:eastAsia="ko-KR"/>
              </w:rPr>
            </w:pPr>
          </w:p>
        </w:tc>
        <w:tc>
          <w:tcPr>
            <w:tcW w:w="443" w:type="pct"/>
            <w:tcBorders>
              <w:top w:val="single" w:sz="4" w:space="0" w:color="auto"/>
              <w:left w:val="single" w:sz="4" w:space="0" w:color="auto"/>
              <w:bottom w:val="single" w:sz="4" w:space="0" w:color="auto"/>
              <w:right w:val="single" w:sz="4" w:space="0" w:color="auto"/>
            </w:tcBorders>
            <w:vAlign w:val="center"/>
            <w:hideMark/>
          </w:tcPr>
          <w:p w14:paraId="53808719" w14:textId="1BF06456" w:rsidR="006748C3" w:rsidRPr="00007C84"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C.T.</w:t>
            </w:r>
          </w:p>
          <w:p w14:paraId="04CBB263" w14:textId="0E477C60" w:rsidR="006748C3" w:rsidRPr="00F073CE" w:rsidRDefault="006748C3">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sidR="00C30825">
              <w:rPr>
                <w:rFonts w:cs="Arial"/>
                <w:b/>
                <w:color w:val="000000" w:themeColor="text1"/>
                <w:lang w:eastAsia="ko-KR"/>
              </w:rPr>
              <w:t>°C</w:t>
            </w:r>
            <w:r w:rsidRPr="00F073CE">
              <w:rPr>
                <w:rFonts w:cs="Arial"/>
                <w:b/>
                <w:color w:val="000000" w:themeColor="text1"/>
                <w:lang w:eastAsia="ko-KR"/>
              </w:rP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15872D73" w14:textId="46A07720" w:rsidR="006748C3" w:rsidRPr="00F073CE"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E.T.</w:t>
            </w:r>
          </w:p>
          <w:p w14:paraId="7DE75211" w14:textId="6016E130" w:rsidR="006748C3" w:rsidRPr="00F073CE" w:rsidRDefault="00C30825">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Pr>
                <w:rFonts w:cs="Arial"/>
                <w:b/>
                <w:color w:val="000000" w:themeColor="text1"/>
                <w:lang w:eastAsia="ko-KR"/>
              </w:rPr>
              <w:t>°C</w:t>
            </w:r>
            <w:r w:rsidRPr="00F073CE">
              <w:rPr>
                <w:rFonts w:cs="Arial"/>
                <w:b/>
                <w:color w:val="000000" w:themeColor="text1"/>
                <w:lang w:eastAsia="ko-KR"/>
              </w:rPr>
              <w:t>)</w:t>
            </w:r>
          </w:p>
        </w:tc>
        <w:tc>
          <w:tcPr>
            <w:tcW w:w="516" w:type="pct"/>
            <w:tcBorders>
              <w:top w:val="single" w:sz="4" w:space="0" w:color="auto"/>
              <w:left w:val="single" w:sz="4" w:space="0" w:color="auto"/>
              <w:bottom w:val="single" w:sz="4" w:space="0" w:color="auto"/>
              <w:right w:val="single" w:sz="4" w:space="0" w:color="auto"/>
            </w:tcBorders>
            <w:vAlign w:val="center"/>
            <w:hideMark/>
          </w:tcPr>
          <w:p w14:paraId="2E444658" w14:textId="2DCA1ED4" w:rsidR="006748C3" w:rsidRPr="00F073CE"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C.T.</w:t>
            </w:r>
          </w:p>
          <w:p w14:paraId="0C4B74AA" w14:textId="233FB8FF" w:rsidR="006748C3" w:rsidRPr="00F073CE" w:rsidRDefault="00C30825">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Pr>
                <w:rFonts w:cs="Arial"/>
                <w:b/>
                <w:color w:val="000000" w:themeColor="text1"/>
                <w:lang w:eastAsia="ko-KR"/>
              </w:rPr>
              <w:t>°C</w:t>
            </w:r>
            <w:r w:rsidRPr="00F073CE">
              <w:rPr>
                <w:rFonts w:cs="Arial"/>
                <w:b/>
                <w:color w:val="000000" w:themeColor="text1"/>
                <w:lang w:eastAsia="ko-KR"/>
              </w:rPr>
              <w:t>)</w:t>
            </w:r>
          </w:p>
        </w:tc>
        <w:tc>
          <w:tcPr>
            <w:tcW w:w="463" w:type="pct"/>
            <w:tcBorders>
              <w:top w:val="single" w:sz="4" w:space="0" w:color="auto"/>
              <w:left w:val="single" w:sz="4" w:space="0" w:color="auto"/>
              <w:bottom w:val="single" w:sz="4" w:space="0" w:color="auto"/>
              <w:right w:val="single" w:sz="4" w:space="0" w:color="auto"/>
            </w:tcBorders>
            <w:vAlign w:val="center"/>
            <w:hideMark/>
          </w:tcPr>
          <w:p w14:paraId="45C7574D" w14:textId="26474766" w:rsidR="006748C3" w:rsidRPr="00F073CE"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E.T.</w:t>
            </w:r>
          </w:p>
          <w:p w14:paraId="0B6D11FF" w14:textId="0F2AF62C" w:rsidR="006748C3" w:rsidRPr="00F073CE" w:rsidRDefault="00C30825">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Pr>
                <w:rFonts w:cs="Arial"/>
                <w:b/>
                <w:color w:val="000000" w:themeColor="text1"/>
                <w:lang w:eastAsia="ko-KR"/>
              </w:rPr>
              <w:t>°C</w:t>
            </w:r>
            <w:r w:rsidRPr="00F073CE">
              <w:rPr>
                <w:rFonts w:cs="Arial"/>
                <w:b/>
                <w:color w:val="000000" w:themeColor="text1"/>
                <w:lang w:eastAsia="ko-KR"/>
              </w:rPr>
              <w:t>)</w:t>
            </w:r>
          </w:p>
        </w:tc>
        <w:tc>
          <w:tcPr>
            <w:tcW w:w="431" w:type="pct"/>
            <w:tcBorders>
              <w:top w:val="single" w:sz="4" w:space="0" w:color="auto"/>
              <w:left w:val="single" w:sz="4" w:space="0" w:color="auto"/>
              <w:bottom w:val="single" w:sz="4" w:space="0" w:color="auto"/>
              <w:right w:val="single" w:sz="4" w:space="0" w:color="auto"/>
            </w:tcBorders>
            <w:vAlign w:val="center"/>
            <w:hideMark/>
          </w:tcPr>
          <w:p w14:paraId="72582220" w14:textId="4479C288" w:rsidR="006748C3" w:rsidRPr="00F073CE"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C.T.</w:t>
            </w:r>
          </w:p>
          <w:p w14:paraId="3A221232" w14:textId="77263659" w:rsidR="006748C3" w:rsidRPr="00F073CE" w:rsidRDefault="00C30825">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Pr>
                <w:rFonts w:cs="Arial"/>
                <w:b/>
                <w:color w:val="000000" w:themeColor="text1"/>
                <w:lang w:eastAsia="ko-KR"/>
              </w:rPr>
              <w:t>°C</w:t>
            </w:r>
            <w:r w:rsidRPr="00F073CE">
              <w:rPr>
                <w:rFonts w:cs="Arial"/>
                <w:b/>
                <w:color w:val="000000" w:themeColor="text1"/>
                <w:lang w:eastAsia="ko-KR"/>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4820E9A5" w14:textId="76E438FB" w:rsidR="006748C3" w:rsidRPr="00007C84" w:rsidRDefault="006748C3">
            <w:pPr>
              <w:tabs>
                <w:tab w:val="left" w:pos="800"/>
              </w:tabs>
              <w:jc w:val="center"/>
              <w:rPr>
                <w:rFonts w:ascii="Arial" w:eastAsia="Malgun Gothic" w:hAnsi="Arial" w:cs="Arial"/>
                <w:b/>
                <w:color w:val="000000" w:themeColor="text1"/>
                <w:sz w:val="22"/>
                <w:lang w:eastAsia="ko-KR"/>
              </w:rPr>
            </w:pPr>
            <w:r w:rsidRPr="00F073CE">
              <w:rPr>
                <w:rFonts w:cs="Arial"/>
                <w:b/>
                <w:color w:val="000000" w:themeColor="text1"/>
                <w:lang w:eastAsia="ko-KR"/>
              </w:rPr>
              <w:t>E.T</w:t>
            </w:r>
            <w:r w:rsidR="00007C84">
              <w:rPr>
                <w:rFonts w:eastAsia="Malgun Gothic" w:cs="Arial" w:hint="eastAsia"/>
                <w:b/>
                <w:color w:val="000000" w:themeColor="text1"/>
                <w:lang w:eastAsia="ko-KR"/>
              </w:rPr>
              <w:t>.</w:t>
            </w:r>
          </w:p>
          <w:p w14:paraId="31B044D8" w14:textId="6910009E" w:rsidR="006748C3" w:rsidRPr="00F073CE" w:rsidRDefault="00C30825">
            <w:pPr>
              <w:tabs>
                <w:tab w:val="left" w:pos="800"/>
                <w:tab w:val="left" w:pos="851"/>
              </w:tabs>
              <w:jc w:val="center"/>
              <w:rPr>
                <w:rFonts w:ascii="Arial" w:hAnsi="Arial" w:cs="Arial"/>
                <w:b/>
                <w:color w:val="000000" w:themeColor="text1"/>
                <w:sz w:val="22"/>
                <w:lang w:val="en-GB" w:eastAsia="ko-KR"/>
              </w:rPr>
            </w:pPr>
            <w:r w:rsidRPr="00F073CE">
              <w:rPr>
                <w:rFonts w:cs="Arial"/>
                <w:b/>
                <w:color w:val="000000" w:themeColor="text1"/>
                <w:lang w:eastAsia="ko-KR"/>
              </w:rPr>
              <w:t>(</w:t>
            </w:r>
            <w:r>
              <w:rPr>
                <w:rFonts w:cs="Arial"/>
                <w:b/>
                <w:color w:val="000000" w:themeColor="text1"/>
                <w:lang w:eastAsia="ko-KR"/>
              </w:rPr>
              <w:t>°C</w:t>
            </w:r>
            <w:r w:rsidRPr="00F073CE">
              <w:rPr>
                <w:rFonts w:cs="Arial"/>
                <w:b/>
                <w:color w:val="000000" w:themeColor="text1"/>
                <w:lang w:eastAsia="ko-KR"/>
              </w:rPr>
              <w:t>)</w:t>
            </w:r>
          </w:p>
        </w:tc>
      </w:tr>
      <w:tr w:rsidR="00F874FC" w14:paraId="4160D78D"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129D624E" w14:textId="77777777" w:rsidR="006748C3" w:rsidRDefault="006748C3">
            <w:pPr>
              <w:tabs>
                <w:tab w:val="left" w:pos="800"/>
              </w:tabs>
              <w:rPr>
                <w:rFonts w:ascii="Arial" w:eastAsia="Batang" w:hAnsi="Arial" w:cs="Arial"/>
                <w:sz w:val="22"/>
                <w:lang w:eastAsia="ko-KR"/>
              </w:rPr>
            </w:pPr>
            <w:r>
              <w:rPr>
                <w:rFonts w:cs="Arial"/>
                <w:lang w:eastAsia="ko-KR"/>
              </w:rPr>
              <w:t>tert-AMYL PEROXYNEODECANOATE,</w:t>
            </w:r>
          </w:p>
          <w:p w14:paraId="3AD10827"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47% in diluent type A</w:t>
            </w:r>
          </w:p>
        </w:tc>
        <w:tc>
          <w:tcPr>
            <w:tcW w:w="443" w:type="pct"/>
            <w:tcBorders>
              <w:top w:val="single" w:sz="4" w:space="0" w:color="auto"/>
              <w:left w:val="single" w:sz="4" w:space="0" w:color="auto"/>
              <w:bottom w:val="single" w:sz="4" w:space="0" w:color="auto"/>
              <w:right w:val="single" w:sz="4" w:space="0" w:color="auto"/>
            </w:tcBorders>
            <w:vAlign w:val="center"/>
            <w:hideMark/>
          </w:tcPr>
          <w:p w14:paraId="0032946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0</w:t>
            </w:r>
          </w:p>
        </w:tc>
        <w:tc>
          <w:tcPr>
            <w:tcW w:w="370" w:type="pct"/>
            <w:tcBorders>
              <w:top w:val="single" w:sz="4" w:space="0" w:color="auto"/>
              <w:left w:val="single" w:sz="4" w:space="0" w:color="auto"/>
              <w:bottom w:val="single" w:sz="4" w:space="0" w:color="auto"/>
              <w:right w:val="single" w:sz="4" w:space="0" w:color="auto"/>
            </w:tcBorders>
            <w:vAlign w:val="center"/>
            <w:hideMark/>
          </w:tcPr>
          <w:p w14:paraId="2F737A19"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516" w:type="pct"/>
            <w:tcBorders>
              <w:top w:val="single" w:sz="4" w:space="0" w:color="auto"/>
              <w:left w:val="single" w:sz="4" w:space="0" w:color="auto"/>
              <w:bottom w:val="single" w:sz="4" w:space="0" w:color="auto"/>
              <w:right w:val="single" w:sz="4" w:space="0" w:color="auto"/>
            </w:tcBorders>
            <w:vAlign w:val="center"/>
          </w:tcPr>
          <w:p w14:paraId="7C1FECA4"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63" w:type="pct"/>
            <w:tcBorders>
              <w:top w:val="single" w:sz="4" w:space="0" w:color="auto"/>
              <w:left w:val="single" w:sz="4" w:space="0" w:color="auto"/>
              <w:bottom w:val="single" w:sz="4" w:space="0" w:color="auto"/>
              <w:right w:val="single" w:sz="4" w:space="0" w:color="auto"/>
            </w:tcBorders>
            <w:vAlign w:val="center"/>
          </w:tcPr>
          <w:p w14:paraId="6FC65CD1"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31" w:type="pct"/>
            <w:tcBorders>
              <w:top w:val="single" w:sz="4" w:space="0" w:color="auto"/>
              <w:left w:val="single" w:sz="4" w:space="0" w:color="auto"/>
              <w:bottom w:val="single" w:sz="4" w:space="0" w:color="auto"/>
              <w:right w:val="single" w:sz="4" w:space="0" w:color="auto"/>
            </w:tcBorders>
            <w:vAlign w:val="center"/>
            <w:hideMark/>
          </w:tcPr>
          <w:p w14:paraId="27E3A6E7"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425" w:type="pct"/>
            <w:tcBorders>
              <w:top w:val="single" w:sz="4" w:space="0" w:color="auto"/>
              <w:left w:val="single" w:sz="4" w:space="0" w:color="auto"/>
              <w:bottom w:val="single" w:sz="4" w:space="0" w:color="auto"/>
              <w:right w:val="single" w:sz="4" w:space="0" w:color="auto"/>
            </w:tcBorders>
            <w:vAlign w:val="center"/>
            <w:hideMark/>
          </w:tcPr>
          <w:p w14:paraId="6386B1D3"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r>
      <w:tr w:rsidR="00F874FC" w14:paraId="79ABA133"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3B3A0547" w14:textId="77777777" w:rsidR="006748C3" w:rsidRDefault="006748C3">
            <w:pPr>
              <w:tabs>
                <w:tab w:val="left" w:pos="800"/>
              </w:tabs>
              <w:rPr>
                <w:rFonts w:ascii="Arial" w:eastAsia="Batang" w:hAnsi="Arial" w:cs="Arial"/>
                <w:sz w:val="22"/>
                <w:lang w:eastAsia="ko-KR"/>
              </w:rPr>
            </w:pPr>
            <w:r>
              <w:rPr>
                <w:rFonts w:cs="Arial"/>
                <w:lang w:eastAsia="ko-KR"/>
              </w:rPr>
              <w:t>tert-BUTYL PEROXY-2-ETHYLHEXANOATE,</w:t>
            </w:r>
          </w:p>
          <w:p w14:paraId="3BE95274"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32% in diluent type B</w:t>
            </w:r>
          </w:p>
        </w:tc>
        <w:tc>
          <w:tcPr>
            <w:tcW w:w="443" w:type="pct"/>
            <w:tcBorders>
              <w:top w:val="single" w:sz="4" w:space="0" w:color="auto"/>
              <w:left w:val="single" w:sz="4" w:space="0" w:color="auto"/>
              <w:bottom w:val="single" w:sz="4" w:space="0" w:color="auto"/>
              <w:right w:val="single" w:sz="4" w:space="0" w:color="auto"/>
            </w:tcBorders>
            <w:vAlign w:val="center"/>
            <w:hideMark/>
          </w:tcPr>
          <w:p w14:paraId="010D07EF"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+40</w:t>
            </w:r>
          </w:p>
        </w:tc>
        <w:tc>
          <w:tcPr>
            <w:tcW w:w="370" w:type="pct"/>
            <w:tcBorders>
              <w:top w:val="single" w:sz="4" w:space="0" w:color="auto"/>
              <w:left w:val="single" w:sz="4" w:space="0" w:color="auto"/>
              <w:bottom w:val="single" w:sz="4" w:space="0" w:color="auto"/>
              <w:right w:val="single" w:sz="4" w:space="0" w:color="auto"/>
            </w:tcBorders>
            <w:vAlign w:val="center"/>
            <w:hideMark/>
          </w:tcPr>
          <w:p w14:paraId="6BF5FC7E"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+45</w:t>
            </w:r>
          </w:p>
        </w:tc>
        <w:tc>
          <w:tcPr>
            <w:tcW w:w="516" w:type="pct"/>
            <w:tcBorders>
              <w:top w:val="single" w:sz="4" w:space="0" w:color="auto"/>
              <w:left w:val="single" w:sz="4" w:space="0" w:color="auto"/>
              <w:bottom w:val="single" w:sz="4" w:space="0" w:color="auto"/>
              <w:right w:val="single" w:sz="4" w:space="0" w:color="auto"/>
            </w:tcBorders>
            <w:vAlign w:val="center"/>
            <w:hideMark/>
          </w:tcPr>
          <w:p w14:paraId="56E44F1B"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+30</w:t>
            </w:r>
          </w:p>
        </w:tc>
        <w:tc>
          <w:tcPr>
            <w:tcW w:w="463" w:type="pct"/>
            <w:tcBorders>
              <w:top w:val="single" w:sz="4" w:space="0" w:color="auto"/>
              <w:left w:val="single" w:sz="4" w:space="0" w:color="auto"/>
              <w:bottom w:val="single" w:sz="4" w:space="0" w:color="auto"/>
              <w:right w:val="single" w:sz="4" w:space="0" w:color="auto"/>
            </w:tcBorders>
            <w:vAlign w:val="center"/>
            <w:hideMark/>
          </w:tcPr>
          <w:p w14:paraId="0FBBA26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+35</w:t>
            </w:r>
          </w:p>
        </w:tc>
        <w:tc>
          <w:tcPr>
            <w:tcW w:w="431" w:type="pct"/>
            <w:tcBorders>
              <w:top w:val="single" w:sz="4" w:space="0" w:color="auto"/>
              <w:left w:val="single" w:sz="4" w:space="0" w:color="auto"/>
              <w:bottom w:val="single" w:sz="4" w:space="0" w:color="auto"/>
              <w:right w:val="single" w:sz="4" w:space="0" w:color="auto"/>
            </w:tcBorders>
            <w:vAlign w:val="center"/>
            <w:hideMark/>
          </w:tcPr>
          <w:p w14:paraId="2C51992A"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425" w:type="pct"/>
            <w:tcBorders>
              <w:top w:val="single" w:sz="4" w:space="0" w:color="auto"/>
              <w:left w:val="single" w:sz="4" w:space="0" w:color="auto"/>
              <w:bottom w:val="single" w:sz="4" w:space="0" w:color="auto"/>
              <w:right w:val="single" w:sz="4" w:space="0" w:color="auto"/>
            </w:tcBorders>
            <w:vAlign w:val="center"/>
            <w:hideMark/>
          </w:tcPr>
          <w:p w14:paraId="516DBAFF"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r>
      <w:tr w:rsidR="00F874FC" w14:paraId="7038933B"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48541631" w14:textId="77777777" w:rsidR="006748C3" w:rsidRDefault="006748C3">
            <w:pPr>
              <w:tabs>
                <w:tab w:val="left" w:pos="800"/>
              </w:tabs>
              <w:rPr>
                <w:rFonts w:ascii="Arial" w:eastAsia="Batang" w:hAnsi="Arial" w:cs="Arial"/>
                <w:sz w:val="22"/>
                <w:lang w:eastAsia="ko-KR"/>
              </w:rPr>
            </w:pPr>
            <w:r>
              <w:rPr>
                <w:rFonts w:cs="Arial"/>
                <w:lang w:eastAsia="ko-KR"/>
              </w:rPr>
              <w:t>tert-BUTYL PEROXYNEODECANOATE,</w:t>
            </w:r>
          </w:p>
          <w:p w14:paraId="5CE42898"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52%, stable dispersion, in water</w:t>
            </w:r>
          </w:p>
        </w:tc>
        <w:tc>
          <w:tcPr>
            <w:tcW w:w="443" w:type="pct"/>
            <w:tcBorders>
              <w:top w:val="single" w:sz="4" w:space="0" w:color="auto"/>
              <w:left w:val="single" w:sz="4" w:space="0" w:color="auto"/>
              <w:bottom w:val="single" w:sz="4" w:space="0" w:color="auto"/>
              <w:right w:val="single" w:sz="4" w:space="0" w:color="auto"/>
            </w:tcBorders>
            <w:vAlign w:val="center"/>
            <w:hideMark/>
          </w:tcPr>
          <w:p w14:paraId="37F64468"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0</w:t>
            </w:r>
          </w:p>
        </w:tc>
        <w:tc>
          <w:tcPr>
            <w:tcW w:w="370" w:type="pct"/>
            <w:tcBorders>
              <w:top w:val="single" w:sz="4" w:space="0" w:color="auto"/>
              <w:left w:val="single" w:sz="4" w:space="0" w:color="auto"/>
              <w:bottom w:val="single" w:sz="4" w:space="0" w:color="auto"/>
              <w:right w:val="single" w:sz="4" w:space="0" w:color="auto"/>
            </w:tcBorders>
            <w:vAlign w:val="center"/>
            <w:hideMark/>
          </w:tcPr>
          <w:p w14:paraId="7DAB26EA"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516" w:type="pct"/>
            <w:tcBorders>
              <w:top w:val="single" w:sz="4" w:space="0" w:color="auto"/>
              <w:left w:val="single" w:sz="4" w:space="0" w:color="auto"/>
              <w:bottom w:val="single" w:sz="4" w:space="0" w:color="auto"/>
              <w:right w:val="single" w:sz="4" w:space="0" w:color="auto"/>
            </w:tcBorders>
            <w:vAlign w:val="center"/>
            <w:hideMark/>
          </w:tcPr>
          <w:p w14:paraId="2A00D6BF"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7D3B1B0D"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431" w:type="pct"/>
            <w:tcBorders>
              <w:top w:val="single" w:sz="4" w:space="0" w:color="auto"/>
              <w:left w:val="single" w:sz="4" w:space="0" w:color="auto"/>
              <w:bottom w:val="single" w:sz="4" w:space="0" w:color="auto"/>
              <w:right w:val="single" w:sz="4" w:space="0" w:color="auto"/>
            </w:tcBorders>
            <w:vAlign w:val="center"/>
          </w:tcPr>
          <w:p w14:paraId="5F89AE5E"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3FF334AC" w14:textId="77777777" w:rsidR="006748C3" w:rsidRDefault="006748C3">
            <w:pPr>
              <w:tabs>
                <w:tab w:val="left" w:pos="800"/>
                <w:tab w:val="left" w:pos="851"/>
              </w:tabs>
              <w:jc w:val="center"/>
              <w:rPr>
                <w:rFonts w:ascii="Arial" w:hAnsi="Arial" w:cs="Arial"/>
                <w:color w:val="000000" w:themeColor="text1"/>
                <w:sz w:val="22"/>
                <w:lang w:val="en-GB" w:eastAsia="ko-KR"/>
              </w:rPr>
            </w:pPr>
          </w:p>
        </w:tc>
      </w:tr>
      <w:tr w:rsidR="00F874FC" w14:paraId="1C04D8BC"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45753C17" w14:textId="77777777" w:rsidR="006748C3" w:rsidRDefault="006748C3">
            <w:pPr>
              <w:tabs>
                <w:tab w:val="left" w:pos="800"/>
              </w:tabs>
              <w:rPr>
                <w:rFonts w:ascii="Arial" w:eastAsia="Batang" w:hAnsi="Arial" w:cs="Arial"/>
                <w:sz w:val="22"/>
                <w:lang w:eastAsia="ko-KR"/>
              </w:rPr>
            </w:pPr>
            <w:r>
              <w:rPr>
                <w:rFonts w:cs="Arial"/>
                <w:lang w:eastAsia="ko-KR"/>
              </w:rPr>
              <w:t>tert-BUTYL PEROXIPIVALTE,</w:t>
            </w:r>
          </w:p>
          <w:p w14:paraId="3D8F095C"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27% in diluent type B</w:t>
            </w:r>
          </w:p>
        </w:tc>
        <w:tc>
          <w:tcPr>
            <w:tcW w:w="443" w:type="pct"/>
            <w:tcBorders>
              <w:top w:val="single" w:sz="4" w:space="0" w:color="auto"/>
              <w:left w:val="single" w:sz="4" w:space="0" w:color="auto"/>
              <w:bottom w:val="single" w:sz="4" w:space="0" w:color="auto"/>
              <w:right w:val="single" w:sz="4" w:space="0" w:color="auto"/>
            </w:tcBorders>
            <w:vAlign w:val="center"/>
            <w:hideMark/>
          </w:tcPr>
          <w:p w14:paraId="3366E172"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+30</w:t>
            </w:r>
          </w:p>
        </w:tc>
        <w:tc>
          <w:tcPr>
            <w:tcW w:w="370" w:type="pct"/>
            <w:tcBorders>
              <w:top w:val="single" w:sz="4" w:space="0" w:color="auto"/>
              <w:left w:val="single" w:sz="4" w:space="0" w:color="auto"/>
              <w:bottom w:val="single" w:sz="4" w:space="0" w:color="auto"/>
              <w:right w:val="single" w:sz="4" w:space="0" w:color="auto"/>
            </w:tcBorders>
            <w:vAlign w:val="center"/>
            <w:hideMark/>
          </w:tcPr>
          <w:p w14:paraId="0CE38FC9"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+35</w:t>
            </w:r>
          </w:p>
        </w:tc>
        <w:tc>
          <w:tcPr>
            <w:tcW w:w="516" w:type="pct"/>
            <w:tcBorders>
              <w:top w:val="single" w:sz="4" w:space="0" w:color="auto"/>
              <w:left w:val="single" w:sz="4" w:space="0" w:color="auto"/>
              <w:bottom w:val="single" w:sz="4" w:space="0" w:color="auto"/>
              <w:right w:val="single" w:sz="4" w:space="0" w:color="auto"/>
            </w:tcBorders>
            <w:vAlign w:val="center"/>
            <w:hideMark/>
          </w:tcPr>
          <w:p w14:paraId="110FBC6F"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463" w:type="pct"/>
            <w:tcBorders>
              <w:top w:val="single" w:sz="4" w:space="0" w:color="auto"/>
              <w:left w:val="single" w:sz="4" w:space="0" w:color="auto"/>
              <w:bottom w:val="single" w:sz="4" w:space="0" w:color="auto"/>
              <w:right w:val="single" w:sz="4" w:space="0" w:color="auto"/>
            </w:tcBorders>
            <w:vAlign w:val="center"/>
            <w:hideMark/>
          </w:tcPr>
          <w:p w14:paraId="23BC9A76"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431" w:type="pct"/>
            <w:tcBorders>
              <w:top w:val="single" w:sz="4" w:space="0" w:color="auto"/>
              <w:left w:val="single" w:sz="4" w:space="0" w:color="auto"/>
              <w:bottom w:val="single" w:sz="4" w:space="0" w:color="auto"/>
              <w:right w:val="single" w:sz="4" w:space="0" w:color="auto"/>
            </w:tcBorders>
            <w:vAlign w:val="center"/>
            <w:hideMark/>
          </w:tcPr>
          <w:p w14:paraId="157E53D2"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425" w:type="pct"/>
            <w:tcBorders>
              <w:top w:val="single" w:sz="4" w:space="0" w:color="auto"/>
              <w:left w:val="single" w:sz="4" w:space="0" w:color="auto"/>
              <w:bottom w:val="single" w:sz="4" w:space="0" w:color="auto"/>
              <w:right w:val="single" w:sz="4" w:space="0" w:color="auto"/>
            </w:tcBorders>
            <w:vAlign w:val="center"/>
            <w:hideMark/>
          </w:tcPr>
          <w:p w14:paraId="2A62668C"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r>
      <w:tr w:rsidR="00F874FC" w14:paraId="0C91AFF1"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00FB6FE7" w14:textId="77777777" w:rsidR="006748C3" w:rsidRDefault="006748C3">
            <w:pPr>
              <w:tabs>
                <w:tab w:val="left" w:pos="800"/>
              </w:tabs>
              <w:rPr>
                <w:rFonts w:ascii="Arial" w:eastAsia="Batang" w:hAnsi="Arial" w:cs="Arial"/>
                <w:sz w:val="22"/>
                <w:lang w:eastAsia="ko-KR"/>
              </w:rPr>
            </w:pPr>
            <w:r>
              <w:rPr>
                <w:rFonts w:cs="Arial"/>
                <w:lang w:eastAsia="ko-KR"/>
              </w:rPr>
              <w:t>CUMYL PEROXYNEODECANOATE,</w:t>
            </w:r>
          </w:p>
          <w:p w14:paraId="4900AEF5"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52%, stable dispersion, in water</w:t>
            </w:r>
          </w:p>
        </w:tc>
        <w:tc>
          <w:tcPr>
            <w:tcW w:w="443" w:type="pct"/>
            <w:tcBorders>
              <w:top w:val="single" w:sz="4" w:space="0" w:color="auto"/>
              <w:left w:val="single" w:sz="4" w:space="0" w:color="auto"/>
              <w:bottom w:val="single" w:sz="4" w:space="0" w:color="auto"/>
              <w:right w:val="single" w:sz="4" w:space="0" w:color="auto"/>
            </w:tcBorders>
            <w:vAlign w:val="center"/>
            <w:hideMark/>
          </w:tcPr>
          <w:p w14:paraId="3A44D621"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370" w:type="pct"/>
            <w:tcBorders>
              <w:top w:val="single" w:sz="4" w:space="0" w:color="auto"/>
              <w:left w:val="single" w:sz="4" w:space="0" w:color="auto"/>
              <w:bottom w:val="single" w:sz="4" w:space="0" w:color="auto"/>
              <w:right w:val="single" w:sz="4" w:space="0" w:color="auto"/>
            </w:tcBorders>
            <w:vAlign w:val="center"/>
            <w:hideMark/>
          </w:tcPr>
          <w:p w14:paraId="7DD78F38"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0</w:t>
            </w:r>
          </w:p>
        </w:tc>
        <w:tc>
          <w:tcPr>
            <w:tcW w:w="516" w:type="pct"/>
            <w:tcBorders>
              <w:top w:val="single" w:sz="4" w:space="0" w:color="auto"/>
              <w:left w:val="single" w:sz="4" w:space="0" w:color="auto"/>
              <w:bottom w:val="single" w:sz="4" w:space="0" w:color="auto"/>
              <w:right w:val="single" w:sz="4" w:space="0" w:color="auto"/>
            </w:tcBorders>
            <w:vAlign w:val="center"/>
            <w:hideMark/>
          </w:tcPr>
          <w:p w14:paraId="519E5260"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463" w:type="pct"/>
            <w:tcBorders>
              <w:top w:val="single" w:sz="4" w:space="0" w:color="auto"/>
              <w:left w:val="single" w:sz="4" w:space="0" w:color="auto"/>
              <w:bottom w:val="single" w:sz="4" w:space="0" w:color="auto"/>
              <w:right w:val="single" w:sz="4" w:space="0" w:color="auto"/>
            </w:tcBorders>
            <w:vAlign w:val="center"/>
            <w:hideMark/>
          </w:tcPr>
          <w:p w14:paraId="41CB109B"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431" w:type="pct"/>
            <w:tcBorders>
              <w:top w:val="single" w:sz="4" w:space="0" w:color="auto"/>
              <w:left w:val="single" w:sz="4" w:space="0" w:color="auto"/>
              <w:bottom w:val="single" w:sz="4" w:space="0" w:color="auto"/>
              <w:right w:val="single" w:sz="4" w:space="0" w:color="auto"/>
            </w:tcBorders>
            <w:vAlign w:val="center"/>
          </w:tcPr>
          <w:p w14:paraId="2648DB15"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54098720" w14:textId="77777777" w:rsidR="006748C3" w:rsidRDefault="006748C3">
            <w:pPr>
              <w:tabs>
                <w:tab w:val="left" w:pos="800"/>
                <w:tab w:val="left" w:pos="851"/>
              </w:tabs>
              <w:jc w:val="center"/>
              <w:rPr>
                <w:rFonts w:ascii="Arial" w:hAnsi="Arial" w:cs="Arial"/>
                <w:color w:val="000000" w:themeColor="text1"/>
                <w:sz w:val="22"/>
                <w:lang w:val="en-GB" w:eastAsia="ko-KR"/>
              </w:rPr>
            </w:pPr>
          </w:p>
        </w:tc>
      </w:tr>
      <w:tr w:rsidR="00F874FC" w14:paraId="44628F74"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4C1777CF" w14:textId="77777777" w:rsidR="006748C3" w:rsidRDefault="006748C3">
            <w:pPr>
              <w:tabs>
                <w:tab w:val="left" w:pos="800"/>
              </w:tabs>
              <w:rPr>
                <w:rFonts w:ascii="Arial" w:eastAsia="Batang" w:hAnsi="Arial" w:cs="Arial"/>
                <w:sz w:val="22"/>
                <w:lang w:eastAsia="ko-KR"/>
              </w:rPr>
            </w:pPr>
            <w:r>
              <w:rPr>
                <w:rFonts w:cs="Arial"/>
                <w:lang w:eastAsia="ko-KR"/>
              </w:rPr>
              <w:t>DI-(2-ETHYLHEXYL) PEROXYDICARBONATE,</w:t>
            </w:r>
          </w:p>
          <w:p w14:paraId="3B5C1013"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62%, stable dispersion, in water</w:t>
            </w:r>
          </w:p>
        </w:tc>
        <w:tc>
          <w:tcPr>
            <w:tcW w:w="443" w:type="pct"/>
            <w:tcBorders>
              <w:top w:val="single" w:sz="4" w:space="0" w:color="auto"/>
              <w:left w:val="single" w:sz="4" w:space="0" w:color="auto"/>
              <w:bottom w:val="single" w:sz="4" w:space="0" w:color="auto"/>
              <w:right w:val="single" w:sz="4" w:space="0" w:color="auto"/>
            </w:tcBorders>
            <w:vAlign w:val="center"/>
            <w:hideMark/>
          </w:tcPr>
          <w:p w14:paraId="55E17481"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370" w:type="pct"/>
            <w:tcBorders>
              <w:top w:val="single" w:sz="4" w:space="0" w:color="auto"/>
              <w:left w:val="single" w:sz="4" w:space="0" w:color="auto"/>
              <w:bottom w:val="single" w:sz="4" w:space="0" w:color="auto"/>
              <w:right w:val="single" w:sz="4" w:space="0" w:color="auto"/>
            </w:tcBorders>
            <w:vAlign w:val="center"/>
            <w:hideMark/>
          </w:tcPr>
          <w:p w14:paraId="453F5D4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516" w:type="pct"/>
            <w:tcBorders>
              <w:top w:val="single" w:sz="4" w:space="0" w:color="auto"/>
              <w:left w:val="single" w:sz="4" w:space="0" w:color="auto"/>
              <w:bottom w:val="single" w:sz="4" w:space="0" w:color="auto"/>
              <w:right w:val="single" w:sz="4" w:space="0" w:color="auto"/>
            </w:tcBorders>
            <w:vAlign w:val="center"/>
            <w:hideMark/>
          </w:tcPr>
          <w:p w14:paraId="2AE9E2D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c>
          <w:tcPr>
            <w:tcW w:w="463" w:type="pct"/>
            <w:tcBorders>
              <w:top w:val="single" w:sz="4" w:space="0" w:color="auto"/>
              <w:left w:val="single" w:sz="4" w:space="0" w:color="auto"/>
              <w:bottom w:val="single" w:sz="4" w:space="0" w:color="auto"/>
              <w:right w:val="single" w:sz="4" w:space="0" w:color="auto"/>
            </w:tcBorders>
            <w:vAlign w:val="center"/>
            <w:hideMark/>
          </w:tcPr>
          <w:p w14:paraId="69AFB2C9"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431" w:type="pct"/>
            <w:tcBorders>
              <w:top w:val="single" w:sz="4" w:space="0" w:color="auto"/>
              <w:left w:val="single" w:sz="4" w:space="0" w:color="auto"/>
              <w:bottom w:val="single" w:sz="4" w:space="0" w:color="auto"/>
              <w:right w:val="single" w:sz="4" w:space="0" w:color="auto"/>
            </w:tcBorders>
            <w:vAlign w:val="center"/>
          </w:tcPr>
          <w:p w14:paraId="146AA5B5"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5A63DEAE" w14:textId="77777777" w:rsidR="006748C3" w:rsidRDefault="006748C3">
            <w:pPr>
              <w:tabs>
                <w:tab w:val="left" w:pos="800"/>
                <w:tab w:val="left" w:pos="851"/>
              </w:tabs>
              <w:jc w:val="center"/>
              <w:rPr>
                <w:rFonts w:ascii="Arial" w:hAnsi="Arial" w:cs="Arial"/>
                <w:color w:val="000000" w:themeColor="text1"/>
                <w:sz w:val="22"/>
                <w:lang w:val="en-GB" w:eastAsia="ko-KR"/>
              </w:rPr>
            </w:pPr>
          </w:p>
        </w:tc>
      </w:tr>
      <w:tr w:rsidR="00F874FC" w14:paraId="6741239B"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1426319B" w14:textId="77777777" w:rsidR="006748C3" w:rsidRDefault="006748C3">
            <w:pPr>
              <w:tabs>
                <w:tab w:val="left" w:pos="800"/>
              </w:tabs>
              <w:rPr>
                <w:rFonts w:ascii="Arial" w:eastAsia="Batang" w:hAnsi="Arial" w:cs="Arial"/>
                <w:sz w:val="22"/>
                <w:lang w:eastAsia="ko-KR"/>
              </w:rPr>
            </w:pPr>
            <w:r>
              <w:rPr>
                <w:rFonts w:cs="Arial"/>
                <w:lang w:eastAsia="ko-KR"/>
              </w:rPr>
              <w:t>DIISOBUTYRYL PEROXIDE,</w:t>
            </w:r>
          </w:p>
          <w:p w14:paraId="1849C055"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42% as a stable dispersion in water</w:t>
            </w:r>
          </w:p>
        </w:tc>
        <w:tc>
          <w:tcPr>
            <w:tcW w:w="443" w:type="pct"/>
            <w:tcBorders>
              <w:top w:val="single" w:sz="4" w:space="0" w:color="auto"/>
              <w:left w:val="single" w:sz="4" w:space="0" w:color="auto"/>
              <w:bottom w:val="single" w:sz="4" w:space="0" w:color="auto"/>
              <w:right w:val="single" w:sz="4" w:space="0" w:color="auto"/>
            </w:tcBorders>
            <w:vAlign w:val="center"/>
            <w:hideMark/>
          </w:tcPr>
          <w:p w14:paraId="6064391F"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c>
          <w:tcPr>
            <w:tcW w:w="370" w:type="pct"/>
            <w:tcBorders>
              <w:top w:val="single" w:sz="4" w:space="0" w:color="auto"/>
              <w:left w:val="single" w:sz="4" w:space="0" w:color="auto"/>
              <w:bottom w:val="single" w:sz="4" w:space="0" w:color="auto"/>
              <w:right w:val="single" w:sz="4" w:space="0" w:color="auto"/>
            </w:tcBorders>
            <w:vAlign w:val="center"/>
            <w:hideMark/>
          </w:tcPr>
          <w:p w14:paraId="7FF03599"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-10</w:t>
            </w:r>
          </w:p>
        </w:tc>
        <w:tc>
          <w:tcPr>
            <w:tcW w:w="516" w:type="pct"/>
            <w:tcBorders>
              <w:top w:val="single" w:sz="4" w:space="0" w:color="auto"/>
              <w:left w:val="single" w:sz="4" w:space="0" w:color="auto"/>
              <w:bottom w:val="single" w:sz="4" w:space="0" w:color="auto"/>
              <w:right w:val="single" w:sz="4" w:space="0" w:color="auto"/>
            </w:tcBorders>
            <w:vAlign w:val="center"/>
            <w:hideMark/>
          </w:tcPr>
          <w:p w14:paraId="3D451888"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-25</w:t>
            </w:r>
          </w:p>
        </w:tc>
        <w:tc>
          <w:tcPr>
            <w:tcW w:w="463" w:type="pct"/>
            <w:tcBorders>
              <w:top w:val="single" w:sz="4" w:space="0" w:color="auto"/>
              <w:left w:val="single" w:sz="4" w:space="0" w:color="auto"/>
              <w:bottom w:val="single" w:sz="4" w:space="0" w:color="auto"/>
              <w:right w:val="single" w:sz="4" w:space="0" w:color="auto"/>
            </w:tcBorders>
            <w:vAlign w:val="center"/>
            <w:hideMark/>
          </w:tcPr>
          <w:p w14:paraId="1ECAED41"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431" w:type="pct"/>
            <w:tcBorders>
              <w:top w:val="single" w:sz="4" w:space="0" w:color="auto"/>
              <w:left w:val="single" w:sz="4" w:space="0" w:color="auto"/>
              <w:bottom w:val="single" w:sz="4" w:space="0" w:color="auto"/>
              <w:right w:val="single" w:sz="4" w:space="0" w:color="auto"/>
            </w:tcBorders>
            <w:vAlign w:val="center"/>
          </w:tcPr>
          <w:p w14:paraId="69FC93E7"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19C2F517" w14:textId="77777777" w:rsidR="006748C3" w:rsidRDefault="006748C3">
            <w:pPr>
              <w:tabs>
                <w:tab w:val="left" w:pos="800"/>
                <w:tab w:val="left" w:pos="851"/>
              </w:tabs>
              <w:jc w:val="center"/>
              <w:rPr>
                <w:rFonts w:ascii="Arial" w:hAnsi="Arial" w:cs="Arial"/>
                <w:color w:val="000000" w:themeColor="text1"/>
                <w:sz w:val="22"/>
                <w:lang w:val="en-GB" w:eastAsia="ko-KR"/>
              </w:rPr>
            </w:pPr>
          </w:p>
        </w:tc>
      </w:tr>
      <w:tr w:rsidR="00F874FC" w14:paraId="79FB4A1B" w14:textId="77777777" w:rsidTr="00F874FC">
        <w:trPr>
          <w:trHeight w:val="712"/>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48FFF09D" w14:textId="77777777" w:rsidR="006748C3" w:rsidRDefault="006748C3">
            <w:pPr>
              <w:tabs>
                <w:tab w:val="left" w:pos="800"/>
              </w:tabs>
              <w:rPr>
                <w:rFonts w:ascii="Arial" w:eastAsia="Batang" w:hAnsi="Arial" w:cs="Arial"/>
                <w:sz w:val="22"/>
                <w:lang w:eastAsia="ko-KR"/>
              </w:rPr>
            </w:pPr>
            <w:r>
              <w:rPr>
                <w:rFonts w:cs="Arial"/>
                <w:lang w:eastAsia="ko-KR"/>
              </w:rPr>
              <w:t>DIMYRISTYL PEROXYDICARBONATE,</w:t>
            </w:r>
          </w:p>
          <w:p w14:paraId="1DBE81D1" w14:textId="77777777" w:rsidR="006748C3" w:rsidRDefault="006748C3">
            <w:pPr>
              <w:tabs>
                <w:tab w:val="left" w:pos="800"/>
                <w:tab w:val="left" w:pos="851"/>
              </w:tabs>
              <w:jc w:val="both"/>
              <w:rPr>
                <w:rFonts w:ascii="Arial" w:hAnsi="Arial" w:cs="Arial"/>
                <w:sz w:val="22"/>
                <w:lang w:val="en-GB" w:eastAsia="ko-KR"/>
              </w:rPr>
            </w:pPr>
            <w:r>
              <w:rPr>
                <w:rFonts w:cs="Arial"/>
                <w:lang w:eastAsia="ko-KR"/>
              </w:rPr>
              <w:t>not more than 42%, stable dispersion, in water</w:t>
            </w:r>
          </w:p>
        </w:tc>
        <w:tc>
          <w:tcPr>
            <w:tcW w:w="443" w:type="pct"/>
            <w:tcBorders>
              <w:top w:val="single" w:sz="4" w:space="0" w:color="auto"/>
              <w:left w:val="single" w:sz="4" w:space="0" w:color="auto"/>
              <w:bottom w:val="single" w:sz="4" w:space="0" w:color="auto"/>
              <w:right w:val="single" w:sz="4" w:space="0" w:color="auto"/>
            </w:tcBorders>
            <w:vAlign w:val="center"/>
            <w:hideMark/>
          </w:tcPr>
          <w:p w14:paraId="3086ED0B"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c>
          <w:tcPr>
            <w:tcW w:w="370" w:type="pct"/>
            <w:tcBorders>
              <w:top w:val="single" w:sz="4" w:space="0" w:color="auto"/>
              <w:left w:val="single" w:sz="4" w:space="0" w:color="auto"/>
              <w:bottom w:val="single" w:sz="4" w:space="0" w:color="auto"/>
              <w:right w:val="single" w:sz="4" w:space="0" w:color="auto"/>
            </w:tcBorders>
            <w:vAlign w:val="center"/>
            <w:hideMark/>
          </w:tcPr>
          <w:p w14:paraId="434088BA"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+25</w:t>
            </w:r>
          </w:p>
        </w:tc>
        <w:tc>
          <w:tcPr>
            <w:tcW w:w="516" w:type="pct"/>
            <w:tcBorders>
              <w:top w:val="single" w:sz="4" w:space="0" w:color="auto"/>
              <w:left w:val="single" w:sz="4" w:space="0" w:color="auto"/>
              <w:bottom w:val="single" w:sz="4" w:space="0" w:color="auto"/>
              <w:right w:val="single" w:sz="4" w:space="0" w:color="auto"/>
            </w:tcBorders>
            <w:vAlign w:val="center"/>
            <w:hideMark/>
          </w:tcPr>
          <w:p w14:paraId="1DCA1739"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+15</w:t>
            </w:r>
          </w:p>
        </w:tc>
        <w:tc>
          <w:tcPr>
            <w:tcW w:w="463" w:type="pct"/>
            <w:tcBorders>
              <w:top w:val="single" w:sz="4" w:space="0" w:color="auto"/>
              <w:left w:val="single" w:sz="4" w:space="0" w:color="auto"/>
              <w:bottom w:val="single" w:sz="4" w:space="0" w:color="auto"/>
              <w:right w:val="single" w:sz="4" w:space="0" w:color="auto"/>
            </w:tcBorders>
            <w:vAlign w:val="center"/>
            <w:hideMark/>
          </w:tcPr>
          <w:p w14:paraId="6CE99C67"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c>
          <w:tcPr>
            <w:tcW w:w="431" w:type="pct"/>
            <w:tcBorders>
              <w:top w:val="single" w:sz="4" w:space="0" w:color="auto"/>
              <w:left w:val="single" w:sz="4" w:space="0" w:color="auto"/>
              <w:bottom w:val="single" w:sz="4" w:space="0" w:color="auto"/>
              <w:right w:val="single" w:sz="4" w:space="0" w:color="auto"/>
            </w:tcBorders>
            <w:vAlign w:val="center"/>
          </w:tcPr>
          <w:p w14:paraId="59220C2F"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0A3A4F27" w14:textId="77777777" w:rsidR="006748C3" w:rsidRDefault="006748C3">
            <w:pPr>
              <w:tabs>
                <w:tab w:val="left" w:pos="800"/>
                <w:tab w:val="left" w:pos="851"/>
              </w:tabs>
              <w:jc w:val="center"/>
              <w:rPr>
                <w:rFonts w:ascii="Arial" w:hAnsi="Arial" w:cs="Arial"/>
                <w:color w:val="000000" w:themeColor="text1"/>
                <w:sz w:val="22"/>
                <w:lang w:val="en-GB" w:eastAsia="ko-KR"/>
              </w:rPr>
            </w:pPr>
          </w:p>
        </w:tc>
      </w:tr>
      <w:tr w:rsidR="00F874FC" w14:paraId="1F0E4AB8" w14:textId="77777777" w:rsidTr="00F874FC">
        <w:trPr>
          <w:trHeight w:val="706"/>
          <w:jc w:val="center"/>
        </w:trPr>
        <w:tc>
          <w:tcPr>
            <w:tcW w:w="2352" w:type="pct"/>
            <w:tcBorders>
              <w:top w:val="single" w:sz="4" w:space="0" w:color="auto"/>
              <w:left w:val="single" w:sz="4" w:space="0" w:color="auto"/>
              <w:bottom w:val="single" w:sz="4" w:space="0" w:color="auto"/>
              <w:right w:val="single" w:sz="4" w:space="0" w:color="auto"/>
            </w:tcBorders>
            <w:vAlign w:val="center"/>
            <w:hideMark/>
          </w:tcPr>
          <w:p w14:paraId="3856DDD4" w14:textId="77777777" w:rsidR="006748C3" w:rsidRDefault="006748C3">
            <w:pPr>
              <w:tabs>
                <w:tab w:val="center" w:pos="2287"/>
              </w:tabs>
              <w:rPr>
                <w:rFonts w:ascii="Arial" w:eastAsia="Batang" w:hAnsi="Arial" w:cs="Arial"/>
                <w:sz w:val="22"/>
                <w:lang w:eastAsia="ko-KR"/>
              </w:rPr>
            </w:pPr>
            <w:r>
              <w:rPr>
                <w:rFonts w:cs="Arial"/>
                <w:lang w:eastAsia="ko-KR"/>
              </w:rPr>
              <w:t>DI-(3,5,5-TRIMETHYLHEXANOYL) PEROXIDE,</w:t>
            </w:r>
          </w:p>
          <w:p w14:paraId="7788D6C5" w14:textId="77777777" w:rsidR="006748C3" w:rsidRDefault="006748C3">
            <w:pPr>
              <w:tabs>
                <w:tab w:val="center" w:pos="2287"/>
              </w:tabs>
              <w:jc w:val="both"/>
              <w:rPr>
                <w:rFonts w:ascii="Arial" w:hAnsi="Arial" w:cs="Arial"/>
                <w:sz w:val="22"/>
                <w:lang w:val="en-GB" w:eastAsia="ko-KR"/>
              </w:rPr>
            </w:pPr>
            <w:r>
              <w:rPr>
                <w:rFonts w:cs="Arial"/>
                <w:lang w:eastAsia="ko-KR"/>
              </w:rPr>
              <w:t>not more than 38% in diluent type A</w:t>
            </w:r>
          </w:p>
        </w:tc>
        <w:tc>
          <w:tcPr>
            <w:tcW w:w="443" w:type="pct"/>
            <w:tcBorders>
              <w:top w:val="single" w:sz="4" w:space="0" w:color="auto"/>
              <w:left w:val="single" w:sz="4" w:space="0" w:color="auto"/>
              <w:bottom w:val="single" w:sz="4" w:space="0" w:color="auto"/>
              <w:right w:val="single" w:sz="4" w:space="0" w:color="auto"/>
            </w:tcBorders>
            <w:vAlign w:val="center"/>
            <w:hideMark/>
          </w:tcPr>
          <w:p w14:paraId="57A42BB7"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+20</w:t>
            </w:r>
          </w:p>
        </w:tc>
        <w:tc>
          <w:tcPr>
            <w:tcW w:w="370" w:type="pct"/>
            <w:tcBorders>
              <w:top w:val="single" w:sz="4" w:space="0" w:color="auto"/>
              <w:left w:val="single" w:sz="4" w:space="0" w:color="auto"/>
              <w:bottom w:val="single" w:sz="4" w:space="0" w:color="auto"/>
              <w:right w:val="single" w:sz="4" w:space="0" w:color="auto"/>
            </w:tcBorders>
            <w:vAlign w:val="center"/>
            <w:hideMark/>
          </w:tcPr>
          <w:p w14:paraId="502DF7E7"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+25</w:t>
            </w:r>
          </w:p>
        </w:tc>
        <w:tc>
          <w:tcPr>
            <w:tcW w:w="516" w:type="pct"/>
            <w:tcBorders>
              <w:top w:val="single" w:sz="4" w:space="0" w:color="auto"/>
              <w:left w:val="single" w:sz="4" w:space="0" w:color="auto"/>
              <w:bottom w:val="single" w:sz="4" w:space="0" w:color="auto"/>
              <w:right w:val="single" w:sz="4" w:space="0" w:color="auto"/>
            </w:tcBorders>
            <w:vAlign w:val="center"/>
            <w:hideMark/>
          </w:tcPr>
          <w:p w14:paraId="0E8C2C6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328FB924" w14:textId="77777777" w:rsidR="006748C3" w:rsidRDefault="006748C3">
            <w:pPr>
              <w:tabs>
                <w:tab w:val="left" w:pos="800"/>
                <w:tab w:val="left" w:pos="851"/>
              </w:tabs>
              <w:jc w:val="center"/>
              <w:rPr>
                <w:rFonts w:ascii="Arial" w:hAnsi="Arial" w:cs="Arial"/>
                <w:color w:val="000000" w:themeColor="text1"/>
                <w:sz w:val="22"/>
                <w:lang w:val="en-GB" w:eastAsia="ko-KR"/>
              </w:rPr>
            </w:pPr>
            <w:r>
              <w:rPr>
                <w:rFonts w:cs="Arial"/>
                <w:color w:val="000000" w:themeColor="text1"/>
                <w:lang w:eastAsia="ko-KR"/>
              </w:rPr>
              <w:t>+5</w:t>
            </w:r>
          </w:p>
        </w:tc>
        <w:tc>
          <w:tcPr>
            <w:tcW w:w="431" w:type="pct"/>
            <w:tcBorders>
              <w:top w:val="single" w:sz="4" w:space="0" w:color="auto"/>
              <w:left w:val="single" w:sz="4" w:space="0" w:color="auto"/>
              <w:bottom w:val="single" w:sz="4" w:space="0" w:color="auto"/>
              <w:right w:val="single" w:sz="4" w:space="0" w:color="auto"/>
            </w:tcBorders>
            <w:vAlign w:val="center"/>
          </w:tcPr>
          <w:p w14:paraId="4EBE787D" w14:textId="77777777" w:rsidR="006748C3" w:rsidRDefault="006748C3">
            <w:pPr>
              <w:tabs>
                <w:tab w:val="left" w:pos="800"/>
                <w:tab w:val="left" w:pos="851"/>
              </w:tabs>
              <w:jc w:val="center"/>
              <w:rPr>
                <w:rFonts w:ascii="Arial" w:hAnsi="Arial" w:cs="Arial"/>
                <w:color w:val="000000" w:themeColor="text1"/>
                <w:sz w:val="22"/>
                <w:lang w:val="en-GB" w:eastAsia="ko-KR"/>
              </w:rPr>
            </w:pPr>
          </w:p>
        </w:tc>
        <w:tc>
          <w:tcPr>
            <w:tcW w:w="425" w:type="pct"/>
            <w:tcBorders>
              <w:top w:val="single" w:sz="4" w:space="0" w:color="auto"/>
              <w:left w:val="single" w:sz="4" w:space="0" w:color="auto"/>
              <w:bottom w:val="single" w:sz="4" w:space="0" w:color="auto"/>
              <w:right w:val="single" w:sz="4" w:space="0" w:color="auto"/>
            </w:tcBorders>
            <w:vAlign w:val="center"/>
          </w:tcPr>
          <w:p w14:paraId="7C212827" w14:textId="77777777" w:rsidR="006748C3" w:rsidRDefault="006748C3">
            <w:pPr>
              <w:tabs>
                <w:tab w:val="left" w:pos="800"/>
                <w:tab w:val="left" w:pos="851"/>
              </w:tabs>
              <w:jc w:val="center"/>
              <w:rPr>
                <w:rFonts w:ascii="Arial" w:hAnsi="Arial" w:cs="Arial"/>
                <w:color w:val="000000" w:themeColor="text1"/>
                <w:sz w:val="22"/>
                <w:lang w:val="en-GB" w:eastAsia="ko-KR"/>
              </w:rPr>
            </w:pPr>
          </w:p>
        </w:tc>
      </w:tr>
    </w:tbl>
    <w:p w14:paraId="7E91AD58" w14:textId="5F893840" w:rsidR="006748C3" w:rsidRDefault="00007C84" w:rsidP="00844A07">
      <w:pPr>
        <w:pStyle w:val="SingleTxtG"/>
        <w:spacing w:before="240"/>
        <w:rPr>
          <w:lang w:eastAsia="ko-KR"/>
        </w:rPr>
      </w:pPr>
      <w:r w:rsidRPr="00F874FC">
        <w:rPr>
          <w:rFonts w:hint="eastAsia"/>
          <w:b/>
          <w:lang w:eastAsia="ko-KR"/>
        </w:rPr>
        <w:t>Note 1</w:t>
      </w:r>
      <w:r>
        <w:rPr>
          <w:rFonts w:hint="eastAsia"/>
          <w:lang w:eastAsia="ko-KR"/>
        </w:rPr>
        <w:t xml:space="preserve">: </w:t>
      </w:r>
      <w:r w:rsidR="00DF34AC">
        <w:rPr>
          <w:lang w:eastAsia="ko-KR"/>
        </w:rPr>
        <w:t>“</w:t>
      </w:r>
      <w:r>
        <w:rPr>
          <w:rFonts w:hint="eastAsia"/>
          <w:lang w:eastAsia="ko-KR"/>
        </w:rPr>
        <w:t>C.T.</w:t>
      </w:r>
      <w:r w:rsidR="00DF34AC">
        <w:rPr>
          <w:lang w:eastAsia="ko-KR"/>
        </w:rPr>
        <w:t>”</w:t>
      </w:r>
      <w:r>
        <w:rPr>
          <w:rFonts w:hint="eastAsia"/>
          <w:lang w:eastAsia="ko-KR"/>
        </w:rPr>
        <w:t xml:space="preserve"> and </w:t>
      </w:r>
      <w:r w:rsidR="00DF34AC">
        <w:rPr>
          <w:lang w:eastAsia="ko-KR"/>
        </w:rPr>
        <w:t>“</w:t>
      </w:r>
      <w:r>
        <w:rPr>
          <w:rFonts w:hint="eastAsia"/>
          <w:lang w:eastAsia="ko-KR"/>
        </w:rPr>
        <w:t>E.T.</w:t>
      </w:r>
      <w:r w:rsidR="00DF34AC">
        <w:rPr>
          <w:lang w:eastAsia="ko-KR"/>
        </w:rPr>
        <w:t>”</w:t>
      </w:r>
      <w:r>
        <w:rPr>
          <w:rFonts w:hint="eastAsia"/>
          <w:lang w:eastAsia="ko-KR"/>
        </w:rPr>
        <w:t xml:space="preserve"> mean </w:t>
      </w:r>
      <w:r w:rsidR="00DF34AC">
        <w:rPr>
          <w:lang w:eastAsia="ko-KR"/>
        </w:rPr>
        <w:t>“</w:t>
      </w:r>
      <w:r>
        <w:rPr>
          <w:rFonts w:hint="eastAsia"/>
          <w:lang w:eastAsia="ko-KR"/>
        </w:rPr>
        <w:t>Control Temperature</w:t>
      </w:r>
      <w:r w:rsidR="00DF34AC">
        <w:rPr>
          <w:lang w:eastAsia="ko-KR"/>
        </w:rPr>
        <w:t>”</w:t>
      </w:r>
      <w:r>
        <w:rPr>
          <w:rFonts w:hint="eastAsia"/>
          <w:lang w:eastAsia="ko-KR"/>
        </w:rPr>
        <w:t xml:space="preserve"> and </w:t>
      </w:r>
      <w:r w:rsidR="00DF34AC">
        <w:rPr>
          <w:lang w:eastAsia="ko-KR"/>
        </w:rPr>
        <w:t>“</w:t>
      </w:r>
      <w:r>
        <w:rPr>
          <w:rFonts w:hint="eastAsia"/>
          <w:lang w:eastAsia="ko-KR"/>
        </w:rPr>
        <w:t>Emergency Temperatures</w:t>
      </w:r>
      <w:r w:rsidR="00DF34AC">
        <w:rPr>
          <w:lang w:eastAsia="ko-KR"/>
        </w:rPr>
        <w:t>”</w:t>
      </w:r>
      <w:r>
        <w:rPr>
          <w:rFonts w:hint="eastAsia"/>
          <w:lang w:eastAsia="ko-KR"/>
        </w:rPr>
        <w:t>, respectively.</w:t>
      </w:r>
    </w:p>
    <w:p w14:paraId="50255B9E" w14:textId="460B7E88" w:rsidR="00A56275" w:rsidRDefault="00007C84">
      <w:pPr>
        <w:pStyle w:val="SingleTxtG"/>
        <w:rPr>
          <w:lang w:eastAsia="ko-KR"/>
        </w:rPr>
      </w:pPr>
      <w:r w:rsidRPr="00773685">
        <w:rPr>
          <w:b/>
          <w:lang w:eastAsia="ko-KR"/>
        </w:rPr>
        <w:t>Note 2</w:t>
      </w:r>
      <w:r w:rsidRPr="00773685">
        <w:rPr>
          <w:lang w:eastAsia="ko-KR"/>
        </w:rPr>
        <w:t xml:space="preserve">: </w:t>
      </w:r>
      <w:bookmarkStart w:id="3" w:name="_Hlk36471573"/>
      <w:r w:rsidRPr="00773685">
        <w:rPr>
          <w:lang w:eastAsia="ko-KR"/>
        </w:rPr>
        <w:t xml:space="preserve">Formulations </w:t>
      </w:r>
      <w:r w:rsidR="004D3EA4">
        <w:rPr>
          <w:lang w:eastAsia="ko-KR"/>
        </w:rPr>
        <w:t xml:space="preserve">that do not require temperature control </w:t>
      </w:r>
      <w:r w:rsidR="00773685" w:rsidRPr="00C30825">
        <w:rPr>
          <w:lang w:eastAsia="ko-KR"/>
        </w:rPr>
        <w:t>are not included</w:t>
      </w:r>
      <w:r w:rsidR="00A56275" w:rsidRPr="00C30825">
        <w:rPr>
          <w:lang w:eastAsia="ko-KR"/>
        </w:rPr>
        <w:t xml:space="preserve"> in </w:t>
      </w:r>
      <w:r w:rsidRPr="00773685">
        <w:rPr>
          <w:lang w:eastAsia="ko-KR"/>
        </w:rPr>
        <w:t xml:space="preserve">the above table </w:t>
      </w:r>
      <w:r w:rsidR="004D3EA4">
        <w:rPr>
          <w:lang w:eastAsia="ko-KR"/>
        </w:rPr>
        <w:t xml:space="preserve">as they do not have </w:t>
      </w:r>
      <w:r w:rsidR="004D3EA4" w:rsidRPr="00773685">
        <w:rPr>
          <w:lang w:eastAsia="ko-KR"/>
        </w:rPr>
        <w:t>control and emergency temperatures</w:t>
      </w:r>
      <w:proofErr w:type="gramStart"/>
      <w:r w:rsidR="00791661">
        <w:rPr>
          <w:lang w:eastAsia="ko-KR"/>
        </w:rPr>
        <w:t>.</w:t>
      </w:r>
      <w:r w:rsidR="00791661" w:rsidRPr="00773685" w:rsidDel="00A56275">
        <w:rPr>
          <w:lang w:eastAsia="ko-KR"/>
        </w:rPr>
        <w:t xml:space="preserve"> </w:t>
      </w:r>
      <w:r w:rsidR="00F874FC" w:rsidRPr="00773685">
        <w:rPr>
          <w:lang w:eastAsia="ko-KR"/>
        </w:rPr>
        <w:t>.</w:t>
      </w:r>
      <w:proofErr w:type="gramEnd"/>
    </w:p>
    <w:bookmarkEnd w:id="3"/>
    <w:p w14:paraId="29B96A1A" w14:textId="46D11BCB" w:rsidR="00844A07" w:rsidRPr="00844A07" w:rsidRDefault="00844A07" w:rsidP="00844A07">
      <w:pPr>
        <w:spacing w:before="240"/>
        <w:jc w:val="center"/>
        <w:rPr>
          <w:u w:val="single"/>
          <w:lang w:eastAsia="ko-KR"/>
        </w:rPr>
      </w:pPr>
      <w:r>
        <w:rPr>
          <w:u w:val="single"/>
          <w:lang w:eastAsia="ko-KR"/>
        </w:rPr>
        <w:tab/>
      </w:r>
      <w:r>
        <w:rPr>
          <w:u w:val="single"/>
          <w:lang w:eastAsia="ko-KR"/>
        </w:rPr>
        <w:tab/>
      </w:r>
      <w:r>
        <w:rPr>
          <w:u w:val="single"/>
          <w:lang w:eastAsia="ko-KR"/>
        </w:rPr>
        <w:tab/>
      </w:r>
    </w:p>
    <w:p w14:paraId="268E9404" w14:textId="77777777" w:rsidR="00844A07" w:rsidRPr="006748C3" w:rsidRDefault="00844A07" w:rsidP="00844A07">
      <w:pPr>
        <w:pStyle w:val="SingleTxtG"/>
        <w:rPr>
          <w:lang w:eastAsia="ko-KR"/>
        </w:rPr>
      </w:pPr>
    </w:p>
    <w:sectPr w:rsidR="00844A07" w:rsidRPr="006748C3" w:rsidSect="00D57F6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0449" w14:textId="77777777" w:rsidR="001E0285" w:rsidRPr="00C47B2E" w:rsidRDefault="001E0285" w:rsidP="00C47B2E">
      <w:pPr>
        <w:pStyle w:val="Footer"/>
      </w:pPr>
    </w:p>
  </w:endnote>
  <w:endnote w:type="continuationSeparator" w:id="0">
    <w:p w14:paraId="67D054E1" w14:textId="77777777" w:rsidR="001E0285" w:rsidRPr="00C47B2E" w:rsidRDefault="001E0285" w:rsidP="00C47B2E">
      <w:pPr>
        <w:pStyle w:val="Footer"/>
      </w:pPr>
    </w:p>
  </w:endnote>
  <w:endnote w:type="continuationNotice" w:id="1">
    <w:p w14:paraId="6399645F" w14:textId="77777777" w:rsidR="001E0285" w:rsidRPr="00C47B2E" w:rsidRDefault="001E028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
    <w:altName w:val="Arial"/>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622C" w14:textId="77777777" w:rsidR="00EF3C5E" w:rsidRPr="00D57F64" w:rsidRDefault="00EF3C5E" w:rsidP="00D57F64">
    <w:pPr>
      <w:pStyle w:val="Footer"/>
      <w:tabs>
        <w:tab w:val="right" w:pos="9598"/>
        <w:tab w:val="right" w:pos="9638"/>
      </w:tabs>
      <w:rPr>
        <w:sz w:val="18"/>
      </w:rPr>
    </w:pPr>
    <w:r w:rsidRPr="00D57F64">
      <w:rPr>
        <w:b/>
        <w:sz w:val="18"/>
      </w:rPr>
      <w:fldChar w:fldCharType="begin"/>
    </w:r>
    <w:r w:rsidRPr="00D57F64">
      <w:rPr>
        <w:b/>
        <w:sz w:val="18"/>
      </w:rPr>
      <w:instrText xml:space="preserve"> PAGE  \* MERGEFORMAT </w:instrText>
    </w:r>
    <w:r w:rsidRPr="00D57F64">
      <w:rPr>
        <w:b/>
        <w:sz w:val="18"/>
      </w:rPr>
      <w:fldChar w:fldCharType="separate"/>
    </w:r>
    <w:r w:rsidR="009D2C54">
      <w:rPr>
        <w:b/>
        <w:noProof/>
        <w:sz w:val="18"/>
      </w:rPr>
      <w:t>2</w:t>
    </w:r>
    <w:r w:rsidRPr="00D57F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C887" w14:textId="77777777" w:rsidR="00EF3C5E" w:rsidRPr="00D57F64" w:rsidRDefault="00EF3C5E" w:rsidP="00D57F64">
    <w:pPr>
      <w:pStyle w:val="Footer"/>
      <w:tabs>
        <w:tab w:val="left" w:pos="5775"/>
        <w:tab w:val="right" w:pos="9598"/>
        <w:tab w:val="right" w:pos="9638"/>
      </w:tabs>
      <w:rPr>
        <w:sz w:val="18"/>
      </w:rPr>
    </w:pPr>
    <w:r>
      <w:rPr>
        <w:b/>
        <w:sz w:val="18"/>
      </w:rPr>
      <w:tab/>
    </w:r>
    <w:r w:rsidRPr="00D57F64">
      <w:rPr>
        <w:sz w:val="18"/>
      </w:rPr>
      <w:fldChar w:fldCharType="begin"/>
    </w:r>
    <w:r w:rsidRPr="00D57F64">
      <w:rPr>
        <w:sz w:val="18"/>
      </w:rPr>
      <w:instrText xml:space="preserve"> PAGE  \* MERGEFORMAT </w:instrText>
    </w:r>
    <w:r w:rsidRPr="00D57F64">
      <w:rPr>
        <w:sz w:val="18"/>
      </w:rPr>
      <w:fldChar w:fldCharType="separate"/>
    </w:r>
    <w:r w:rsidR="009D2C54">
      <w:rPr>
        <w:noProof/>
        <w:sz w:val="18"/>
      </w:rPr>
      <w:t>3</w:t>
    </w:r>
    <w:r w:rsidRPr="00D57F6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A210" w14:textId="77777777" w:rsidR="001E0285" w:rsidRPr="00C47B2E" w:rsidRDefault="001E0285" w:rsidP="00C47B2E">
      <w:pPr>
        <w:tabs>
          <w:tab w:val="right" w:pos="2155"/>
        </w:tabs>
        <w:spacing w:after="80" w:line="240" w:lineRule="auto"/>
        <w:ind w:left="680"/>
      </w:pPr>
      <w:r>
        <w:rPr>
          <w:u w:val="single"/>
        </w:rPr>
        <w:tab/>
      </w:r>
    </w:p>
  </w:footnote>
  <w:footnote w:type="continuationSeparator" w:id="0">
    <w:p w14:paraId="5E7C4BE6" w14:textId="77777777" w:rsidR="001E0285" w:rsidRPr="00C47B2E" w:rsidRDefault="001E0285" w:rsidP="005E716E">
      <w:pPr>
        <w:tabs>
          <w:tab w:val="right" w:pos="2155"/>
        </w:tabs>
        <w:spacing w:after="80" w:line="240" w:lineRule="auto"/>
        <w:ind w:left="680"/>
      </w:pPr>
      <w:r>
        <w:rPr>
          <w:u w:val="single"/>
        </w:rPr>
        <w:tab/>
      </w:r>
    </w:p>
  </w:footnote>
  <w:footnote w:type="continuationNotice" w:id="1">
    <w:p w14:paraId="6BDD669E" w14:textId="77777777" w:rsidR="001E0285" w:rsidRPr="00C47B2E" w:rsidRDefault="001E0285" w:rsidP="00C47B2E">
      <w:pPr>
        <w:pStyle w:val="Footer"/>
      </w:pPr>
    </w:p>
  </w:footnote>
  <w:footnote w:id="2">
    <w:p w14:paraId="5C6D9034" w14:textId="16EA952A" w:rsidR="00A528E0" w:rsidRPr="0091571F" w:rsidRDefault="00A528E0" w:rsidP="00A528E0">
      <w:pPr>
        <w:pStyle w:val="FootnoteText"/>
        <w:tabs>
          <w:tab w:val="left" w:pos="1418"/>
        </w:tabs>
        <w:ind w:firstLine="0"/>
        <w:rPr>
          <w:lang w:val="en-US"/>
        </w:rPr>
      </w:pPr>
      <w:r>
        <w:rPr>
          <w:rStyle w:val="FootnoteReference"/>
        </w:rPr>
        <w:t>*</w:t>
      </w:r>
      <w:r>
        <w:t xml:space="preserve"> </w:t>
      </w:r>
      <w:r>
        <w:tab/>
      </w:r>
      <w:r w:rsidR="00EF1BB9" w:rsidRPr="00493B59">
        <w:rPr>
          <w:lang w:val="en-US"/>
        </w:rPr>
        <w:t xml:space="preserve">2020 (A/74/6 (Sect.20) and Supplementary, </w:t>
      </w:r>
      <w:proofErr w:type="spellStart"/>
      <w:r w:rsidR="00EF1BB9" w:rsidRPr="00493B59">
        <w:rPr>
          <w:lang w:val="en-US"/>
        </w:rPr>
        <w:t>Subprogramme</w:t>
      </w:r>
      <w:proofErr w:type="spellEnd"/>
      <w:r w:rsidR="00EF1BB9" w:rsidRPr="00493B59">
        <w:rPr>
          <w:lang w:val="en-US"/>
        </w:rPr>
        <w:t xml:space="preserve"> 2</w:t>
      </w:r>
      <w:r w:rsidR="00AA1C9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792" w14:textId="24705BD3" w:rsidR="00EF3C5E" w:rsidRPr="00A501DB" w:rsidRDefault="00EF3C5E">
    <w:pPr>
      <w:pStyle w:val="Header"/>
      <w:rPr>
        <w:rFonts w:eastAsia="Malgun Gothic"/>
        <w:lang w:val="fr-CH" w:eastAsia="ko-KR"/>
      </w:rPr>
    </w:pPr>
    <w:r w:rsidRPr="00A501DB">
      <w:rPr>
        <w:lang w:val="fr-CH"/>
      </w:rPr>
      <w:t>ST/SG/AC.10/C.3/20</w:t>
    </w:r>
    <w:r w:rsidR="00A528E0" w:rsidRPr="00A501DB">
      <w:rPr>
        <w:rFonts w:eastAsia="Malgun Gothic" w:hint="eastAsia"/>
        <w:lang w:val="fr-CH" w:eastAsia="ko-KR"/>
      </w:rPr>
      <w:t>20</w:t>
    </w:r>
    <w:r w:rsidR="00A528E0" w:rsidRPr="00A501DB">
      <w:rPr>
        <w:lang w:val="fr-CH"/>
      </w:rPr>
      <w:t>/</w:t>
    </w:r>
    <w:r w:rsidR="00EF1BB9">
      <w:rPr>
        <w:rFonts w:eastAsia="Malgun Gothic"/>
        <w:lang w:val="fr-CH" w:eastAsia="ko-K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4E11" w14:textId="07C07584" w:rsidR="00EF3C5E" w:rsidRPr="00A501DB" w:rsidRDefault="00EC77F8" w:rsidP="00EF1BB9">
    <w:pPr>
      <w:pStyle w:val="Header"/>
      <w:jc w:val="right"/>
    </w:pPr>
    <w:r>
      <w:fldChar w:fldCharType="begin"/>
    </w:r>
    <w:r>
      <w:instrText xml:space="preserve"> TITLE  \* MERGEFORMAT </w:instrText>
    </w:r>
    <w:r>
      <w:fldChar w:fldCharType="separate"/>
    </w:r>
    <w:r>
      <w:t>ST/SG/AC.10/C.3/2019/xx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64"/>
    <w:rsid w:val="00007C84"/>
    <w:rsid w:val="00024391"/>
    <w:rsid w:val="0004244F"/>
    <w:rsid w:val="00046E92"/>
    <w:rsid w:val="00063C90"/>
    <w:rsid w:val="00067EEB"/>
    <w:rsid w:val="00083B54"/>
    <w:rsid w:val="000B24C9"/>
    <w:rsid w:val="000D4079"/>
    <w:rsid w:val="000D7726"/>
    <w:rsid w:val="00101B98"/>
    <w:rsid w:val="001514D1"/>
    <w:rsid w:val="001C703F"/>
    <w:rsid w:val="001D605D"/>
    <w:rsid w:val="001E0285"/>
    <w:rsid w:val="001E3D58"/>
    <w:rsid w:val="002035EA"/>
    <w:rsid w:val="00205CF1"/>
    <w:rsid w:val="00205F7A"/>
    <w:rsid w:val="002068EB"/>
    <w:rsid w:val="00212637"/>
    <w:rsid w:val="00247E2C"/>
    <w:rsid w:val="002A32CB"/>
    <w:rsid w:val="002D5B2C"/>
    <w:rsid w:val="002D6C53"/>
    <w:rsid w:val="002E16B6"/>
    <w:rsid w:val="002F5595"/>
    <w:rsid w:val="0032761A"/>
    <w:rsid w:val="00334F6A"/>
    <w:rsid w:val="00342AC8"/>
    <w:rsid w:val="00343302"/>
    <w:rsid w:val="0035091E"/>
    <w:rsid w:val="00384614"/>
    <w:rsid w:val="003979DE"/>
    <w:rsid w:val="003A1B34"/>
    <w:rsid w:val="003B4550"/>
    <w:rsid w:val="003D2A18"/>
    <w:rsid w:val="004012E6"/>
    <w:rsid w:val="00405152"/>
    <w:rsid w:val="00413386"/>
    <w:rsid w:val="0044435C"/>
    <w:rsid w:val="00461253"/>
    <w:rsid w:val="00463D15"/>
    <w:rsid w:val="004858F5"/>
    <w:rsid w:val="004A2814"/>
    <w:rsid w:val="004C0622"/>
    <w:rsid w:val="004D3EA4"/>
    <w:rsid w:val="005042C2"/>
    <w:rsid w:val="00515107"/>
    <w:rsid w:val="00523711"/>
    <w:rsid w:val="00575BBA"/>
    <w:rsid w:val="0059112E"/>
    <w:rsid w:val="005934A3"/>
    <w:rsid w:val="00593E83"/>
    <w:rsid w:val="00597AB8"/>
    <w:rsid w:val="005B7E1A"/>
    <w:rsid w:val="005E716E"/>
    <w:rsid w:val="00621157"/>
    <w:rsid w:val="00625024"/>
    <w:rsid w:val="006476E1"/>
    <w:rsid w:val="006604DF"/>
    <w:rsid w:val="00671529"/>
    <w:rsid w:val="006748C3"/>
    <w:rsid w:val="006749A3"/>
    <w:rsid w:val="00690657"/>
    <w:rsid w:val="006A3CB9"/>
    <w:rsid w:val="006C3036"/>
    <w:rsid w:val="006D0865"/>
    <w:rsid w:val="006D6542"/>
    <w:rsid w:val="00701805"/>
    <w:rsid w:val="0070489D"/>
    <w:rsid w:val="007116F5"/>
    <w:rsid w:val="007268F9"/>
    <w:rsid w:val="00750282"/>
    <w:rsid w:val="00762F50"/>
    <w:rsid w:val="00764440"/>
    <w:rsid w:val="0077101B"/>
    <w:rsid w:val="00773685"/>
    <w:rsid w:val="00775A2F"/>
    <w:rsid w:val="00791661"/>
    <w:rsid w:val="007C52B0"/>
    <w:rsid w:val="007C6033"/>
    <w:rsid w:val="008147C8"/>
    <w:rsid w:val="0081753A"/>
    <w:rsid w:val="00844A07"/>
    <w:rsid w:val="0085600D"/>
    <w:rsid w:val="00857D23"/>
    <w:rsid w:val="009411B4"/>
    <w:rsid w:val="00946F1D"/>
    <w:rsid w:val="009D0139"/>
    <w:rsid w:val="009D2C54"/>
    <w:rsid w:val="009D717D"/>
    <w:rsid w:val="009F5CDC"/>
    <w:rsid w:val="00A072D7"/>
    <w:rsid w:val="00A33CDA"/>
    <w:rsid w:val="00A44999"/>
    <w:rsid w:val="00A501DB"/>
    <w:rsid w:val="00A528E0"/>
    <w:rsid w:val="00A56275"/>
    <w:rsid w:val="00A775CF"/>
    <w:rsid w:val="00A92C5D"/>
    <w:rsid w:val="00AA1C9A"/>
    <w:rsid w:val="00AD1A9C"/>
    <w:rsid w:val="00AF5DE1"/>
    <w:rsid w:val="00B04196"/>
    <w:rsid w:val="00B06045"/>
    <w:rsid w:val="00B206DD"/>
    <w:rsid w:val="00B330B3"/>
    <w:rsid w:val="00B52EF4"/>
    <w:rsid w:val="00B777AD"/>
    <w:rsid w:val="00BA77F2"/>
    <w:rsid w:val="00BA7985"/>
    <w:rsid w:val="00BE1A8A"/>
    <w:rsid w:val="00C03015"/>
    <w:rsid w:val="00C0358D"/>
    <w:rsid w:val="00C30825"/>
    <w:rsid w:val="00C35A27"/>
    <w:rsid w:val="00C47B2E"/>
    <w:rsid w:val="00D20A95"/>
    <w:rsid w:val="00D57F64"/>
    <w:rsid w:val="00D63CD2"/>
    <w:rsid w:val="00D850D2"/>
    <w:rsid w:val="00D87DC2"/>
    <w:rsid w:val="00D90591"/>
    <w:rsid w:val="00D94B05"/>
    <w:rsid w:val="00DE7811"/>
    <w:rsid w:val="00DF34AC"/>
    <w:rsid w:val="00E02C2B"/>
    <w:rsid w:val="00E21C27"/>
    <w:rsid w:val="00E26BCF"/>
    <w:rsid w:val="00E36700"/>
    <w:rsid w:val="00E52109"/>
    <w:rsid w:val="00E624F3"/>
    <w:rsid w:val="00E64595"/>
    <w:rsid w:val="00E75317"/>
    <w:rsid w:val="00E91D21"/>
    <w:rsid w:val="00EC0CE6"/>
    <w:rsid w:val="00EC77F8"/>
    <w:rsid w:val="00EC7C1D"/>
    <w:rsid w:val="00ED6C48"/>
    <w:rsid w:val="00EE3045"/>
    <w:rsid w:val="00EF1BB9"/>
    <w:rsid w:val="00EF3C5E"/>
    <w:rsid w:val="00F073CE"/>
    <w:rsid w:val="00F11916"/>
    <w:rsid w:val="00F237EB"/>
    <w:rsid w:val="00F520D0"/>
    <w:rsid w:val="00F648CC"/>
    <w:rsid w:val="00F65F5D"/>
    <w:rsid w:val="00F86A3A"/>
    <w:rsid w:val="00F874FC"/>
    <w:rsid w:val="00FA21BE"/>
    <w:rsid w:val="00FC21DC"/>
    <w:rsid w:val="00FE17BC"/>
    <w:rsid w:val="00FF10A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D3E7A5"/>
  <w15:docId w15:val="{0D934033-F58A-4079-90CE-A1F74FB2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5091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04765770">
      <w:bodyDiv w:val="1"/>
      <w:marLeft w:val="0"/>
      <w:marRight w:val="0"/>
      <w:marTop w:val="0"/>
      <w:marBottom w:val="0"/>
      <w:divBdr>
        <w:top w:val="none" w:sz="0" w:space="0" w:color="auto"/>
        <w:left w:val="none" w:sz="0" w:space="0" w:color="auto"/>
        <w:bottom w:val="none" w:sz="0" w:space="0" w:color="auto"/>
        <w:right w:val="none" w:sz="0" w:space="0" w:color="auto"/>
      </w:divBdr>
    </w:div>
    <w:div w:id="1469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1FF50347B245AA95EF6EBEDAA6E6" ma:contentTypeVersion="18" ma:contentTypeDescription="Create a new document." ma:contentTypeScope="" ma:versionID="36c913c47ee5c52a61e7489791bc048d">
  <xsd:schema xmlns:xsd="http://www.w3.org/2001/XMLSchema" xmlns:xs="http://www.w3.org/2001/XMLSchema" xmlns:p="http://schemas.microsoft.com/office/2006/metadata/properties" xmlns:ns3="f8fb02e3-efe1-4afb-b64d-2dc19112b07d" xmlns:ns4="1e8b82a5-14dd-4119-ae18-3113b58fb906" targetNamespace="http://schemas.microsoft.com/office/2006/metadata/properties" ma:root="true" ma:fieldsID="e9f4903d4d28882e6e166d90ecdf88f8" ns3:_="" ns4:_="">
    <xsd:import namespace="f8fb02e3-efe1-4afb-b64d-2dc19112b07d"/>
    <xsd:import namespace="1e8b82a5-14dd-4119-ae18-3113b58fb9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b02e3-efe1-4afb-b64d-2dc19112b07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82a5-14dd-4119-ae18-3113b58fb90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f8fb02e3-efe1-4afb-b64d-2dc19112b07d" xsi:nil="true"/>
    <MigrationWizIdPermissions xmlns="f8fb02e3-efe1-4afb-b64d-2dc19112b07d" xsi:nil="true"/>
    <MigrationWizId xmlns="f8fb02e3-efe1-4afb-b64d-2dc19112b07d" xsi:nil="true"/>
    <MigrationWizIdDocumentLibraryPermissions xmlns="f8fb02e3-efe1-4afb-b64d-2dc19112b07d" xsi:nil="true"/>
    <MigrationWizIdSecurityGroups xmlns="f8fb02e3-efe1-4afb-b64d-2dc19112b0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2A2-CCE4-42BA-9108-BC8389A6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b02e3-efe1-4afb-b64d-2dc19112b07d"/>
    <ds:schemaRef ds:uri="1e8b82a5-14dd-4119-ae18-3113b58f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4A0A9-1709-443C-BEA3-9801471B43DF}">
  <ds:schemaRefs>
    <ds:schemaRef ds:uri="http://schemas.microsoft.com/office/2006/metadata/properties"/>
    <ds:schemaRef ds:uri="1e8b82a5-14dd-4119-ae18-3113b58fb906"/>
    <ds:schemaRef ds:uri="http://purl.org/dc/terms/"/>
    <ds:schemaRef ds:uri="http://schemas.microsoft.com/office/2006/documentManagement/types"/>
    <ds:schemaRef ds:uri="f8fb02e3-efe1-4afb-b64d-2dc19112b07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324E93-ABBC-4E66-BECF-5F732C2099A8}">
  <ds:schemaRefs>
    <ds:schemaRef ds:uri="http://schemas.microsoft.com/sharepoint/v3/contenttype/forms"/>
  </ds:schemaRefs>
</ds:datastoreItem>
</file>

<file path=customXml/itemProps4.xml><?xml version="1.0" encoding="utf-8"?>
<ds:datastoreItem xmlns:ds="http://schemas.openxmlformats.org/officeDocument/2006/customXml" ds:itemID="{9322CC34-3B4E-4BC1-9682-ACA739A7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73</TotalTime>
  <Pages>3</Pages>
  <Words>755</Words>
  <Characters>4179</Characters>
  <Application>Microsoft Office Word</Application>
  <DocSecurity>0</DocSecurity>
  <Lines>174</Lines>
  <Paragraphs>129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ST/SG/AC.10/C.3/2019/xx</vt:lpstr>
      <vt:lpstr>ST/SG/AC.10/C.3/2019/xx</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ST/SG/AC.10/C.3/2019/xx</dc:title>
  <dc:creator>Editorial</dc:creator>
  <cp:lastModifiedBy>Laurence Berthet</cp:lastModifiedBy>
  <cp:revision>13</cp:revision>
  <cp:lastPrinted>2020-03-31T12:25:00Z</cp:lastPrinted>
  <dcterms:created xsi:type="dcterms:W3CDTF">2020-03-29T15:33:00Z</dcterms:created>
  <dcterms:modified xsi:type="dcterms:W3CDTF">2020-03-31T12:25:00Z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0x01010083681FF50347B245AA95EF6EBEDAA6E6</vt:lpwstr>
  </property>
</Properties>
</file>