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448D5EC" w14:textId="77777777" w:rsidTr="00F01738">
        <w:trPr>
          <w:trHeight w:hRule="exact" w:val="851"/>
        </w:trPr>
        <w:tc>
          <w:tcPr>
            <w:tcW w:w="1276" w:type="dxa"/>
            <w:tcBorders>
              <w:bottom w:val="single" w:sz="4" w:space="0" w:color="auto"/>
            </w:tcBorders>
          </w:tcPr>
          <w:p w14:paraId="7E1346F1" w14:textId="77777777" w:rsidR="00132EA9" w:rsidRPr="00DB58B5" w:rsidRDefault="00132EA9" w:rsidP="009E72FD">
            <w:bookmarkStart w:id="0" w:name="_GoBack"/>
            <w:bookmarkEnd w:id="0"/>
          </w:p>
        </w:tc>
        <w:tc>
          <w:tcPr>
            <w:tcW w:w="2268" w:type="dxa"/>
            <w:tcBorders>
              <w:bottom w:val="single" w:sz="4" w:space="0" w:color="auto"/>
            </w:tcBorders>
            <w:vAlign w:val="bottom"/>
          </w:tcPr>
          <w:p w14:paraId="44957BA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B53897" w14:textId="77777777" w:rsidR="00132EA9" w:rsidRPr="00DB58B5" w:rsidRDefault="009E72FD" w:rsidP="009E72FD">
            <w:pPr>
              <w:jc w:val="right"/>
            </w:pPr>
            <w:r w:rsidRPr="009E72FD">
              <w:rPr>
                <w:sz w:val="40"/>
              </w:rPr>
              <w:t>ST</w:t>
            </w:r>
            <w:r>
              <w:t>/SG/AC.10/C.3/2020/2</w:t>
            </w:r>
          </w:p>
        </w:tc>
      </w:tr>
      <w:tr w:rsidR="00132EA9" w:rsidRPr="00DB58B5" w14:paraId="23906FB4" w14:textId="77777777" w:rsidTr="00F01738">
        <w:trPr>
          <w:trHeight w:hRule="exact" w:val="2835"/>
        </w:trPr>
        <w:tc>
          <w:tcPr>
            <w:tcW w:w="1276" w:type="dxa"/>
            <w:tcBorders>
              <w:top w:val="single" w:sz="4" w:space="0" w:color="auto"/>
              <w:bottom w:val="single" w:sz="12" w:space="0" w:color="auto"/>
            </w:tcBorders>
          </w:tcPr>
          <w:p w14:paraId="794362C6" w14:textId="77777777" w:rsidR="00132EA9" w:rsidRPr="00DB58B5" w:rsidRDefault="00132EA9" w:rsidP="00F01738">
            <w:pPr>
              <w:spacing w:before="120"/>
              <w:jc w:val="center"/>
            </w:pPr>
            <w:r>
              <w:rPr>
                <w:noProof/>
                <w:lang w:eastAsia="fr-CH"/>
              </w:rPr>
              <w:drawing>
                <wp:inline distT="0" distB="0" distL="0" distR="0" wp14:anchorId="1C32A3BF" wp14:editId="5DC093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312DE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EBBE1CB" w14:textId="77777777" w:rsidR="00132EA9" w:rsidRDefault="009E72FD" w:rsidP="00F01738">
            <w:pPr>
              <w:spacing w:before="240"/>
            </w:pPr>
            <w:proofErr w:type="spellStart"/>
            <w:r>
              <w:t>Distr</w:t>
            </w:r>
            <w:proofErr w:type="spellEnd"/>
            <w:r>
              <w:t xml:space="preserve">. </w:t>
            </w:r>
            <w:proofErr w:type="gramStart"/>
            <w:r>
              <w:t>générale</w:t>
            </w:r>
            <w:proofErr w:type="gramEnd"/>
          </w:p>
          <w:p w14:paraId="68D21CE2" w14:textId="77777777" w:rsidR="009E72FD" w:rsidRDefault="009E72FD" w:rsidP="009E72FD">
            <w:pPr>
              <w:spacing w:line="240" w:lineRule="exact"/>
            </w:pPr>
            <w:r>
              <w:t>9 mars 2020</w:t>
            </w:r>
          </w:p>
          <w:p w14:paraId="5FAAF8C5" w14:textId="77777777" w:rsidR="009E72FD" w:rsidRDefault="009E72FD" w:rsidP="009E72FD">
            <w:pPr>
              <w:spacing w:line="240" w:lineRule="exact"/>
            </w:pPr>
            <w:r>
              <w:t>Français</w:t>
            </w:r>
          </w:p>
          <w:p w14:paraId="3D168245" w14:textId="77777777" w:rsidR="009E72FD" w:rsidRPr="00DB58B5" w:rsidRDefault="009E72FD" w:rsidP="009E72FD">
            <w:pPr>
              <w:spacing w:line="240" w:lineRule="exact"/>
            </w:pPr>
            <w:r>
              <w:t>Original : anglais</w:t>
            </w:r>
          </w:p>
        </w:tc>
      </w:tr>
    </w:tbl>
    <w:p w14:paraId="771A0FAC" w14:textId="77777777" w:rsidR="009E72FD" w:rsidRPr="00CA0680" w:rsidRDefault="009E72FD" w:rsidP="000305D3">
      <w:pPr>
        <w:spacing w:before="120"/>
        <w:rPr>
          <w:b/>
          <w:sz w:val="24"/>
          <w:szCs w:val="24"/>
        </w:rPr>
      </w:pPr>
      <w:r w:rsidRPr="00CA0680">
        <w:rPr>
          <w:b/>
          <w:sz w:val="24"/>
          <w:szCs w:val="24"/>
        </w:rPr>
        <w:t>Comité d</w:t>
      </w:r>
      <w:r w:rsidR="00E94E66">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E94E66">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3DD83E08" w14:textId="77777777" w:rsidR="009E72FD" w:rsidRPr="00CA0680" w:rsidRDefault="009E72FD" w:rsidP="000305D3">
      <w:pPr>
        <w:spacing w:before="120"/>
        <w:rPr>
          <w:b/>
        </w:rPr>
      </w:pPr>
      <w:r w:rsidRPr="00CA0680">
        <w:rPr>
          <w:b/>
        </w:rPr>
        <w:t>Sous</w:t>
      </w:r>
      <w:r>
        <w:rPr>
          <w:b/>
        </w:rPr>
        <w:t>-</w:t>
      </w:r>
      <w:r w:rsidRPr="00CA0680">
        <w:rPr>
          <w:b/>
        </w:rPr>
        <w:t>Comité d</w:t>
      </w:r>
      <w:r w:rsidR="00E94E66">
        <w:rPr>
          <w:b/>
        </w:rPr>
        <w:t>’</w:t>
      </w:r>
      <w:r w:rsidRPr="00CA0680">
        <w:rPr>
          <w:b/>
        </w:rPr>
        <w:t>experts du transport des marchandises dangereuses</w:t>
      </w:r>
    </w:p>
    <w:p w14:paraId="2BD09F2F" w14:textId="77777777" w:rsidR="009E72FD" w:rsidRDefault="009E72FD" w:rsidP="000305D3">
      <w:pPr>
        <w:spacing w:before="120"/>
        <w:rPr>
          <w:b/>
        </w:rPr>
      </w:pPr>
      <w:r>
        <w:rPr>
          <w:b/>
        </w:rPr>
        <w:t xml:space="preserve">Cinquante-septième </w:t>
      </w:r>
      <w:r w:rsidRPr="00CA0680">
        <w:rPr>
          <w:b/>
        </w:rPr>
        <w:t>session</w:t>
      </w:r>
    </w:p>
    <w:p w14:paraId="7D77A596" w14:textId="77777777" w:rsidR="009E72FD" w:rsidRDefault="009E72FD" w:rsidP="009E72FD">
      <w:r w:rsidRPr="00B938C1">
        <w:t>Gen</w:t>
      </w:r>
      <w:r>
        <w:t>ève</w:t>
      </w:r>
      <w:r w:rsidRPr="00B938C1">
        <w:t xml:space="preserve">, 29 </w:t>
      </w:r>
      <w:r>
        <w:t>juin</w:t>
      </w:r>
      <w:r w:rsidRPr="00B938C1">
        <w:t xml:space="preserve">-8 </w:t>
      </w:r>
      <w:r>
        <w:t>juillet</w:t>
      </w:r>
      <w:r w:rsidRPr="00B938C1">
        <w:t xml:space="preserve"> 2020</w:t>
      </w:r>
    </w:p>
    <w:p w14:paraId="721871B0" w14:textId="77777777" w:rsidR="009E72FD" w:rsidRPr="009E72FD" w:rsidRDefault="009E72FD" w:rsidP="009E72FD">
      <w:r w:rsidRPr="009E72FD">
        <w:t>Point 9 de l</w:t>
      </w:r>
      <w:r w:rsidR="00E94E66">
        <w:t>’</w:t>
      </w:r>
      <w:r w:rsidRPr="009E72FD">
        <w:t>ordre du jour provisoire</w:t>
      </w:r>
    </w:p>
    <w:p w14:paraId="2ECE5311" w14:textId="77777777" w:rsidR="009E72FD" w:rsidRPr="006500BA" w:rsidRDefault="009E72FD" w:rsidP="009E72FD">
      <w:r w:rsidRPr="009E72FD">
        <w:rPr>
          <w:b/>
        </w:rPr>
        <w:t>Principes directeurs du Règlement type</w:t>
      </w:r>
    </w:p>
    <w:p w14:paraId="3C557CD5" w14:textId="77777777" w:rsidR="009E72FD" w:rsidRPr="000A1B79" w:rsidRDefault="009E72FD" w:rsidP="009E72FD">
      <w:pPr>
        <w:pStyle w:val="HChG"/>
      </w:pPr>
      <w:r>
        <w:tab/>
      </w:r>
      <w:r>
        <w:tab/>
        <w:t>Examen des princip</w:t>
      </w:r>
      <w:r w:rsidRPr="000A1B79">
        <w:t>es</w:t>
      </w:r>
      <w:r>
        <w:t xml:space="preserve"> directeurs</w:t>
      </w:r>
    </w:p>
    <w:p w14:paraId="36A2C00F" w14:textId="77777777" w:rsidR="009E72FD" w:rsidRPr="000A1B79" w:rsidRDefault="009E72FD" w:rsidP="009E72FD">
      <w:pPr>
        <w:pStyle w:val="H1G"/>
      </w:pPr>
      <w:r w:rsidRPr="000A1B79">
        <w:tab/>
      </w:r>
      <w:r w:rsidRPr="000A1B79">
        <w:tab/>
        <w:t xml:space="preserve">Note </w:t>
      </w:r>
      <w:r>
        <w:t>du</w:t>
      </w:r>
      <w:r w:rsidRPr="000A1B79">
        <w:t xml:space="preserve"> secr</w:t>
      </w:r>
      <w:r>
        <w:t>é</w:t>
      </w:r>
      <w:r w:rsidRPr="000A1B79">
        <w:t>tariat</w:t>
      </w:r>
      <w:r w:rsidRPr="009E72FD">
        <w:rPr>
          <w:rStyle w:val="FootnoteReference"/>
          <w:b w:val="0"/>
          <w:sz w:val="20"/>
          <w:vertAlign w:val="baseline"/>
        </w:rPr>
        <w:footnoteReference w:customMarkFollows="1" w:id="2"/>
        <w:t>*</w:t>
      </w:r>
    </w:p>
    <w:p w14:paraId="1CAEE0A2" w14:textId="77777777" w:rsidR="00446FE5" w:rsidRDefault="009E72FD" w:rsidP="009E72FD">
      <w:pPr>
        <w:pStyle w:val="HChG"/>
      </w:pPr>
      <w:r w:rsidRPr="000A1B79">
        <w:tab/>
      </w:r>
      <w:r w:rsidRPr="000A1B79">
        <w:tab/>
        <w:t>Introduction</w:t>
      </w:r>
    </w:p>
    <w:p w14:paraId="7BEC70E1" w14:textId="77777777" w:rsidR="009E72FD" w:rsidRPr="009E72FD" w:rsidRDefault="009E72FD" w:rsidP="009E72FD">
      <w:pPr>
        <w:pStyle w:val="SingleTxtG"/>
      </w:pPr>
      <w:r>
        <w:rPr>
          <w:lang w:val="fr-FR"/>
        </w:rPr>
        <w:t>1.</w:t>
      </w:r>
      <w:r>
        <w:rPr>
          <w:lang w:val="fr-FR"/>
        </w:rPr>
        <w:tab/>
      </w:r>
      <w:r w:rsidRPr="009E72FD">
        <w:rPr>
          <w:lang w:val="fr-FR"/>
        </w:rPr>
        <w:t>Le but des</w:t>
      </w:r>
      <w:r w:rsidRPr="009E72FD">
        <w:rPr>
          <w:b/>
        </w:rPr>
        <w:t xml:space="preserve"> </w:t>
      </w:r>
      <w:r w:rsidRPr="009E72FD">
        <w:t>Principes directeurs du Règlement type est d</w:t>
      </w:r>
      <w:r w:rsidR="00E94E66">
        <w:t>’</w:t>
      </w:r>
      <w:r w:rsidRPr="009E72FD">
        <w:t>expliquer les principes sous</w:t>
      </w:r>
      <w:r w:rsidR="005731B8">
        <w:noBreakHyphen/>
      </w:r>
      <w:r w:rsidRPr="009E72FD">
        <w:t>jacents qui ont été appliqués lors de l</w:t>
      </w:r>
      <w:r w:rsidR="00E94E66">
        <w:t>’</w:t>
      </w:r>
      <w:r w:rsidRPr="009E72FD">
        <w:t>élaboration de ce document.</w:t>
      </w:r>
    </w:p>
    <w:p w14:paraId="38B35343" w14:textId="5031BF5E" w:rsidR="009E72FD" w:rsidRPr="009E72FD" w:rsidRDefault="009E72FD" w:rsidP="009E72FD">
      <w:pPr>
        <w:pStyle w:val="SingleTxtG"/>
        <w:rPr>
          <w:lang w:val="fr-FR"/>
        </w:rPr>
      </w:pPr>
      <w:r w:rsidRPr="009E72FD">
        <w:rPr>
          <w:lang w:val="fr-FR"/>
        </w:rPr>
        <w:t>2.</w:t>
      </w:r>
      <w:r w:rsidRPr="009E72FD">
        <w:rPr>
          <w:lang w:val="fr-FR"/>
        </w:rPr>
        <w:tab/>
        <w:t>À sa cinquante-sixième session, en décembre 2019, le Sous-Comité a adopté un amendement destiné à préciser sur quoi se basent les dispositions relatives aux quantités exemptées (voir le document ST/SG/AC.10/C.3/112, par.</w:t>
      </w:r>
      <w:r>
        <w:rPr>
          <w:lang w:val="fr-FR"/>
        </w:rPr>
        <w:t> </w:t>
      </w:r>
      <w:r w:rsidRPr="009E72FD">
        <w:rPr>
          <w:lang w:val="fr-FR"/>
        </w:rPr>
        <w:t>125 et 126). En actualisant la version actuelle des principes directeurs pour tenir compte de cette décision, le secrétariat a remarqué que plusieurs mises à jour supplémentaires s</w:t>
      </w:r>
      <w:r w:rsidR="00E94E66">
        <w:rPr>
          <w:lang w:val="fr-FR"/>
        </w:rPr>
        <w:t>’</w:t>
      </w:r>
      <w:r w:rsidRPr="009E72FD">
        <w:rPr>
          <w:lang w:val="fr-FR"/>
        </w:rPr>
        <w:t>imposaient pour les rendre conformes à la vingt</w:t>
      </w:r>
      <w:r w:rsidR="008D080E">
        <w:rPr>
          <w:lang w:val="fr-FR"/>
        </w:rPr>
        <w:t xml:space="preserve"> </w:t>
      </w:r>
      <w:r w:rsidRPr="009E72FD">
        <w:rPr>
          <w:lang w:val="fr-FR"/>
        </w:rPr>
        <w:t>et</w:t>
      </w:r>
      <w:r w:rsidR="008D080E">
        <w:rPr>
          <w:lang w:val="fr-FR"/>
        </w:rPr>
        <w:t xml:space="preserve"> </w:t>
      </w:r>
      <w:r w:rsidRPr="009E72FD">
        <w:rPr>
          <w:lang w:val="fr-FR"/>
        </w:rPr>
        <w:t>unième édition révisée du Règlement type.</w:t>
      </w:r>
    </w:p>
    <w:p w14:paraId="528DFDFE" w14:textId="77777777" w:rsidR="009E72FD" w:rsidRPr="009E72FD" w:rsidRDefault="009E72FD" w:rsidP="009E72FD">
      <w:pPr>
        <w:pStyle w:val="SingleTxtG"/>
        <w:rPr>
          <w:lang w:val="fr-FR"/>
        </w:rPr>
      </w:pPr>
      <w:r w:rsidRPr="009E72FD">
        <w:rPr>
          <w:lang w:val="fr-FR"/>
        </w:rPr>
        <w:t>3.</w:t>
      </w:r>
      <w:r w:rsidRPr="009E72FD">
        <w:rPr>
          <w:lang w:val="fr-FR"/>
        </w:rPr>
        <w:tab/>
        <w:t>Le projet proposé tient compte des modifications concernant les dispositions relatives aux quantités exemptées qui ont été adoptées par le Sous-Comité à sa cinquante</w:t>
      </w:r>
      <w:r w:rsidR="005731B8">
        <w:rPr>
          <w:lang w:val="fr-FR"/>
        </w:rPr>
        <w:noBreakHyphen/>
      </w:r>
      <w:r w:rsidRPr="009E72FD">
        <w:rPr>
          <w:lang w:val="fr-FR"/>
        </w:rPr>
        <w:t>sixième session.</w:t>
      </w:r>
    </w:p>
    <w:p w14:paraId="2C55CC25" w14:textId="77777777" w:rsidR="009E72FD" w:rsidRPr="009E72FD" w:rsidRDefault="009E72FD" w:rsidP="009E72FD">
      <w:pPr>
        <w:pStyle w:val="HChG"/>
        <w:rPr>
          <w:lang w:val="fr-FR"/>
        </w:rPr>
      </w:pPr>
      <w:r w:rsidRPr="009E72FD">
        <w:rPr>
          <w:lang w:val="fr-FR"/>
        </w:rPr>
        <w:tab/>
      </w:r>
      <w:r w:rsidRPr="009E72FD">
        <w:rPr>
          <w:lang w:val="fr-FR"/>
        </w:rPr>
        <w:tab/>
        <w:t>Résumé des modifications proposées</w:t>
      </w:r>
    </w:p>
    <w:p w14:paraId="72857D3B" w14:textId="77777777" w:rsidR="009E72FD" w:rsidRPr="009E72FD" w:rsidRDefault="009E72FD" w:rsidP="009E72FD">
      <w:pPr>
        <w:pStyle w:val="SingleTxtG"/>
        <w:rPr>
          <w:lang w:val="fr-FR"/>
        </w:rPr>
      </w:pPr>
      <w:r w:rsidRPr="009E72FD">
        <w:rPr>
          <w:lang w:val="fr-FR"/>
        </w:rPr>
        <w:t>4.</w:t>
      </w:r>
      <w:r w:rsidRPr="009E72FD">
        <w:rPr>
          <w:lang w:val="fr-FR"/>
        </w:rPr>
        <w:tab/>
        <w:t xml:space="preserve">Il a été procédé à un examen complet du document pour en assurer la cohérence, aligner le texte sur les dispositions du Règlement type (en remplaçant par exemple </w:t>
      </w:r>
      <w:r>
        <w:rPr>
          <w:lang w:val="fr-FR"/>
        </w:rPr>
        <w:t>« </w:t>
      </w:r>
      <w:r w:rsidRPr="009E72FD">
        <w:rPr>
          <w:lang w:val="fr-FR"/>
        </w:rPr>
        <w:t>risque</w:t>
      </w:r>
      <w:r>
        <w:rPr>
          <w:lang w:val="fr-FR"/>
        </w:rPr>
        <w:t> »</w:t>
      </w:r>
      <w:r w:rsidRPr="009E72FD">
        <w:rPr>
          <w:lang w:val="fr-FR"/>
        </w:rPr>
        <w:t xml:space="preserve"> par </w:t>
      </w:r>
      <w:r>
        <w:rPr>
          <w:lang w:val="fr-FR"/>
        </w:rPr>
        <w:t>« </w:t>
      </w:r>
      <w:r w:rsidRPr="009E72FD">
        <w:rPr>
          <w:lang w:val="fr-FR"/>
        </w:rPr>
        <w:t>danger</w:t>
      </w:r>
      <w:r>
        <w:rPr>
          <w:lang w:val="fr-FR"/>
        </w:rPr>
        <w:t> »</w:t>
      </w:r>
      <w:r w:rsidRPr="009E72FD">
        <w:rPr>
          <w:lang w:val="fr-FR"/>
        </w:rPr>
        <w:t xml:space="preserve"> le cas échéant) et celles du Manuel d</w:t>
      </w:r>
      <w:r w:rsidR="00E94E66">
        <w:rPr>
          <w:lang w:val="fr-FR"/>
        </w:rPr>
        <w:t>’</w:t>
      </w:r>
      <w:r w:rsidRPr="009E72FD">
        <w:rPr>
          <w:lang w:val="fr-FR"/>
        </w:rPr>
        <w:t>épreuves et de critères, corriger les références et ajouter des directives supplémentaires en cas de besoin.</w:t>
      </w:r>
    </w:p>
    <w:p w14:paraId="06223FD1" w14:textId="77777777" w:rsidR="009E72FD" w:rsidRPr="009E72FD" w:rsidRDefault="009E72FD" w:rsidP="009E72FD">
      <w:pPr>
        <w:pStyle w:val="SingleTxtG"/>
        <w:rPr>
          <w:lang w:val="fr-FR"/>
        </w:rPr>
      </w:pPr>
      <w:r w:rsidRPr="009E72FD">
        <w:rPr>
          <w:lang w:val="fr-FR"/>
        </w:rPr>
        <w:t>5.</w:t>
      </w:r>
      <w:r w:rsidRPr="009E72FD">
        <w:rPr>
          <w:lang w:val="fr-FR"/>
        </w:rPr>
        <w:tab/>
        <w:t>Tous les paragraphes ont été numérotés pour faciliter le référencement. Afin d</w:t>
      </w:r>
      <w:r w:rsidR="00E94E66">
        <w:rPr>
          <w:lang w:val="fr-FR"/>
        </w:rPr>
        <w:t>’</w:t>
      </w:r>
      <w:r w:rsidRPr="009E72FD">
        <w:rPr>
          <w:lang w:val="fr-FR"/>
        </w:rPr>
        <w:t>éviter une renumérotation fastidieuse en cas de suppression ou d</w:t>
      </w:r>
      <w:r w:rsidR="00E94E66">
        <w:rPr>
          <w:lang w:val="fr-FR"/>
        </w:rPr>
        <w:t>’</w:t>
      </w:r>
      <w:r w:rsidRPr="009E72FD">
        <w:rPr>
          <w:lang w:val="fr-FR"/>
        </w:rPr>
        <w:t>ajout de texte, seuls les paragraphes se rapportant au même sujet ont été renumérotés en conséquence.</w:t>
      </w:r>
    </w:p>
    <w:p w14:paraId="6AF6E04F" w14:textId="77777777" w:rsidR="009E72FD" w:rsidRPr="009E72FD" w:rsidRDefault="009E72FD" w:rsidP="009E72FD">
      <w:pPr>
        <w:pStyle w:val="H23G"/>
        <w:rPr>
          <w:lang w:val="fr-FR"/>
        </w:rPr>
      </w:pPr>
      <w:r w:rsidRPr="009E72FD">
        <w:rPr>
          <w:lang w:val="fr-FR"/>
        </w:rPr>
        <w:lastRenderedPageBreak/>
        <w:tab/>
        <w:t>Partie 0</w:t>
      </w:r>
      <w:r w:rsidRPr="009E72FD">
        <w:rPr>
          <w:lang w:val="fr-FR"/>
        </w:rPr>
        <w:tab/>
        <w:t>Introduction, paragraphe 1, phrase portant sur l</w:t>
      </w:r>
      <w:r w:rsidR="00E94E66">
        <w:rPr>
          <w:lang w:val="fr-FR"/>
        </w:rPr>
        <w:t>’</w:t>
      </w:r>
      <w:r w:rsidRPr="009E72FD">
        <w:rPr>
          <w:lang w:val="fr-FR"/>
        </w:rPr>
        <w:t>applicabilité des principes directeurs en relation avec une édition révisée donnée du Règlement type</w:t>
      </w:r>
    </w:p>
    <w:p w14:paraId="1C08170F" w14:textId="77777777" w:rsidR="009E72FD" w:rsidRPr="009E72FD" w:rsidRDefault="009E72FD" w:rsidP="009E72FD">
      <w:pPr>
        <w:pStyle w:val="SingleTxtG"/>
        <w:rPr>
          <w:lang w:val="fr-FR"/>
        </w:rPr>
      </w:pPr>
      <w:r w:rsidRPr="009E72FD">
        <w:rPr>
          <w:lang w:val="fr-FR"/>
        </w:rPr>
        <w:t>6.</w:t>
      </w:r>
      <w:r w:rsidRPr="009E72FD">
        <w:rPr>
          <w:lang w:val="fr-FR"/>
        </w:rPr>
        <w:tab/>
        <w:t xml:space="preserve">Le secrétariat invite le Sous-Comité </w:t>
      </w:r>
      <w:proofErr w:type="spellStart"/>
      <w:proofErr w:type="gramStart"/>
      <w:r w:rsidRPr="009E72FD">
        <w:rPr>
          <w:lang w:val="fr-FR"/>
        </w:rPr>
        <w:t>a</w:t>
      </w:r>
      <w:proofErr w:type="spellEnd"/>
      <w:proofErr w:type="gramEnd"/>
      <w:r w:rsidRPr="009E72FD">
        <w:rPr>
          <w:lang w:val="fr-FR"/>
        </w:rPr>
        <w:t xml:space="preserve"> réexaminer la question de savoir si les principes directeurs doivent continuer à être liés à une édition révisée spécifique du Règlement type compte tenu du fait que les mêmes principes peuvent être applicables à plusieurs de ces éditions révisées.</w:t>
      </w:r>
    </w:p>
    <w:p w14:paraId="7D6964B3" w14:textId="77777777" w:rsidR="009E72FD" w:rsidRPr="009E72FD" w:rsidRDefault="009E72FD" w:rsidP="009E72FD">
      <w:pPr>
        <w:pStyle w:val="SingleTxtG"/>
        <w:rPr>
          <w:lang w:val="fr-FR"/>
        </w:rPr>
      </w:pPr>
      <w:r w:rsidRPr="009E72FD">
        <w:rPr>
          <w:lang w:val="fr-FR"/>
        </w:rPr>
        <w:t>7.</w:t>
      </w:r>
      <w:r w:rsidRPr="009E72FD">
        <w:rPr>
          <w:lang w:val="fr-FR"/>
        </w:rPr>
        <w:tab/>
        <w:t>Si le Sous-Comité considère qu</w:t>
      </w:r>
      <w:r w:rsidR="00E94E66">
        <w:rPr>
          <w:lang w:val="fr-FR"/>
        </w:rPr>
        <w:t>’</w:t>
      </w:r>
      <w:r w:rsidRPr="009E72FD">
        <w:rPr>
          <w:lang w:val="fr-FR"/>
        </w:rPr>
        <w:t>il n</w:t>
      </w:r>
      <w:r w:rsidR="00E94E66">
        <w:rPr>
          <w:lang w:val="fr-FR"/>
        </w:rPr>
        <w:t>’</w:t>
      </w:r>
      <w:r w:rsidRPr="009E72FD">
        <w:rPr>
          <w:lang w:val="fr-FR"/>
        </w:rPr>
        <w:t>est pas nécessaire de les lier à une version révisée spécifique du Règlement type, le secrétariat propose de supprimer la phrase entre crochets qui figure au paragraphe 1 de l</w:t>
      </w:r>
      <w:r w:rsidR="00E94E66">
        <w:rPr>
          <w:lang w:val="fr-FR"/>
        </w:rPr>
        <w:t>’</w:t>
      </w:r>
      <w:r w:rsidRPr="009E72FD">
        <w:rPr>
          <w:lang w:val="fr-FR"/>
        </w:rPr>
        <w:t>introduction de la Partie 0.</w:t>
      </w:r>
    </w:p>
    <w:p w14:paraId="4F492774" w14:textId="77777777" w:rsidR="009E72FD" w:rsidRPr="009E72FD" w:rsidRDefault="009E72FD" w:rsidP="009E72FD">
      <w:pPr>
        <w:pStyle w:val="H4G"/>
        <w:rPr>
          <w:lang w:val="fr-FR"/>
        </w:rPr>
      </w:pPr>
      <w:r>
        <w:rPr>
          <w:lang w:val="fr-FR"/>
        </w:rPr>
        <w:tab/>
      </w:r>
      <w:r>
        <w:rPr>
          <w:lang w:val="fr-FR"/>
        </w:rPr>
        <w:tab/>
      </w:r>
      <w:r w:rsidRPr="009E72FD">
        <w:rPr>
          <w:lang w:val="fr-FR"/>
        </w:rPr>
        <w:t>Justification</w:t>
      </w:r>
    </w:p>
    <w:p w14:paraId="447B73DE" w14:textId="77777777" w:rsidR="009E72FD" w:rsidRPr="009E72FD" w:rsidRDefault="009E72FD" w:rsidP="009E72FD">
      <w:pPr>
        <w:pStyle w:val="SingleTxtG"/>
        <w:rPr>
          <w:lang w:val="fr-FR"/>
        </w:rPr>
      </w:pPr>
      <w:r w:rsidRPr="009E72FD">
        <w:rPr>
          <w:lang w:val="fr-FR"/>
        </w:rPr>
        <w:t>8.</w:t>
      </w:r>
      <w:r w:rsidRPr="009E72FD">
        <w:rPr>
          <w:lang w:val="fr-FR"/>
        </w:rPr>
        <w:tab/>
        <w:t>Les principes directeurs ont été élaborés à l</w:t>
      </w:r>
      <w:r w:rsidR="00E94E66">
        <w:rPr>
          <w:lang w:val="fr-FR"/>
        </w:rPr>
        <w:t>’</w:t>
      </w:r>
      <w:r w:rsidRPr="009E72FD">
        <w:rPr>
          <w:lang w:val="fr-FR"/>
        </w:rPr>
        <w:t>origine dans l</w:t>
      </w:r>
      <w:r w:rsidR="00E94E66">
        <w:rPr>
          <w:lang w:val="fr-FR"/>
        </w:rPr>
        <w:t>’</w:t>
      </w:r>
      <w:r w:rsidRPr="009E72FD">
        <w:rPr>
          <w:lang w:val="fr-FR"/>
        </w:rPr>
        <w:t>idée qu</w:t>
      </w:r>
      <w:r w:rsidR="00E94E66">
        <w:rPr>
          <w:lang w:val="fr-FR"/>
        </w:rPr>
        <w:t>’</w:t>
      </w:r>
      <w:r w:rsidRPr="009E72FD">
        <w:rPr>
          <w:lang w:val="fr-FR"/>
        </w:rPr>
        <w:t>ils devraient être mis à jour tous les deux ans afin d</w:t>
      </w:r>
      <w:r w:rsidR="00E94E66">
        <w:rPr>
          <w:lang w:val="fr-FR"/>
        </w:rPr>
        <w:t>’</w:t>
      </w:r>
      <w:r w:rsidRPr="009E72FD">
        <w:rPr>
          <w:lang w:val="fr-FR"/>
        </w:rPr>
        <w:t>être utilisés en relation avec chaque édition révisée du Règlement type.</w:t>
      </w:r>
    </w:p>
    <w:p w14:paraId="4F18E69C" w14:textId="77777777" w:rsidR="009E72FD" w:rsidRPr="009E72FD" w:rsidRDefault="009E72FD" w:rsidP="009E72FD">
      <w:pPr>
        <w:pStyle w:val="SingleTxtG"/>
        <w:rPr>
          <w:lang w:val="fr-FR"/>
        </w:rPr>
      </w:pPr>
      <w:r w:rsidRPr="009E72FD">
        <w:rPr>
          <w:lang w:val="fr-FR"/>
        </w:rPr>
        <w:t>9.</w:t>
      </w:r>
      <w:r w:rsidRPr="009E72FD">
        <w:rPr>
          <w:lang w:val="fr-FR"/>
        </w:rPr>
        <w:tab/>
        <w:t>La première édition des principes directeurs a été adoptée par le Sous-Comité à sa trentième session en 2006, sur la base d</w:t>
      </w:r>
      <w:r w:rsidR="00E94E66">
        <w:rPr>
          <w:lang w:val="fr-FR"/>
        </w:rPr>
        <w:t>’</w:t>
      </w:r>
      <w:r w:rsidRPr="009E72FD">
        <w:rPr>
          <w:lang w:val="fr-FR"/>
        </w:rPr>
        <w:t>une proposition émanant du Royaume-Uni (voir le document ST/SG/AC.10/C.3/60, par. 96 à 98).</w:t>
      </w:r>
    </w:p>
    <w:p w14:paraId="0953DC25" w14:textId="77777777" w:rsidR="009E72FD" w:rsidRPr="009E72FD" w:rsidRDefault="009E72FD" w:rsidP="009E72FD">
      <w:pPr>
        <w:pStyle w:val="SingleTxtG"/>
        <w:rPr>
          <w:lang w:val="fr-FR"/>
        </w:rPr>
      </w:pPr>
      <w:r w:rsidRPr="009E72FD">
        <w:rPr>
          <w:lang w:val="fr-FR"/>
        </w:rPr>
        <w:t>10.</w:t>
      </w:r>
      <w:r w:rsidRPr="009E72FD">
        <w:rPr>
          <w:lang w:val="fr-FR"/>
        </w:rPr>
        <w:tab/>
        <w:t xml:space="preserve">Plusieurs mises à jour ont été adoptées pour tenir compte </w:t>
      </w:r>
      <w:proofErr w:type="gramStart"/>
      <w:r w:rsidRPr="009E72FD">
        <w:rPr>
          <w:lang w:val="fr-FR"/>
        </w:rPr>
        <w:t>des quinzième</w:t>
      </w:r>
      <w:proofErr w:type="gramEnd"/>
      <w:r w:rsidRPr="009E72FD">
        <w:rPr>
          <w:lang w:val="fr-FR"/>
        </w:rPr>
        <w:t xml:space="preserve"> à dix</w:t>
      </w:r>
      <w:r w:rsidR="005D2E60">
        <w:rPr>
          <w:lang w:val="fr-FR"/>
        </w:rPr>
        <w:noBreakHyphen/>
      </w:r>
      <w:r w:rsidRPr="009E72FD">
        <w:rPr>
          <w:lang w:val="fr-FR"/>
        </w:rPr>
        <w:t>neuvième éditions révisées du Règlement type. Dans aucune de ces mises à jour n</w:t>
      </w:r>
      <w:r w:rsidR="00E94E66">
        <w:rPr>
          <w:lang w:val="fr-FR"/>
        </w:rPr>
        <w:t>’</w:t>
      </w:r>
      <w:r w:rsidRPr="009E72FD">
        <w:rPr>
          <w:lang w:val="fr-FR"/>
        </w:rPr>
        <w:t>a été traité l</w:t>
      </w:r>
      <w:r w:rsidR="00E94E66">
        <w:rPr>
          <w:lang w:val="fr-FR"/>
        </w:rPr>
        <w:t>’</w:t>
      </w:r>
      <w:r w:rsidRPr="009E72FD">
        <w:rPr>
          <w:lang w:val="fr-FR"/>
        </w:rPr>
        <w:t xml:space="preserve">utilisation de conteneurs pour vrac, toujours indiqués comme étant </w:t>
      </w:r>
      <w:r w:rsidR="005D2E60">
        <w:rPr>
          <w:lang w:val="fr-FR"/>
        </w:rPr>
        <w:t>« </w:t>
      </w:r>
      <w:r w:rsidRPr="009E72FD">
        <w:rPr>
          <w:lang w:val="fr-FR"/>
        </w:rPr>
        <w:t>à développer</w:t>
      </w:r>
      <w:r w:rsidR="005D2E60">
        <w:rPr>
          <w:lang w:val="fr-FR"/>
        </w:rPr>
        <w:t> »</w:t>
      </w:r>
      <w:r w:rsidRPr="009E72FD">
        <w:rPr>
          <w:lang w:val="fr-FR"/>
        </w:rPr>
        <w:t xml:space="preserve"> même si les dispositions relatives à l</w:t>
      </w:r>
      <w:r w:rsidR="00E94E66">
        <w:rPr>
          <w:lang w:val="fr-FR"/>
        </w:rPr>
        <w:t>’</w:t>
      </w:r>
      <w:r w:rsidRPr="009E72FD">
        <w:rPr>
          <w:lang w:val="fr-FR"/>
        </w:rPr>
        <w:t>utilisation de tels conteneurs pour le transport de matières solides qui figurent au chapitre 4.3 avaient déjà été introduite dans la treizième</w:t>
      </w:r>
      <w:r w:rsidR="005D2E60">
        <w:rPr>
          <w:lang w:val="fr-FR"/>
        </w:rPr>
        <w:t> </w:t>
      </w:r>
      <w:r w:rsidRPr="009E72FD">
        <w:rPr>
          <w:lang w:val="fr-FR"/>
        </w:rPr>
        <w:t>édition révisée du Règlement type (publiée en 2013).</w:t>
      </w:r>
    </w:p>
    <w:p w14:paraId="71313960" w14:textId="77777777" w:rsidR="009E72FD" w:rsidRPr="009E72FD" w:rsidRDefault="009E72FD" w:rsidP="009E72FD">
      <w:pPr>
        <w:pStyle w:val="H23G"/>
        <w:rPr>
          <w:lang w:val="fr-FR"/>
        </w:rPr>
      </w:pPr>
      <w:r w:rsidRPr="009E72FD">
        <w:rPr>
          <w:lang w:val="fr-FR"/>
        </w:rPr>
        <w:tab/>
        <w:t>Partie 2</w:t>
      </w:r>
      <w:r w:rsidRPr="009E72FD">
        <w:rPr>
          <w:lang w:val="fr-FR"/>
        </w:rPr>
        <w:tab/>
        <w:t>Classification</w:t>
      </w:r>
    </w:p>
    <w:p w14:paraId="08731216" w14:textId="77777777" w:rsidR="009E72FD" w:rsidRPr="009E72FD" w:rsidRDefault="009E72FD" w:rsidP="009E72FD">
      <w:pPr>
        <w:pStyle w:val="H23G"/>
        <w:rPr>
          <w:lang w:val="fr-FR"/>
        </w:rPr>
      </w:pPr>
      <w:r>
        <w:rPr>
          <w:lang w:val="fr-FR"/>
        </w:rPr>
        <w:tab/>
      </w:r>
      <w:r w:rsidRPr="009E72FD">
        <w:rPr>
          <w:lang w:val="fr-FR"/>
        </w:rPr>
        <w:tab/>
        <w:t>Informations générales sur les numéros CAS</w:t>
      </w:r>
    </w:p>
    <w:p w14:paraId="4189935C" w14:textId="77777777" w:rsidR="009E72FD" w:rsidRPr="009E72FD" w:rsidRDefault="009E72FD" w:rsidP="009E72FD">
      <w:pPr>
        <w:pStyle w:val="SingleTxtG"/>
        <w:rPr>
          <w:lang w:val="fr-FR"/>
        </w:rPr>
      </w:pPr>
      <w:r w:rsidRPr="009E72FD">
        <w:rPr>
          <w:lang w:val="fr-FR"/>
        </w:rPr>
        <w:t>11.</w:t>
      </w:r>
      <w:r w:rsidRPr="009E72FD">
        <w:rPr>
          <w:lang w:val="fr-FR"/>
        </w:rPr>
        <w:tab/>
        <w:t>Même s</w:t>
      </w:r>
      <w:r w:rsidR="00E94E66">
        <w:rPr>
          <w:lang w:val="fr-FR"/>
        </w:rPr>
        <w:t>’</w:t>
      </w:r>
      <w:r w:rsidRPr="009E72FD">
        <w:rPr>
          <w:lang w:val="fr-FR"/>
        </w:rPr>
        <w:t>il est entendu que les informations générales concernant les numéros CAS qui figurent au paragraphe 1 de la Partie 2 étaient destinées à donner une idée du nombre sans cesse croissant de nouvelles substances produites chaque année, de telles informations ne paraissent pas pertinentes s</w:t>
      </w:r>
      <w:r w:rsidR="00E94E66">
        <w:rPr>
          <w:lang w:val="fr-FR"/>
        </w:rPr>
        <w:t>’</w:t>
      </w:r>
      <w:r w:rsidRPr="009E72FD">
        <w:rPr>
          <w:lang w:val="fr-FR"/>
        </w:rPr>
        <w:t>agissant des principes directeurs. Comme il est indiqué dans le paragraphe lui-même, toutes les substances enregistrées sous des numéros CAS ne sont pas des marchandises dangereuses destinées à être transportées. De plus, compte tenu du fait que le nombre de ces substances enregistrées sous des numéros CAS augmente quotidiennement, les informations communiquées dans ce paragraphe seront déjà dépassées au moment de la publication de la version révisée des principes directeurs</w:t>
      </w:r>
      <w:r w:rsidR="005D2E60">
        <w:rPr>
          <w:lang w:val="fr-FR"/>
        </w:rPr>
        <w:t>.</w:t>
      </w:r>
    </w:p>
    <w:p w14:paraId="55E70132" w14:textId="77777777" w:rsidR="009E72FD" w:rsidRPr="009E72FD" w:rsidRDefault="009E72FD" w:rsidP="009E72FD">
      <w:pPr>
        <w:pStyle w:val="SingleTxtG"/>
        <w:rPr>
          <w:lang w:val="fr-FR"/>
        </w:rPr>
      </w:pPr>
      <w:r w:rsidRPr="009E72FD">
        <w:rPr>
          <w:lang w:val="fr-FR"/>
        </w:rPr>
        <w:t>12.</w:t>
      </w:r>
      <w:r w:rsidRPr="009E72FD">
        <w:rPr>
          <w:lang w:val="fr-FR"/>
        </w:rPr>
        <w:tab/>
      </w:r>
      <w:r>
        <w:rPr>
          <w:lang w:val="fr-FR"/>
        </w:rPr>
        <w:t>À</w:t>
      </w:r>
      <w:r w:rsidRPr="009E72FD">
        <w:rPr>
          <w:lang w:val="fr-FR"/>
        </w:rPr>
        <w:t xml:space="preserve"> la lumière de ce qui précède, le Sous-Comité est invité à envisager de supprimer le texte entre crochets du paragraphe 1 de la Partie 2. Au cas où ces informations seraient considérées comme pertinentes dans le contexte des principes directeurs, le Sous-Comité est invité à examiner les mises à jour proposées.</w:t>
      </w:r>
    </w:p>
    <w:p w14:paraId="1A25ADAA" w14:textId="77777777" w:rsidR="009E72FD" w:rsidRPr="009E72FD" w:rsidRDefault="009E72FD" w:rsidP="009E72FD">
      <w:pPr>
        <w:pStyle w:val="H23G"/>
        <w:rPr>
          <w:lang w:val="fr-FR"/>
        </w:rPr>
      </w:pPr>
      <w:r w:rsidRPr="009E72FD">
        <w:rPr>
          <w:lang w:val="fr-FR"/>
        </w:rPr>
        <w:tab/>
      </w:r>
      <w:r w:rsidRPr="009E72FD">
        <w:rPr>
          <w:lang w:val="fr-FR"/>
        </w:rPr>
        <w:tab/>
      </w:r>
      <w:bookmarkStart w:id="1" w:name="_Hlk32930225"/>
      <w:r w:rsidRPr="009E72FD">
        <w:rPr>
          <w:lang w:val="fr-FR"/>
        </w:rPr>
        <w:t>Directives concernant les classes, divisions, groupes d</w:t>
      </w:r>
      <w:r w:rsidR="00E94E66">
        <w:rPr>
          <w:lang w:val="fr-FR"/>
        </w:rPr>
        <w:t>’</w:t>
      </w:r>
      <w:r w:rsidRPr="009E72FD">
        <w:rPr>
          <w:lang w:val="fr-FR"/>
        </w:rPr>
        <w:t>emballage et types de rubriques dans la liste des marchandises dangereuses ainsi que leur affectation</w:t>
      </w:r>
    </w:p>
    <w:p w14:paraId="328405B6" w14:textId="77777777" w:rsidR="009E72FD" w:rsidRPr="009E72FD" w:rsidRDefault="009E72FD" w:rsidP="009E72FD">
      <w:pPr>
        <w:pStyle w:val="SingleTxtG"/>
        <w:rPr>
          <w:lang w:val="fr-FR"/>
        </w:rPr>
      </w:pPr>
      <w:r w:rsidRPr="009E72FD">
        <w:rPr>
          <w:lang w:val="fr-FR"/>
        </w:rPr>
        <w:t>13.</w:t>
      </w:r>
      <w:r w:rsidRPr="009E72FD">
        <w:rPr>
          <w:lang w:val="fr-FR"/>
        </w:rPr>
        <w:tab/>
        <w:t>Un nouveau texte tiré du chapitre 2.0 du Règlement type a été ajouté pour faciliter la définition des classes et divisions, des types de rubriques dans la liste des marchandises dangereuses et de leur affectation.</w:t>
      </w:r>
    </w:p>
    <w:bookmarkEnd w:id="1"/>
    <w:p w14:paraId="0DDBDE61" w14:textId="77777777" w:rsidR="009E72FD" w:rsidRPr="009E72FD" w:rsidRDefault="009E72FD" w:rsidP="009E72FD">
      <w:pPr>
        <w:pStyle w:val="SingleTxtG"/>
        <w:rPr>
          <w:lang w:val="fr-FR"/>
        </w:rPr>
      </w:pPr>
      <w:r w:rsidRPr="009E72FD">
        <w:rPr>
          <w:lang w:val="fr-FR"/>
        </w:rPr>
        <w:t>14.</w:t>
      </w:r>
      <w:r w:rsidRPr="009E72FD">
        <w:rPr>
          <w:lang w:val="fr-FR"/>
        </w:rPr>
        <w:tab/>
        <w:t>On a introduit un nouveau paragraphe 10 contenant la liste des matières et objets qui ne sont pas affectés à des groupes d</w:t>
      </w:r>
      <w:r w:rsidR="00E94E66">
        <w:rPr>
          <w:lang w:val="fr-FR"/>
        </w:rPr>
        <w:t>’</w:t>
      </w:r>
      <w:r w:rsidRPr="009E72FD">
        <w:rPr>
          <w:lang w:val="fr-FR"/>
        </w:rPr>
        <w:t>emballage.</w:t>
      </w:r>
    </w:p>
    <w:p w14:paraId="46EED8C0" w14:textId="77777777" w:rsidR="009E72FD" w:rsidRPr="009E72FD" w:rsidRDefault="009E72FD" w:rsidP="009E72FD">
      <w:pPr>
        <w:pStyle w:val="H23G"/>
        <w:rPr>
          <w:lang w:val="fr-FR"/>
        </w:rPr>
      </w:pPr>
      <w:r w:rsidRPr="009E72FD">
        <w:rPr>
          <w:lang w:val="fr-FR"/>
        </w:rPr>
        <w:tab/>
      </w:r>
      <w:r w:rsidRPr="009E72FD">
        <w:rPr>
          <w:lang w:val="fr-FR"/>
        </w:rPr>
        <w:tab/>
        <w:t>Référence au Manuel d</w:t>
      </w:r>
      <w:r w:rsidR="00E94E66">
        <w:rPr>
          <w:lang w:val="fr-FR"/>
        </w:rPr>
        <w:t>’</w:t>
      </w:r>
      <w:r w:rsidRPr="009E72FD">
        <w:rPr>
          <w:lang w:val="fr-FR"/>
        </w:rPr>
        <w:t>épreuves et de critères</w:t>
      </w:r>
    </w:p>
    <w:p w14:paraId="53FE095A" w14:textId="77777777" w:rsidR="009E72FD" w:rsidRPr="009E72FD" w:rsidRDefault="009E72FD" w:rsidP="009E72FD">
      <w:pPr>
        <w:pStyle w:val="SingleTxtG"/>
        <w:rPr>
          <w:lang w:val="fr-FR"/>
        </w:rPr>
      </w:pPr>
      <w:r w:rsidRPr="009E72FD">
        <w:rPr>
          <w:lang w:val="fr-FR"/>
        </w:rPr>
        <w:t>15.</w:t>
      </w:r>
      <w:r w:rsidRPr="009E72FD">
        <w:rPr>
          <w:lang w:val="fr-FR"/>
        </w:rPr>
        <w:tab/>
        <w:t>Le paragraphe 13 a été modifié pour tenir compte de la révision du Manuel dans le contexte du SGH (voir par.</w:t>
      </w:r>
      <w:r>
        <w:rPr>
          <w:lang w:val="fr-FR"/>
        </w:rPr>
        <w:t> </w:t>
      </w:r>
      <w:r w:rsidRPr="009E72FD">
        <w:rPr>
          <w:lang w:val="fr-FR"/>
        </w:rPr>
        <w:t>1.1.1 du Manuel d</w:t>
      </w:r>
      <w:r w:rsidR="00E94E66">
        <w:rPr>
          <w:lang w:val="fr-FR"/>
        </w:rPr>
        <w:t>’</w:t>
      </w:r>
      <w:r w:rsidRPr="009E72FD">
        <w:rPr>
          <w:lang w:val="fr-FR"/>
        </w:rPr>
        <w:t>épreuves et de critères).</w:t>
      </w:r>
    </w:p>
    <w:p w14:paraId="53B9A619" w14:textId="77777777" w:rsidR="009E72FD" w:rsidRPr="009E72FD" w:rsidRDefault="009E72FD" w:rsidP="009E72FD">
      <w:pPr>
        <w:pStyle w:val="H23G"/>
        <w:rPr>
          <w:lang w:val="fr-FR"/>
        </w:rPr>
      </w:pPr>
      <w:r w:rsidRPr="009E72FD">
        <w:rPr>
          <w:lang w:val="fr-FR"/>
        </w:rPr>
        <w:lastRenderedPageBreak/>
        <w:tab/>
      </w:r>
      <w:r w:rsidRPr="009E72FD">
        <w:rPr>
          <w:lang w:val="fr-FR"/>
        </w:rPr>
        <w:tab/>
        <w:t>Référence aux dispositions applicables aux envois traités avec des substances susceptibles de présenter un risque d</w:t>
      </w:r>
      <w:r w:rsidR="00E94E66">
        <w:rPr>
          <w:lang w:val="fr-FR"/>
        </w:rPr>
        <w:t>’</w:t>
      </w:r>
      <w:r w:rsidRPr="009E72FD">
        <w:rPr>
          <w:lang w:val="fr-FR"/>
        </w:rPr>
        <w:t>empoisonnement ou d</w:t>
      </w:r>
      <w:r w:rsidR="00E94E66">
        <w:rPr>
          <w:lang w:val="fr-FR"/>
        </w:rPr>
        <w:t>’</w:t>
      </w:r>
      <w:r w:rsidRPr="009E72FD">
        <w:rPr>
          <w:lang w:val="fr-FR"/>
        </w:rPr>
        <w:t>asphyxie</w:t>
      </w:r>
    </w:p>
    <w:p w14:paraId="1425F636" w14:textId="77777777" w:rsidR="009E72FD" w:rsidRPr="009E72FD" w:rsidRDefault="009E72FD" w:rsidP="009E72FD">
      <w:pPr>
        <w:pStyle w:val="SingleTxtG"/>
        <w:rPr>
          <w:lang w:val="fr-FR"/>
        </w:rPr>
      </w:pPr>
      <w:r w:rsidRPr="009E72FD">
        <w:rPr>
          <w:lang w:val="fr-FR"/>
        </w:rPr>
        <w:t>16.</w:t>
      </w:r>
      <w:r w:rsidRPr="009E72FD">
        <w:rPr>
          <w:lang w:val="fr-FR"/>
        </w:rPr>
        <w:tab/>
        <w:t>Le paragraphe</w:t>
      </w:r>
      <w:r w:rsidR="00F95C04">
        <w:rPr>
          <w:lang w:val="fr-FR"/>
        </w:rPr>
        <w:t> </w:t>
      </w:r>
      <w:r w:rsidRPr="009E72FD">
        <w:rPr>
          <w:lang w:val="fr-FR"/>
        </w:rPr>
        <w:t>14 a été modifié pour tenir compte non seulement des nouvelles dispositions concernant les engins de transport sous fumigation mais aussi de celles qui s</w:t>
      </w:r>
      <w:r w:rsidR="00E94E66">
        <w:rPr>
          <w:lang w:val="fr-FR"/>
        </w:rPr>
        <w:t>’</w:t>
      </w:r>
      <w:r w:rsidRPr="009E72FD">
        <w:rPr>
          <w:lang w:val="fr-FR"/>
        </w:rPr>
        <w:t>appliquent aux colis et engins de transport contenant des marchandises qui présentent un risque d</w:t>
      </w:r>
      <w:r w:rsidR="00E94E66">
        <w:rPr>
          <w:lang w:val="fr-FR"/>
        </w:rPr>
        <w:t>’</w:t>
      </w:r>
      <w:r w:rsidRPr="009E72FD">
        <w:rPr>
          <w:lang w:val="fr-FR"/>
        </w:rPr>
        <w:t>empoisonnement ou d</w:t>
      </w:r>
      <w:r w:rsidR="00E94E66">
        <w:rPr>
          <w:lang w:val="fr-FR"/>
        </w:rPr>
        <w:t>’</w:t>
      </w:r>
      <w:r w:rsidRPr="009E72FD">
        <w:rPr>
          <w:lang w:val="fr-FR"/>
        </w:rPr>
        <w:t>asphyxie lorsqu</w:t>
      </w:r>
      <w:r w:rsidR="00E94E66">
        <w:rPr>
          <w:lang w:val="fr-FR"/>
        </w:rPr>
        <w:t>’</w:t>
      </w:r>
      <w:r w:rsidRPr="009E72FD">
        <w:rPr>
          <w:lang w:val="fr-FR"/>
        </w:rPr>
        <w:t>ils servent à la réfrigération ou au conditionnement. En outre, ce paragraphe a été déplacé vers la Partie 5 (procédures d</w:t>
      </w:r>
      <w:r w:rsidR="00E94E66">
        <w:rPr>
          <w:lang w:val="fr-FR"/>
        </w:rPr>
        <w:t>’</w:t>
      </w:r>
      <w:r w:rsidRPr="009E72FD">
        <w:rPr>
          <w:lang w:val="fr-FR"/>
        </w:rPr>
        <w:t>expédition) car il n</w:t>
      </w:r>
      <w:r w:rsidR="00E94E66">
        <w:rPr>
          <w:lang w:val="fr-FR"/>
        </w:rPr>
        <w:t>’</w:t>
      </w:r>
      <w:r w:rsidRPr="009E72FD">
        <w:rPr>
          <w:lang w:val="fr-FR"/>
        </w:rPr>
        <w:t>est pas lié à la classification (voir le paragraphe</w:t>
      </w:r>
      <w:r w:rsidR="00F95C04">
        <w:rPr>
          <w:lang w:val="fr-FR"/>
        </w:rPr>
        <w:t> </w:t>
      </w:r>
      <w:r w:rsidRPr="009E72FD">
        <w:rPr>
          <w:lang w:val="fr-FR"/>
        </w:rPr>
        <w:t>25 du présent document).</w:t>
      </w:r>
    </w:p>
    <w:p w14:paraId="0F632307" w14:textId="77777777" w:rsidR="009E72FD" w:rsidRPr="009E72FD" w:rsidRDefault="009E72FD" w:rsidP="009E72FD">
      <w:pPr>
        <w:pStyle w:val="H23G"/>
        <w:rPr>
          <w:lang w:val="fr-FR"/>
        </w:rPr>
      </w:pPr>
      <w:r w:rsidRPr="009E72FD">
        <w:rPr>
          <w:lang w:val="fr-FR"/>
        </w:rPr>
        <w:tab/>
        <w:t>Partie 3</w:t>
      </w:r>
      <w:r w:rsidRPr="009E72FD">
        <w:rPr>
          <w:lang w:val="fr-FR"/>
        </w:rPr>
        <w:tab/>
        <w:t>Chapitre 3.5, quantités exceptées</w:t>
      </w:r>
    </w:p>
    <w:p w14:paraId="694379DD" w14:textId="77777777" w:rsidR="009E72FD" w:rsidRPr="009E72FD" w:rsidRDefault="009E72FD" w:rsidP="009E72FD">
      <w:pPr>
        <w:pStyle w:val="SingleTxtG"/>
        <w:rPr>
          <w:lang w:val="fr-FR"/>
        </w:rPr>
      </w:pPr>
      <w:r w:rsidRPr="009E72FD">
        <w:rPr>
          <w:lang w:val="fr-FR"/>
        </w:rPr>
        <w:t>17.</w:t>
      </w:r>
      <w:r w:rsidRPr="009E72FD">
        <w:rPr>
          <w:lang w:val="fr-FR"/>
        </w:rPr>
        <w:tab/>
        <w:t>Les dispositions relatives aux quantités exceptées ont été modifiées conformément à la décision prise par le Sous-Comité à sa cinquante-sixième session (voir le document ST/SG/AC.10/C.3/100/Add.1).</w:t>
      </w:r>
    </w:p>
    <w:p w14:paraId="5CA70793" w14:textId="77777777" w:rsidR="009E72FD" w:rsidRPr="009E72FD" w:rsidRDefault="009E72FD" w:rsidP="009E72FD">
      <w:pPr>
        <w:pStyle w:val="H23G"/>
        <w:rPr>
          <w:lang w:val="fr-FR"/>
        </w:rPr>
      </w:pPr>
      <w:r w:rsidRPr="009E72FD">
        <w:rPr>
          <w:lang w:val="fr-FR"/>
        </w:rPr>
        <w:tab/>
        <w:t>Partie 4</w:t>
      </w:r>
      <w:r w:rsidRPr="009E72FD">
        <w:rPr>
          <w:lang w:val="fr-FR"/>
        </w:rPr>
        <w:tab/>
        <w:t>Sous A</w:t>
      </w:r>
      <w:r>
        <w:rPr>
          <w:lang w:val="fr-FR"/>
        </w:rPr>
        <w:t xml:space="preserve"> </w:t>
      </w:r>
      <w:r w:rsidRPr="009E72FD">
        <w:rPr>
          <w:lang w:val="fr-FR"/>
        </w:rPr>
        <w:t>: Instructions d</w:t>
      </w:r>
      <w:r w:rsidR="00E94E66">
        <w:rPr>
          <w:lang w:val="fr-FR"/>
        </w:rPr>
        <w:t>’</w:t>
      </w:r>
      <w:r w:rsidRPr="009E72FD">
        <w:rPr>
          <w:lang w:val="fr-FR"/>
        </w:rPr>
        <w:t>emballage pour les divisions 6.1, 6.2 et la classe 8</w:t>
      </w:r>
    </w:p>
    <w:p w14:paraId="0EDA68A6" w14:textId="77777777" w:rsidR="009E72FD" w:rsidRPr="009E72FD" w:rsidRDefault="009E72FD" w:rsidP="009E72FD">
      <w:pPr>
        <w:pStyle w:val="SingleTxtG"/>
        <w:rPr>
          <w:lang w:val="fr-FR"/>
        </w:rPr>
      </w:pPr>
      <w:r w:rsidRPr="009E72FD">
        <w:rPr>
          <w:lang w:val="fr-FR"/>
        </w:rPr>
        <w:t>18.</w:t>
      </w:r>
      <w:r w:rsidRPr="009E72FD">
        <w:rPr>
          <w:lang w:val="fr-FR"/>
        </w:rPr>
        <w:tab/>
        <w:t>De nouveaux cas et exemples ont été ajoutés.</w:t>
      </w:r>
    </w:p>
    <w:p w14:paraId="6BED5E67" w14:textId="725A88B6" w:rsidR="009E72FD" w:rsidRPr="009E72FD" w:rsidRDefault="009E72FD" w:rsidP="009E72FD">
      <w:pPr>
        <w:pStyle w:val="H23G"/>
        <w:rPr>
          <w:lang w:val="fr-FR"/>
        </w:rPr>
      </w:pPr>
      <w:r w:rsidRPr="009E72FD">
        <w:rPr>
          <w:lang w:val="fr-FR"/>
        </w:rPr>
        <w:tab/>
      </w:r>
      <w:r w:rsidRPr="009E72FD">
        <w:rPr>
          <w:lang w:val="fr-FR"/>
        </w:rPr>
        <w:tab/>
        <w:t>Sous B</w:t>
      </w:r>
      <w:r>
        <w:rPr>
          <w:lang w:val="fr-FR"/>
        </w:rPr>
        <w:t xml:space="preserve"> </w:t>
      </w:r>
      <w:r w:rsidRPr="009E72FD">
        <w:rPr>
          <w:lang w:val="fr-FR"/>
        </w:rPr>
        <w:t>: tableaux 4.1 et</w:t>
      </w:r>
      <w:r w:rsidR="002F6C5C">
        <w:rPr>
          <w:lang w:val="fr-FR"/>
        </w:rPr>
        <w:t xml:space="preserve"> </w:t>
      </w:r>
      <w:r w:rsidRPr="009E72FD">
        <w:rPr>
          <w:lang w:val="fr-FR"/>
        </w:rPr>
        <w:t>4.2</w:t>
      </w:r>
    </w:p>
    <w:p w14:paraId="0C4B74CE" w14:textId="77777777" w:rsidR="009E72FD" w:rsidRPr="009E72FD" w:rsidRDefault="009E72FD" w:rsidP="009E72FD">
      <w:pPr>
        <w:pStyle w:val="SingleTxtG"/>
        <w:rPr>
          <w:lang w:val="fr-FR"/>
        </w:rPr>
      </w:pPr>
      <w:r w:rsidRPr="009E72FD">
        <w:rPr>
          <w:lang w:val="fr-FR"/>
        </w:rPr>
        <w:t>19.</w:t>
      </w:r>
      <w:r w:rsidRPr="009E72FD">
        <w:rPr>
          <w:lang w:val="fr-FR"/>
        </w:rPr>
        <w:tab/>
        <w:t>Des détails supplémentaires ont été ajoutés au tableau 4.1 et les rubriques du tableau</w:t>
      </w:r>
      <w:r>
        <w:rPr>
          <w:lang w:val="fr-FR"/>
        </w:rPr>
        <w:t> </w:t>
      </w:r>
      <w:r w:rsidRPr="009E72FD">
        <w:rPr>
          <w:lang w:val="fr-FR"/>
        </w:rPr>
        <w:t>4.2 ont été mises à jour.</w:t>
      </w:r>
    </w:p>
    <w:p w14:paraId="45CCBF27" w14:textId="77777777" w:rsidR="009E72FD" w:rsidRPr="009E72FD" w:rsidRDefault="009E72FD" w:rsidP="009E72FD">
      <w:pPr>
        <w:pStyle w:val="H23G"/>
        <w:rPr>
          <w:lang w:val="fr-FR"/>
        </w:rPr>
      </w:pPr>
      <w:r w:rsidRPr="009E72FD">
        <w:rPr>
          <w:lang w:val="fr-FR"/>
        </w:rPr>
        <w:tab/>
      </w:r>
      <w:r w:rsidRPr="009E72FD">
        <w:rPr>
          <w:lang w:val="fr-FR"/>
        </w:rPr>
        <w:tab/>
        <w:t>Sous C</w:t>
      </w:r>
      <w:r>
        <w:rPr>
          <w:lang w:val="fr-FR"/>
        </w:rPr>
        <w:t xml:space="preserve"> </w:t>
      </w:r>
      <w:r w:rsidRPr="009E72FD">
        <w:rPr>
          <w:lang w:val="fr-FR"/>
        </w:rPr>
        <w:t>: Section 1</w:t>
      </w:r>
    </w:p>
    <w:p w14:paraId="5ACE1D79" w14:textId="77777777" w:rsidR="009E72FD" w:rsidRPr="009E72FD" w:rsidRDefault="009E72FD" w:rsidP="009E72FD">
      <w:pPr>
        <w:pStyle w:val="SingleTxtG"/>
        <w:rPr>
          <w:lang w:val="fr-FR"/>
        </w:rPr>
      </w:pPr>
      <w:r w:rsidRPr="009E72FD">
        <w:rPr>
          <w:lang w:val="fr-FR"/>
        </w:rPr>
        <w:t>20.</w:t>
      </w:r>
      <w:r w:rsidRPr="009E72FD">
        <w:rPr>
          <w:lang w:val="fr-FR"/>
        </w:rPr>
        <w:tab/>
        <w:t>Au paragraphe</w:t>
      </w:r>
      <w:r>
        <w:rPr>
          <w:lang w:val="fr-FR"/>
        </w:rPr>
        <w:t> </w:t>
      </w:r>
      <w:r w:rsidRPr="009E72FD">
        <w:rPr>
          <w:lang w:val="fr-FR"/>
        </w:rPr>
        <w:t>4 a), on a ajouté des directives supplémentaires concernant le transport de matières dans des citernes mobiles sous réserve de l</w:t>
      </w:r>
      <w:r w:rsidR="00E94E66">
        <w:rPr>
          <w:lang w:val="fr-FR"/>
        </w:rPr>
        <w:t>’</w:t>
      </w:r>
      <w:r w:rsidRPr="009E72FD">
        <w:rPr>
          <w:lang w:val="fr-FR"/>
        </w:rPr>
        <w:t>approbation de l</w:t>
      </w:r>
      <w:r w:rsidR="00E94E66">
        <w:rPr>
          <w:lang w:val="fr-FR"/>
        </w:rPr>
        <w:t>’</w:t>
      </w:r>
      <w:r w:rsidRPr="009E72FD">
        <w:rPr>
          <w:lang w:val="fr-FR"/>
        </w:rPr>
        <w:t>autorité compétente (conformément aux paragraphes 4.2.5.1.1 et 6.7.1.3 du Règlement type).</w:t>
      </w:r>
    </w:p>
    <w:p w14:paraId="304D90C9" w14:textId="77777777" w:rsidR="009E72FD" w:rsidRPr="009E72FD" w:rsidRDefault="009E72FD" w:rsidP="009E72FD">
      <w:pPr>
        <w:pStyle w:val="H23G"/>
        <w:rPr>
          <w:lang w:val="fr-FR"/>
        </w:rPr>
      </w:pPr>
      <w:r w:rsidRPr="009E72FD">
        <w:rPr>
          <w:lang w:val="fr-FR"/>
        </w:rPr>
        <w:tab/>
      </w:r>
      <w:r w:rsidRPr="009E72FD">
        <w:rPr>
          <w:lang w:val="fr-FR"/>
        </w:rPr>
        <w:tab/>
        <w:t>Sous C</w:t>
      </w:r>
      <w:r>
        <w:rPr>
          <w:lang w:val="fr-FR"/>
        </w:rPr>
        <w:t xml:space="preserve"> </w:t>
      </w:r>
      <w:r w:rsidRPr="009E72FD">
        <w:rPr>
          <w:lang w:val="fr-FR"/>
        </w:rPr>
        <w:t>: Section 2</w:t>
      </w:r>
    </w:p>
    <w:p w14:paraId="2AB84317" w14:textId="77777777" w:rsidR="009E72FD" w:rsidRPr="009E72FD" w:rsidRDefault="009E72FD" w:rsidP="009E72FD">
      <w:pPr>
        <w:pStyle w:val="SingleTxtG"/>
        <w:rPr>
          <w:lang w:val="fr-FR"/>
        </w:rPr>
      </w:pPr>
      <w:r w:rsidRPr="009E72FD">
        <w:rPr>
          <w:lang w:val="fr-FR"/>
        </w:rPr>
        <w:t>21.</w:t>
      </w:r>
      <w:r w:rsidRPr="009E72FD">
        <w:rPr>
          <w:lang w:val="fr-FR"/>
        </w:rPr>
        <w:tab/>
        <w:t>Les nouveaux paragraphes 5 à 13 fournissent des directives concernant l</w:t>
      </w:r>
      <w:r w:rsidR="00E94E66">
        <w:rPr>
          <w:lang w:val="fr-FR"/>
        </w:rPr>
        <w:t>’</w:t>
      </w:r>
      <w:r w:rsidRPr="009E72FD">
        <w:rPr>
          <w:lang w:val="fr-FR"/>
        </w:rPr>
        <w:t>affectation d</w:t>
      </w:r>
      <w:r w:rsidR="00E94E66">
        <w:rPr>
          <w:lang w:val="fr-FR"/>
        </w:rPr>
        <w:t>’</w:t>
      </w:r>
      <w:r w:rsidRPr="009E72FD">
        <w:rPr>
          <w:lang w:val="fr-FR"/>
        </w:rPr>
        <w:t>instructions relatives aux citernes mobiles conformément à la section 4.2.5 du Règlement type, et certaines des rubriques du tableau 4.3 ont été mises à jour pour tenir compte des produits chimiques sous pression.</w:t>
      </w:r>
    </w:p>
    <w:p w14:paraId="79F29B8C" w14:textId="77777777" w:rsidR="009E72FD" w:rsidRPr="009E72FD" w:rsidRDefault="009E72FD" w:rsidP="009E72FD">
      <w:pPr>
        <w:pStyle w:val="H23G"/>
        <w:rPr>
          <w:lang w:val="fr-FR"/>
        </w:rPr>
      </w:pPr>
      <w:r w:rsidRPr="009E72FD">
        <w:rPr>
          <w:lang w:val="fr-FR"/>
        </w:rPr>
        <w:tab/>
      </w:r>
      <w:r w:rsidRPr="009E72FD">
        <w:rPr>
          <w:lang w:val="fr-FR"/>
        </w:rPr>
        <w:tab/>
        <w:t>Sous C</w:t>
      </w:r>
      <w:r>
        <w:rPr>
          <w:lang w:val="fr-FR"/>
        </w:rPr>
        <w:t xml:space="preserve"> </w:t>
      </w:r>
      <w:r w:rsidRPr="009E72FD">
        <w:rPr>
          <w:lang w:val="fr-FR"/>
        </w:rPr>
        <w:t>: Section 3</w:t>
      </w:r>
    </w:p>
    <w:p w14:paraId="6B465406" w14:textId="77777777" w:rsidR="009E72FD" w:rsidRPr="009E72FD" w:rsidRDefault="009E72FD" w:rsidP="009E72FD">
      <w:pPr>
        <w:pStyle w:val="SingleTxtG"/>
        <w:rPr>
          <w:lang w:val="fr-FR"/>
        </w:rPr>
      </w:pPr>
      <w:r w:rsidRPr="009E72FD">
        <w:rPr>
          <w:lang w:val="fr-FR"/>
        </w:rPr>
        <w:t>22.</w:t>
      </w:r>
      <w:r w:rsidRPr="009E72FD">
        <w:rPr>
          <w:lang w:val="fr-FR"/>
        </w:rPr>
        <w:tab/>
        <w:t>Les directives actuelles pour l</w:t>
      </w:r>
      <w:r w:rsidR="00E94E66">
        <w:rPr>
          <w:lang w:val="fr-FR"/>
        </w:rPr>
        <w:t>’</w:t>
      </w:r>
      <w:r w:rsidRPr="009E72FD">
        <w:rPr>
          <w:lang w:val="fr-FR"/>
        </w:rPr>
        <w:t>affectation de dispositions spéciales relatives aux citernes (TP) ont été complétées, revues et actualisées. Depuis la dernière mise à jour des principes directeurs, TP12, TP23, TP35, TP37, TP38 et TP39 ont été supprimés</w:t>
      </w:r>
      <w:r w:rsidR="00F95C04">
        <w:rPr>
          <w:lang w:val="fr-FR"/>
        </w:rPr>
        <w:t xml:space="preserve"> </w:t>
      </w:r>
      <w:r w:rsidRPr="009E72FD">
        <w:rPr>
          <w:lang w:val="fr-FR"/>
        </w:rPr>
        <w:t>; TP10, TP19 et TP32 ont été modifiés et TP41 a été ajouté.</w:t>
      </w:r>
    </w:p>
    <w:p w14:paraId="0412684A" w14:textId="77777777" w:rsidR="009E72FD" w:rsidRPr="009E72FD" w:rsidRDefault="009E72FD" w:rsidP="009E72FD">
      <w:pPr>
        <w:pStyle w:val="SingleTxtG"/>
        <w:rPr>
          <w:lang w:val="fr-FR"/>
        </w:rPr>
      </w:pPr>
      <w:r w:rsidRPr="009E72FD">
        <w:rPr>
          <w:lang w:val="fr-FR"/>
        </w:rPr>
        <w:t>23.</w:t>
      </w:r>
      <w:r w:rsidRPr="009E72FD">
        <w:rPr>
          <w:lang w:val="fr-FR"/>
        </w:rPr>
        <w:tab/>
        <w:t>Afin d</w:t>
      </w:r>
      <w:r w:rsidR="00E94E66">
        <w:rPr>
          <w:lang w:val="fr-FR"/>
        </w:rPr>
        <w:t>’</w:t>
      </w:r>
      <w:r w:rsidRPr="009E72FD">
        <w:rPr>
          <w:lang w:val="fr-FR"/>
        </w:rPr>
        <w:t>éviter une répétition inutile du texte, il est proposé de remplacer la liste actuelle des dispositions spéciales relatives aux citernes par un tableau contenant les principes d</w:t>
      </w:r>
      <w:r w:rsidR="00E94E66">
        <w:rPr>
          <w:lang w:val="fr-FR"/>
        </w:rPr>
        <w:t>’</w:t>
      </w:r>
      <w:r w:rsidRPr="009E72FD">
        <w:rPr>
          <w:lang w:val="fr-FR"/>
        </w:rPr>
        <w:t>affectation de chaque disposition spéciale, qui étaient auparavant donnés sous forme de notes, sans répéter le texte de ces dispositions lui-même.</w:t>
      </w:r>
    </w:p>
    <w:p w14:paraId="513786F8" w14:textId="77777777" w:rsidR="009E72FD" w:rsidRPr="009E72FD" w:rsidRDefault="009E72FD" w:rsidP="009E72FD">
      <w:pPr>
        <w:pStyle w:val="H23G"/>
        <w:rPr>
          <w:lang w:val="fr-FR"/>
        </w:rPr>
      </w:pPr>
      <w:r w:rsidRPr="009E72FD">
        <w:rPr>
          <w:lang w:val="fr-FR"/>
        </w:rPr>
        <w:tab/>
      </w:r>
      <w:r w:rsidRPr="009E72FD">
        <w:rPr>
          <w:lang w:val="fr-FR"/>
        </w:rPr>
        <w:tab/>
        <w:t>Sous D</w:t>
      </w:r>
      <w:r>
        <w:rPr>
          <w:lang w:val="fr-FR"/>
        </w:rPr>
        <w:t xml:space="preserve"> </w:t>
      </w:r>
      <w:r w:rsidRPr="009E72FD">
        <w:rPr>
          <w:lang w:val="fr-FR"/>
        </w:rPr>
        <w:t>: Utilisation des conteneurs pour vrac</w:t>
      </w:r>
    </w:p>
    <w:p w14:paraId="5A41B8C0" w14:textId="77777777" w:rsidR="009E72FD" w:rsidRPr="009E72FD" w:rsidRDefault="009E72FD" w:rsidP="009E72FD">
      <w:pPr>
        <w:pStyle w:val="SingleTxtG"/>
        <w:rPr>
          <w:lang w:val="fr-FR"/>
        </w:rPr>
      </w:pPr>
      <w:r w:rsidRPr="009E72FD">
        <w:rPr>
          <w:lang w:val="fr-FR"/>
        </w:rPr>
        <w:t>24.</w:t>
      </w:r>
      <w:r w:rsidRPr="009E72FD">
        <w:rPr>
          <w:lang w:val="fr-FR"/>
        </w:rPr>
        <w:tab/>
        <w:t>Une nouvelle section contenant des directives relatives à l</w:t>
      </w:r>
      <w:r w:rsidR="00E94E66">
        <w:rPr>
          <w:lang w:val="fr-FR"/>
        </w:rPr>
        <w:t>’</w:t>
      </w:r>
      <w:r w:rsidRPr="009E72FD">
        <w:rPr>
          <w:lang w:val="fr-FR"/>
        </w:rPr>
        <w:t>utilisation de conteneurs pour le transport en vrac de matières solides conformément au chapitre 4.3 du Règlement type a été ajoutée.</w:t>
      </w:r>
    </w:p>
    <w:p w14:paraId="265983BB" w14:textId="77777777" w:rsidR="009E72FD" w:rsidRPr="009E72FD" w:rsidRDefault="009E72FD" w:rsidP="009E72FD">
      <w:pPr>
        <w:pStyle w:val="H23G"/>
        <w:rPr>
          <w:lang w:val="fr-FR"/>
        </w:rPr>
      </w:pPr>
      <w:r w:rsidRPr="009E72FD">
        <w:rPr>
          <w:lang w:val="fr-FR"/>
        </w:rPr>
        <w:tab/>
        <w:t>Partie 5</w:t>
      </w:r>
      <w:r w:rsidRPr="009E72FD">
        <w:rPr>
          <w:lang w:val="fr-FR"/>
        </w:rPr>
        <w:tab/>
        <w:t>Procédures d</w:t>
      </w:r>
      <w:r w:rsidR="00E94E66">
        <w:rPr>
          <w:lang w:val="fr-FR"/>
        </w:rPr>
        <w:t>’</w:t>
      </w:r>
      <w:r w:rsidRPr="009E72FD">
        <w:rPr>
          <w:lang w:val="fr-FR"/>
        </w:rPr>
        <w:t>expédition</w:t>
      </w:r>
    </w:p>
    <w:p w14:paraId="531F5893" w14:textId="77777777" w:rsidR="009E72FD" w:rsidRPr="009E72FD" w:rsidRDefault="009E72FD" w:rsidP="009E72FD">
      <w:pPr>
        <w:pStyle w:val="SingleTxtG"/>
        <w:rPr>
          <w:lang w:val="fr-FR"/>
        </w:rPr>
      </w:pPr>
      <w:r w:rsidRPr="009E72FD">
        <w:rPr>
          <w:lang w:val="fr-FR"/>
        </w:rPr>
        <w:t>25.</w:t>
      </w:r>
      <w:r w:rsidRPr="009E72FD">
        <w:rPr>
          <w:lang w:val="fr-FR"/>
        </w:rPr>
        <w:tab/>
        <w:t>Le texte se référant à la documentation et au signalement des engins de transport sous fumigation, qui se trouvait auparavant au chapitre 2 (Classification), a été mis à jour et déplacé vers la Partie 5 en tant que nouveau paragraphe 5.</w:t>
      </w:r>
    </w:p>
    <w:p w14:paraId="7495EFB8" w14:textId="77777777" w:rsidR="009E72FD" w:rsidRPr="009E72FD" w:rsidRDefault="009E72FD" w:rsidP="009E72FD">
      <w:pPr>
        <w:pStyle w:val="H23G"/>
        <w:rPr>
          <w:lang w:val="fr-FR"/>
        </w:rPr>
      </w:pPr>
      <w:r w:rsidRPr="009E72FD">
        <w:rPr>
          <w:lang w:val="fr-FR"/>
        </w:rPr>
        <w:lastRenderedPageBreak/>
        <w:tab/>
        <w:t>Partie 6</w:t>
      </w:r>
      <w:r w:rsidRPr="009E72FD">
        <w:rPr>
          <w:lang w:val="fr-FR"/>
        </w:rPr>
        <w:tab/>
        <w:t>Périodes transitoires pour les nouvelles normes</w:t>
      </w:r>
    </w:p>
    <w:p w14:paraId="371A4A66" w14:textId="77777777" w:rsidR="009E72FD" w:rsidRPr="009E72FD" w:rsidRDefault="009E72FD" w:rsidP="009E72FD">
      <w:pPr>
        <w:pStyle w:val="SingleTxtG"/>
        <w:rPr>
          <w:lang w:val="fr-FR"/>
        </w:rPr>
      </w:pPr>
      <w:r w:rsidRPr="009E72FD">
        <w:rPr>
          <w:lang w:val="fr-FR"/>
        </w:rPr>
        <w:t>26.</w:t>
      </w:r>
      <w:r w:rsidRPr="009E72FD">
        <w:rPr>
          <w:lang w:val="fr-FR"/>
        </w:rPr>
        <w:tab/>
        <w:t>Les exemples fournis ont été mis à jour.</w:t>
      </w:r>
    </w:p>
    <w:p w14:paraId="06A4FBE8" w14:textId="77777777" w:rsidR="009E72FD" w:rsidRPr="009E72FD" w:rsidRDefault="009E72FD" w:rsidP="00F95C04">
      <w:pPr>
        <w:pStyle w:val="HChG"/>
        <w:rPr>
          <w:lang w:val="fr-FR"/>
        </w:rPr>
      </w:pPr>
      <w:r w:rsidRPr="009E72FD">
        <w:rPr>
          <w:lang w:val="fr-FR"/>
        </w:rPr>
        <w:tab/>
      </w:r>
      <w:r w:rsidRPr="009E72FD">
        <w:rPr>
          <w:lang w:val="fr-FR"/>
        </w:rPr>
        <w:tab/>
        <w:t>Action requise de la part du Sous-Comité</w:t>
      </w:r>
    </w:p>
    <w:p w14:paraId="0260A663" w14:textId="77777777" w:rsidR="009E72FD" w:rsidRDefault="009E72FD" w:rsidP="009E72FD">
      <w:pPr>
        <w:pStyle w:val="SingleTxtG"/>
        <w:rPr>
          <w:lang w:val="fr-FR"/>
        </w:rPr>
      </w:pPr>
      <w:r w:rsidRPr="009E72FD">
        <w:rPr>
          <w:lang w:val="fr-FR"/>
        </w:rPr>
        <w:t>27.</w:t>
      </w:r>
      <w:r w:rsidRPr="009E72FD">
        <w:rPr>
          <w:lang w:val="fr-FR"/>
        </w:rPr>
        <w:tab/>
        <w:t>Le secrétariat invite le Sous-Comité à examiner le projet de version révisée des principes directeurs contenu dans le document INF.3 ainsi que les questions posées aux paragraphes 6,7 et 12 ci-dessus.</w:t>
      </w:r>
    </w:p>
    <w:p w14:paraId="50DBD2CB" w14:textId="77777777" w:rsidR="009E72FD" w:rsidRPr="009E72FD" w:rsidRDefault="009E72FD" w:rsidP="009E72FD">
      <w:pPr>
        <w:pStyle w:val="SingleTxtG"/>
        <w:spacing w:before="240" w:after="0"/>
        <w:jc w:val="center"/>
        <w:rPr>
          <w:u w:val="single"/>
        </w:rPr>
      </w:pPr>
      <w:r>
        <w:rPr>
          <w:u w:val="single"/>
        </w:rPr>
        <w:tab/>
      </w:r>
      <w:r>
        <w:rPr>
          <w:u w:val="single"/>
        </w:rPr>
        <w:tab/>
      </w:r>
      <w:r>
        <w:rPr>
          <w:u w:val="single"/>
        </w:rPr>
        <w:tab/>
      </w:r>
    </w:p>
    <w:sectPr w:rsidR="009E72FD" w:rsidRPr="009E72FD" w:rsidSect="009E72F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55BD" w14:textId="77777777" w:rsidR="00C019D9" w:rsidRDefault="00C019D9" w:rsidP="00F95C08">
      <w:pPr>
        <w:spacing w:line="240" w:lineRule="auto"/>
      </w:pPr>
    </w:p>
  </w:endnote>
  <w:endnote w:type="continuationSeparator" w:id="0">
    <w:p w14:paraId="4E6F7B0A" w14:textId="77777777" w:rsidR="00C019D9" w:rsidRPr="00AC3823" w:rsidRDefault="00C019D9" w:rsidP="00AC3823">
      <w:pPr>
        <w:pStyle w:val="Footer"/>
      </w:pPr>
    </w:p>
  </w:endnote>
  <w:endnote w:type="continuationNotice" w:id="1">
    <w:p w14:paraId="38A57E58" w14:textId="77777777" w:rsidR="00C019D9" w:rsidRDefault="00C019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DABA" w14:textId="77777777" w:rsidR="009E72FD" w:rsidRPr="009E72FD" w:rsidRDefault="009E72FD" w:rsidP="009E72FD">
    <w:pPr>
      <w:pStyle w:val="Footer"/>
      <w:tabs>
        <w:tab w:val="right" w:pos="9638"/>
      </w:tabs>
    </w:pPr>
    <w:r w:rsidRPr="009E72FD">
      <w:rPr>
        <w:b/>
        <w:sz w:val="18"/>
      </w:rPr>
      <w:fldChar w:fldCharType="begin"/>
    </w:r>
    <w:r w:rsidRPr="009E72FD">
      <w:rPr>
        <w:b/>
        <w:sz w:val="18"/>
      </w:rPr>
      <w:instrText xml:space="preserve"> PAGE  \* MERGEFORMAT </w:instrText>
    </w:r>
    <w:r w:rsidRPr="009E72FD">
      <w:rPr>
        <w:b/>
        <w:sz w:val="18"/>
      </w:rPr>
      <w:fldChar w:fldCharType="separate"/>
    </w:r>
    <w:r w:rsidRPr="009E72FD">
      <w:rPr>
        <w:b/>
        <w:noProof/>
        <w:sz w:val="18"/>
      </w:rPr>
      <w:t>2</w:t>
    </w:r>
    <w:r w:rsidRPr="009E72FD">
      <w:rPr>
        <w:b/>
        <w:sz w:val="18"/>
      </w:rPr>
      <w:fldChar w:fldCharType="end"/>
    </w:r>
    <w:r>
      <w:rPr>
        <w:b/>
        <w:sz w:val="18"/>
      </w:rPr>
      <w:tab/>
    </w:r>
    <w:r>
      <w:t>GE.20-03659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3882" w14:textId="77777777" w:rsidR="009E72FD" w:rsidRPr="009E72FD" w:rsidRDefault="009E72FD" w:rsidP="009E72FD">
    <w:pPr>
      <w:pStyle w:val="Footer"/>
      <w:tabs>
        <w:tab w:val="right" w:pos="9638"/>
      </w:tabs>
      <w:rPr>
        <w:b/>
        <w:sz w:val="18"/>
      </w:rPr>
    </w:pPr>
    <w:r>
      <w:t>GE.20-03659</w:t>
    </w:r>
    <w:r>
      <w:tab/>
    </w:r>
    <w:r w:rsidRPr="009E72FD">
      <w:rPr>
        <w:b/>
        <w:sz w:val="18"/>
      </w:rPr>
      <w:fldChar w:fldCharType="begin"/>
    </w:r>
    <w:r w:rsidRPr="009E72FD">
      <w:rPr>
        <w:b/>
        <w:sz w:val="18"/>
      </w:rPr>
      <w:instrText xml:space="preserve"> PAGE  \* MERGEFORMAT </w:instrText>
    </w:r>
    <w:r w:rsidRPr="009E72FD">
      <w:rPr>
        <w:b/>
        <w:sz w:val="18"/>
      </w:rPr>
      <w:fldChar w:fldCharType="separate"/>
    </w:r>
    <w:r w:rsidRPr="009E72FD">
      <w:rPr>
        <w:b/>
        <w:noProof/>
        <w:sz w:val="18"/>
      </w:rPr>
      <w:t>3</w:t>
    </w:r>
    <w:r w:rsidRPr="009E72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0CA2" w14:textId="308BAB44" w:rsidR="0068456F" w:rsidRPr="009E72FD" w:rsidRDefault="009E72FD" w:rsidP="009E72F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0821DB6" wp14:editId="1ABA87E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03659  (</w:t>
    </w:r>
    <w:proofErr w:type="gramEnd"/>
    <w:r>
      <w:rPr>
        <w:sz w:val="20"/>
      </w:rPr>
      <w:t xml:space="preserve">F)    170320    </w:t>
    </w:r>
    <w:r w:rsidR="00692A3D">
      <w:rPr>
        <w:sz w:val="20"/>
      </w:rPr>
      <w:t>24</w:t>
    </w:r>
    <w:r>
      <w:rPr>
        <w:sz w:val="20"/>
      </w:rPr>
      <w:t>0320</w:t>
    </w:r>
    <w:r>
      <w:rPr>
        <w:sz w:val="20"/>
      </w:rPr>
      <w:br/>
    </w:r>
    <w:r w:rsidRPr="009E72FD">
      <w:rPr>
        <w:rFonts w:ascii="C39T30Lfz" w:hAnsi="C39T30Lfz"/>
        <w:sz w:val="56"/>
      </w:rPr>
      <w:t></w:t>
    </w:r>
    <w:r w:rsidRPr="009E72FD">
      <w:rPr>
        <w:rFonts w:ascii="C39T30Lfz" w:hAnsi="C39T30Lfz"/>
        <w:sz w:val="56"/>
      </w:rPr>
      <w:t></w:t>
    </w:r>
    <w:r w:rsidRPr="009E72FD">
      <w:rPr>
        <w:rFonts w:ascii="C39T30Lfz" w:hAnsi="C39T30Lfz"/>
        <w:sz w:val="56"/>
      </w:rPr>
      <w:t></w:t>
    </w:r>
    <w:r w:rsidRPr="009E72FD">
      <w:rPr>
        <w:rFonts w:ascii="C39T30Lfz" w:hAnsi="C39T30Lfz"/>
        <w:sz w:val="56"/>
      </w:rPr>
      <w:t></w:t>
    </w:r>
    <w:r w:rsidRPr="009E72FD">
      <w:rPr>
        <w:rFonts w:ascii="C39T30Lfz" w:hAnsi="C39T30Lfz"/>
        <w:sz w:val="56"/>
      </w:rPr>
      <w:t></w:t>
    </w:r>
    <w:r w:rsidRPr="009E72FD">
      <w:rPr>
        <w:rFonts w:ascii="C39T30Lfz" w:hAnsi="C39T30Lfz"/>
        <w:sz w:val="56"/>
      </w:rPr>
      <w:t></w:t>
    </w:r>
    <w:r w:rsidRPr="009E72FD">
      <w:rPr>
        <w:rFonts w:ascii="C39T30Lfz" w:hAnsi="C39T30Lfz"/>
        <w:sz w:val="56"/>
      </w:rPr>
      <w:t></w:t>
    </w:r>
    <w:r w:rsidRPr="009E72FD">
      <w:rPr>
        <w:rFonts w:ascii="C39T30Lfz" w:hAnsi="C39T30Lfz"/>
        <w:sz w:val="56"/>
      </w:rPr>
      <w:t></w:t>
    </w:r>
    <w:r w:rsidRPr="009E72FD">
      <w:rPr>
        <w:rFonts w:ascii="C39T30Lfz" w:hAnsi="C39T30Lfz"/>
        <w:sz w:val="56"/>
      </w:rPr>
      <w:t></w:t>
    </w:r>
    <w:r>
      <w:rPr>
        <w:noProof/>
        <w:sz w:val="20"/>
      </w:rPr>
      <w:drawing>
        <wp:anchor distT="0" distB="0" distL="114300" distR="114300" simplePos="0" relativeHeight="251658240" behindDoc="0" locked="0" layoutInCell="1" allowOverlap="1" wp14:anchorId="3ADC476C" wp14:editId="2FACD61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F0466" w14:textId="77777777" w:rsidR="00C019D9" w:rsidRPr="00AC3823" w:rsidRDefault="00C019D9" w:rsidP="00AC3823">
      <w:pPr>
        <w:pStyle w:val="Footer"/>
        <w:tabs>
          <w:tab w:val="right" w:pos="2155"/>
        </w:tabs>
        <w:spacing w:after="80" w:line="240" w:lineRule="atLeast"/>
        <w:ind w:left="680"/>
        <w:rPr>
          <w:u w:val="single"/>
        </w:rPr>
      </w:pPr>
      <w:r>
        <w:rPr>
          <w:u w:val="single"/>
        </w:rPr>
        <w:tab/>
      </w:r>
    </w:p>
  </w:footnote>
  <w:footnote w:type="continuationSeparator" w:id="0">
    <w:p w14:paraId="46F23833" w14:textId="77777777" w:rsidR="00C019D9" w:rsidRPr="00AC3823" w:rsidRDefault="00C019D9" w:rsidP="00AC3823">
      <w:pPr>
        <w:pStyle w:val="Footer"/>
        <w:tabs>
          <w:tab w:val="right" w:pos="2155"/>
        </w:tabs>
        <w:spacing w:after="80" w:line="240" w:lineRule="atLeast"/>
        <w:ind w:left="680"/>
        <w:rPr>
          <w:u w:val="single"/>
        </w:rPr>
      </w:pPr>
      <w:r>
        <w:rPr>
          <w:u w:val="single"/>
        </w:rPr>
        <w:tab/>
      </w:r>
    </w:p>
  </w:footnote>
  <w:footnote w:type="continuationNotice" w:id="1">
    <w:p w14:paraId="4A9313A8" w14:textId="77777777" w:rsidR="00C019D9" w:rsidRPr="00AC3823" w:rsidRDefault="00C019D9">
      <w:pPr>
        <w:spacing w:line="240" w:lineRule="auto"/>
        <w:rPr>
          <w:sz w:val="2"/>
          <w:szCs w:val="2"/>
        </w:rPr>
      </w:pPr>
    </w:p>
  </w:footnote>
  <w:footnote w:id="2">
    <w:p w14:paraId="149E4B16" w14:textId="77777777" w:rsidR="009E72FD" w:rsidRPr="00493B59" w:rsidRDefault="009E72FD" w:rsidP="009E72FD">
      <w:pPr>
        <w:pStyle w:val="FootnoteText"/>
      </w:pPr>
      <w:r w:rsidRPr="005731B8">
        <w:rPr>
          <w:rStyle w:val="FootnoteReference"/>
          <w:vertAlign w:val="baseline"/>
        </w:rPr>
        <w:tab/>
      </w:r>
      <w:r w:rsidRPr="005731B8">
        <w:rPr>
          <w:rStyle w:val="FootnoteReference"/>
          <w:sz w:val="20"/>
          <w:vertAlign w:val="baseline"/>
        </w:rPr>
        <w:t>*</w:t>
      </w:r>
      <w:r w:rsidRPr="005731B8">
        <w:rPr>
          <w:rStyle w:val="FootnoteReference"/>
          <w:sz w:val="20"/>
          <w:vertAlign w:val="baseline"/>
        </w:rPr>
        <w:tab/>
      </w:r>
      <w:r w:rsidRPr="009E72FD">
        <w:t>2020 (A/74/6 (Sect.</w:t>
      </w:r>
      <w:r w:rsidR="005D2E60">
        <w:t> </w:t>
      </w:r>
      <w:r w:rsidRPr="009E72FD">
        <w:t>20) et supplément, sous-programme 2</w:t>
      </w:r>
      <w:r w:rsidR="005731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59B4" w14:textId="4625B3C9" w:rsidR="009E72FD" w:rsidRPr="009E72FD" w:rsidRDefault="004E4F2A">
    <w:pPr>
      <w:pStyle w:val="Header"/>
    </w:pPr>
    <w:r>
      <w:fldChar w:fldCharType="begin"/>
    </w:r>
    <w:r>
      <w:instrText xml:space="preserve"> TITLE  \* </w:instrText>
    </w:r>
    <w:r>
      <w:instrText xml:space="preserve">MERGEFORMAT </w:instrText>
    </w:r>
    <w:r>
      <w:fldChar w:fldCharType="separate"/>
    </w:r>
    <w:r>
      <w:t>ST/SG/AC.10/C.3/2020/2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2C24" w14:textId="4FF2F140" w:rsidR="009E72FD" w:rsidRPr="009E72FD" w:rsidRDefault="004E4F2A" w:rsidP="009E72FD">
    <w:pPr>
      <w:pStyle w:val="Header"/>
      <w:jc w:val="right"/>
    </w:pPr>
    <w:r>
      <w:fldChar w:fldCharType="begin"/>
    </w:r>
    <w:r>
      <w:instrText xml:space="preserve"> TITLE  \* MERGEFORMAT </w:instrText>
    </w:r>
    <w:r>
      <w:fldChar w:fldCharType="separate"/>
    </w:r>
    <w:r>
      <w:t>ST/SG/AC.10/C.3/2020/2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25F1E55"/>
    <w:multiLevelType w:val="hybridMultilevel"/>
    <w:tmpl w:val="A6F21B6C"/>
    <w:lvl w:ilvl="0" w:tplc="37680170">
      <w:start w:val="1"/>
      <w:numFmt w:val="decimal"/>
      <w:lvlText w:val="%1."/>
      <w:lvlJc w:val="left"/>
      <w:pPr>
        <w:ind w:left="1694" w:hanging="5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D9"/>
    <w:rsid w:val="00017F94"/>
    <w:rsid w:val="00023842"/>
    <w:rsid w:val="000305D3"/>
    <w:rsid w:val="000334F9"/>
    <w:rsid w:val="000717AE"/>
    <w:rsid w:val="0007796D"/>
    <w:rsid w:val="0008461A"/>
    <w:rsid w:val="000B7790"/>
    <w:rsid w:val="00111F2F"/>
    <w:rsid w:val="00132EA9"/>
    <w:rsid w:val="0014365E"/>
    <w:rsid w:val="00164180"/>
    <w:rsid w:val="00176178"/>
    <w:rsid w:val="001F525A"/>
    <w:rsid w:val="00223272"/>
    <w:rsid w:val="0024779E"/>
    <w:rsid w:val="00273285"/>
    <w:rsid w:val="00283190"/>
    <w:rsid w:val="002832AC"/>
    <w:rsid w:val="002D7C93"/>
    <w:rsid w:val="002F6C5C"/>
    <w:rsid w:val="00441C3B"/>
    <w:rsid w:val="00446FE5"/>
    <w:rsid w:val="00452396"/>
    <w:rsid w:val="004E468C"/>
    <w:rsid w:val="004E4F2A"/>
    <w:rsid w:val="005505B7"/>
    <w:rsid w:val="005731B8"/>
    <w:rsid w:val="00573BE5"/>
    <w:rsid w:val="00584DC4"/>
    <w:rsid w:val="00586ED3"/>
    <w:rsid w:val="00596AA9"/>
    <w:rsid w:val="005D2E60"/>
    <w:rsid w:val="006764A3"/>
    <w:rsid w:val="0068456F"/>
    <w:rsid w:val="00692A3D"/>
    <w:rsid w:val="0071601D"/>
    <w:rsid w:val="007A62E6"/>
    <w:rsid w:val="0080684C"/>
    <w:rsid w:val="00871C75"/>
    <w:rsid w:val="008776DC"/>
    <w:rsid w:val="008B40CD"/>
    <w:rsid w:val="008D080E"/>
    <w:rsid w:val="009705C8"/>
    <w:rsid w:val="009C1CF4"/>
    <w:rsid w:val="009E72FD"/>
    <w:rsid w:val="00A30353"/>
    <w:rsid w:val="00AC3823"/>
    <w:rsid w:val="00AE323C"/>
    <w:rsid w:val="00B00181"/>
    <w:rsid w:val="00B00B0D"/>
    <w:rsid w:val="00B765F7"/>
    <w:rsid w:val="00BA0CA9"/>
    <w:rsid w:val="00BF4F7A"/>
    <w:rsid w:val="00C019D9"/>
    <w:rsid w:val="00C02897"/>
    <w:rsid w:val="00D3439C"/>
    <w:rsid w:val="00DB1831"/>
    <w:rsid w:val="00DD3BFD"/>
    <w:rsid w:val="00DF6678"/>
    <w:rsid w:val="00E94E66"/>
    <w:rsid w:val="00EC6FA5"/>
    <w:rsid w:val="00EF2E22"/>
    <w:rsid w:val="00F01738"/>
    <w:rsid w:val="00F660DF"/>
    <w:rsid w:val="00F730C8"/>
    <w:rsid w:val="00F7769D"/>
    <w:rsid w:val="00F95C0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4FA3E"/>
  <w15:docId w15:val="{271CDAA7-4007-477B-8282-C68CF098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9E72FD"/>
    <w:rPr>
      <w:rFonts w:ascii="Times New Roman" w:eastAsiaTheme="minorHAnsi" w:hAnsi="Times New Roman" w:cs="Times New Roman"/>
      <w:b/>
      <w:sz w:val="28"/>
      <w:szCs w:val="20"/>
      <w:lang w:eastAsia="en-US"/>
    </w:rPr>
  </w:style>
  <w:style w:type="character" w:customStyle="1" w:styleId="H1GChar">
    <w:name w:val="_ H_1_G Char"/>
    <w:link w:val="H1G"/>
    <w:locked/>
    <w:rsid w:val="009E72FD"/>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1322</Words>
  <Characters>7539</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vt:lpstr>
      <vt:lpstr>ST/SG/AC.10/C.3/2020/2</vt:lpstr>
    </vt:vector>
  </TitlesOfParts>
  <Company>DCM</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dc:title>
  <dc:subject/>
  <dc:creator>Corinne ROBERT</dc:creator>
  <cp:keywords/>
  <cp:lastModifiedBy>Laurence Berthet</cp:lastModifiedBy>
  <cp:revision>3</cp:revision>
  <cp:lastPrinted>2020-03-24T12:51:00Z</cp:lastPrinted>
  <dcterms:created xsi:type="dcterms:W3CDTF">2020-03-24T12:51:00Z</dcterms:created>
  <dcterms:modified xsi:type="dcterms:W3CDTF">2020-03-24T12:52:00Z</dcterms:modified>
</cp:coreProperties>
</file>