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178F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178F3" w:rsidP="001178F3">
            <w:pPr>
              <w:jc w:val="right"/>
            </w:pPr>
            <w:r w:rsidRPr="001178F3">
              <w:rPr>
                <w:sz w:val="40"/>
              </w:rPr>
              <w:t>ECE</w:t>
            </w:r>
            <w:r>
              <w:t>/TRANS/WP.29/GRVA/2019/10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178F3" w:rsidP="00C97039">
            <w:pPr>
              <w:spacing w:before="240"/>
            </w:pPr>
            <w:r>
              <w:t>Distr. générale</w:t>
            </w:r>
          </w:p>
          <w:p w:rsidR="001178F3" w:rsidRDefault="001178F3" w:rsidP="001178F3">
            <w:pPr>
              <w:spacing w:line="240" w:lineRule="exact"/>
            </w:pPr>
            <w:r>
              <w:t>19 novembre 2018</w:t>
            </w:r>
          </w:p>
          <w:p w:rsidR="001178F3" w:rsidRDefault="001178F3" w:rsidP="001178F3">
            <w:pPr>
              <w:spacing w:line="240" w:lineRule="exact"/>
            </w:pPr>
            <w:r>
              <w:t>Français</w:t>
            </w:r>
          </w:p>
          <w:p w:rsidR="001178F3" w:rsidRPr="00DB58B5" w:rsidRDefault="001178F3" w:rsidP="001178F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178F3" w:rsidRDefault="001178F3"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178F3" w:rsidRDefault="001178F3"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1178F3">
        <w:rPr>
          <w:rStyle w:val="FootnoteReference"/>
          <w:sz w:val="20"/>
          <w:vertAlign w:val="baseline"/>
        </w:rPr>
        <w:footnoteReference w:customMarkFollows="1" w:id="2"/>
        <w:t>*</w:t>
      </w:r>
    </w:p>
    <w:p w:rsidR="001178F3" w:rsidRDefault="001178F3" w:rsidP="00A3029F">
      <w:pPr>
        <w:spacing w:before="120"/>
        <w:rPr>
          <w:b/>
        </w:rPr>
      </w:pPr>
      <w:r>
        <w:rPr>
          <w:b/>
          <w:bCs/>
          <w:lang w:val="fr-FR"/>
        </w:rPr>
        <w:t>Deuxième</w:t>
      </w:r>
      <w:r>
        <w:rPr>
          <w:b/>
        </w:rPr>
        <w:t xml:space="preserve"> session</w:t>
      </w:r>
    </w:p>
    <w:p w:rsidR="001178F3" w:rsidRDefault="001178F3" w:rsidP="00A3029F">
      <w:pPr>
        <w:spacing w:line="240" w:lineRule="exact"/>
      </w:pPr>
      <w:r>
        <w:t xml:space="preserve">Genève, </w:t>
      </w:r>
      <w:r>
        <w:rPr>
          <w:lang w:val="fr-FR"/>
        </w:rPr>
        <w:t>28 janvier-1</w:t>
      </w:r>
      <w:r w:rsidRPr="001178F3">
        <w:rPr>
          <w:vertAlign w:val="superscript"/>
          <w:lang w:val="fr-FR"/>
        </w:rPr>
        <w:t>er</w:t>
      </w:r>
      <w:r>
        <w:rPr>
          <w:lang w:val="fr-FR"/>
        </w:rPr>
        <w:t xml:space="preserve"> février 2019</w:t>
      </w:r>
    </w:p>
    <w:p w:rsidR="001178F3" w:rsidRPr="00012393" w:rsidRDefault="001178F3" w:rsidP="001178F3">
      <w:r>
        <w:rPr>
          <w:lang w:val="fr-FR"/>
        </w:rPr>
        <w:t>Point 5 d) de l’ordre du jour provisoire</w:t>
      </w:r>
    </w:p>
    <w:p w:rsidR="001178F3" w:rsidRPr="00012393" w:rsidRDefault="001178F3" w:rsidP="001178F3">
      <w:pPr>
        <w:rPr>
          <w:b/>
          <w:bCs/>
        </w:rPr>
      </w:pPr>
      <w:r>
        <w:rPr>
          <w:b/>
          <w:bCs/>
          <w:lang w:val="fr-FR"/>
        </w:rPr>
        <w:t>Groupe de travail des véhicules automatisés/autonomes et connectés</w:t>
      </w:r>
      <w:r w:rsidR="0077461E">
        <w:rPr>
          <w:b/>
          <w:bCs/>
          <w:lang w:val="fr-FR"/>
        </w:rPr>
        <w:t> :</w:t>
      </w:r>
    </w:p>
    <w:p w:rsidR="001178F3" w:rsidRDefault="001178F3" w:rsidP="001178F3">
      <w:pPr>
        <w:spacing w:line="240" w:lineRule="exact"/>
      </w:pPr>
      <w:r>
        <w:rPr>
          <w:b/>
          <w:bCs/>
          <w:lang w:val="fr-FR"/>
        </w:rPr>
        <w:t>Fonction de direction à commande automatique</w:t>
      </w:r>
    </w:p>
    <w:p w:rsidR="0077461E" w:rsidRPr="0077461E" w:rsidRDefault="0077461E" w:rsidP="0077461E">
      <w:pPr>
        <w:pStyle w:val="HChG"/>
      </w:pPr>
      <w:r w:rsidRPr="0077461E">
        <w:rPr>
          <w:lang w:val="fr-FR"/>
        </w:rPr>
        <w:tab/>
      </w:r>
      <w:r w:rsidRPr="0077461E">
        <w:rPr>
          <w:lang w:val="fr-FR"/>
        </w:rPr>
        <w:tab/>
        <w:t xml:space="preserve">Proposition d’amendements au Règlement </w:t>
      </w:r>
      <w:r>
        <w:rPr>
          <w:lang w:val="fr-FR"/>
        </w:rPr>
        <w:t xml:space="preserve">ONU </w:t>
      </w:r>
      <w:r w:rsidRPr="0077461E">
        <w:rPr>
          <w:rFonts w:eastAsia="MS Mincho"/>
          <w:lang w:val="fr-FR"/>
        </w:rPr>
        <w:t>n</w:t>
      </w:r>
      <w:r w:rsidRPr="0077461E">
        <w:rPr>
          <w:rFonts w:eastAsia="MS Mincho"/>
          <w:vertAlign w:val="superscript"/>
          <w:lang w:val="fr-FR"/>
        </w:rPr>
        <w:t>o</w:t>
      </w:r>
      <w:r>
        <w:rPr>
          <w:lang w:val="fr-FR"/>
        </w:rPr>
        <w:t> </w:t>
      </w:r>
      <w:r w:rsidRPr="0077461E">
        <w:rPr>
          <w:lang w:val="fr-FR"/>
        </w:rPr>
        <w:t>79 (Équipement de direction)</w:t>
      </w:r>
    </w:p>
    <w:p w:rsidR="0077461E" w:rsidRPr="0077461E" w:rsidRDefault="0077461E" w:rsidP="00831A0D">
      <w:pPr>
        <w:pStyle w:val="H1G"/>
      </w:pPr>
      <w:r w:rsidRPr="0077461E">
        <w:rPr>
          <w:lang w:val="fr-FR"/>
        </w:rPr>
        <w:tab/>
      </w:r>
      <w:r w:rsidRPr="0077461E">
        <w:rPr>
          <w:lang w:val="fr-FR"/>
        </w:rPr>
        <w:tab/>
        <w:t>Communication de l’expert de la France</w:t>
      </w:r>
      <w:r w:rsidRPr="00831A0D">
        <w:rPr>
          <w:rStyle w:val="FootnoteReference"/>
          <w:b w:val="0"/>
          <w:sz w:val="20"/>
          <w:vertAlign w:val="baseline"/>
        </w:rPr>
        <w:footnoteReference w:customMarkFollows="1" w:id="3"/>
        <w:t>**</w:t>
      </w:r>
    </w:p>
    <w:p w:rsidR="0077461E" w:rsidRPr="0077461E" w:rsidRDefault="0077461E" w:rsidP="0077461E">
      <w:pPr>
        <w:pStyle w:val="SingleTxtG"/>
      </w:pPr>
      <w:r w:rsidRPr="0077461E">
        <w:rPr>
          <w:lang w:val="fr-FR"/>
        </w:rPr>
        <w:tab/>
        <w:t xml:space="preserve">Le texte ci-après, établi par l’expert de la France, propose des amendements au Règlement </w:t>
      </w:r>
      <w:r w:rsidR="00831A0D">
        <w:rPr>
          <w:lang w:val="fr-FR"/>
        </w:rPr>
        <w:t xml:space="preserve">ONU </w:t>
      </w:r>
      <w:r w:rsidR="00831A0D" w:rsidRPr="00831A0D">
        <w:rPr>
          <w:rFonts w:eastAsia="MS Mincho"/>
          <w:lang w:val="fr-FR"/>
        </w:rPr>
        <w:t>n</w:t>
      </w:r>
      <w:r w:rsidR="00831A0D" w:rsidRPr="00831A0D">
        <w:rPr>
          <w:rFonts w:eastAsia="MS Mincho"/>
          <w:vertAlign w:val="superscript"/>
          <w:lang w:val="fr-FR"/>
        </w:rPr>
        <w:t>o</w:t>
      </w:r>
      <w:r w:rsidR="00831A0D">
        <w:rPr>
          <w:lang w:val="fr-FR"/>
        </w:rPr>
        <w:t> </w:t>
      </w:r>
      <w:r w:rsidRPr="0077461E">
        <w:rPr>
          <w:lang w:val="fr-FR"/>
        </w:rPr>
        <w:t>79, sur la base du document informel GRVA-01-38, afin d’en préciser le texte. Les modifications qu’il est proposé d’apporter au texte actuel du Règlement figurent en caractères gras pour les ajouts.</w:t>
      </w:r>
      <w:bookmarkStart w:id="1" w:name="_Hlk529190157"/>
      <w:bookmarkEnd w:id="1"/>
    </w:p>
    <w:p w:rsidR="0077461E" w:rsidRPr="0077461E" w:rsidRDefault="00831A0D" w:rsidP="00831A0D">
      <w:pPr>
        <w:pStyle w:val="HChG"/>
      </w:pPr>
      <w:r>
        <w:rPr>
          <w:lang w:val="fr-FR"/>
        </w:rPr>
        <w:br w:type="page"/>
      </w:r>
      <w:r>
        <w:rPr>
          <w:lang w:val="fr-FR"/>
        </w:rPr>
        <w:lastRenderedPageBreak/>
        <w:tab/>
      </w:r>
      <w:r w:rsidR="0077461E" w:rsidRPr="0077461E">
        <w:rPr>
          <w:lang w:val="fr-FR"/>
        </w:rPr>
        <w:t>I.</w:t>
      </w:r>
      <w:r w:rsidR="0077461E" w:rsidRPr="0077461E">
        <w:rPr>
          <w:lang w:val="fr-FR"/>
        </w:rPr>
        <w:tab/>
        <w:t>Proposition</w:t>
      </w:r>
    </w:p>
    <w:p w:rsidR="0077461E" w:rsidRPr="0077461E" w:rsidRDefault="0077461E" w:rsidP="0077461E">
      <w:pPr>
        <w:pStyle w:val="SingleTxtG"/>
        <w:rPr>
          <w:iCs/>
        </w:rPr>
      </w:pPr>
      <w:r w:rsidRPr="0077461E">
        <w:rPr>
          <w:i/>
          <w:iCs/>
          <w:lang w:val="fr-FR"/>
        </w:rPr>
        <w:t>Paragraphe 5.1.6.1.1</w:t>
      </w:r>
      <w:r w:rsidR="00831A0D">
        <w:rPr>
          <w:lang w:val="fr-FR"/>
        </w:rPr>
        <w:t>, lire </w:t>
      </w:r>
      <w:r w:rsidRPr="0077461E">
        <w:rPr>
          <w:lang w:val="fr-FR"/>
        </w:rPr>
        <w:t>:</w:t>
      </w:r>
    </w:p>
    <w:p w:rsidR="0077461E" w:rsidRPr="0077461E" w:rsidRDefault="00831A0D" w:rsidP="0077461E">
      <w:pPr>
        <w:pStyle w:val="SingleTxtG"/>
        <w:ind w:left="2268" w:hanging="1134"/>
        <w:rPr>
          <w:bCs/>
        </w:rPr>
      </w:pPr>
      <w:r>
        <w:rPr>
          <w:lang w:val="fr-FR"/>
        </w:rPr>
        <w:t>« </w:t>
      </w:r>
      <w:r w:rsidR="0077461E" w:rsidRPr="0077461E">
        <w:rPr>
          <w:lang w:val="fr-FR"/>
        </w:rPr>
        <w:t>5.1.6.1.1</w:t>
      </w:r>
      <w:r w:rsidR="0077461E" w:rsidRPr="0077461E">
        <w:rPr>
          <w:lang w:val="fr-FR"/>
        </w:rPr>
        <w:tab/>
        <w:t>Chaque intervention de la CSF doit être immédiatement indiquée au conducteur par un signal visuel qui s’affiche p</w:t>
      </w:r>
      <w:r>
        <w:rPr>
          <w:lang w:val="fr-FR"/>
        </w:rPr>
        <w:t>endant au moins 1 </w:t>
      </w:r>
      <w:r w:rsidR="0077461E" w:rsidRPr="0077461E">
        <w:rPr>
          <w:lang w:val="fr-FR"/>
        </w:rPr>
        <w:t>s ou tant que dure l’intervention, la plus longue de ces deux périodes étant retenue.</w:t>
      </w:r>
    </w:p>
    <w:p w:rsidR="0077461E" w:rsidRPr="0077461E" w:rsidRDefault="0077461E" w:rsidP="0077461E">
      <w:pPr>
        <w:pStyle w:val="SingleTxtG"/>
        <w:ind w:left="2268"/>
        <w:rPr>
          <w:b/>
          <w:bCs/>
        </w:rPr>
      </w:pPr>
      <w:r w:rsidRPr="0077461E">
        <w:rPr>
          <w:lang w:val="fr-FR"/>
        </w:rPr>
        <w:tab/>
      </w:r>
      <w:r w:rsidRPr="0077461E">
        <w:rPr>
          <w:b/>
          <w:bCs/>
          <w:lang w:val="fr-FR"/>
        </w:rPr>
        <w:t>En mode clignotant, la phase d’éclairage doit commencer au début de l’intervention et se terminer à la fin de celle-ci ou immédiatement après celle-ci.</w:t>
      </w:r>
    </w:p>
    <w:p w:rsidR="0077461E" w:rsidRPr="0077461E" w:rsidRDefault="0077461E" w:rsidP="0077461E">
      <w:pPr>
        <w:pStyle w:val="SingleTxtG"/>
        <w:ind w:left="2268"/>
        <w:rPr>
          <w:bCs/>
        </w:rPr>
      </w:pPr>
      <w:r w:rsidRPr="0077461E">
        <w:rPr>
          <w:lang w:val="fr-FR"/>
        </w:rPr>
        <w:tab/>
        <w:t>En cas d’intervention de la CSF commandée par un système de contrôle électronique de la stabilité (ESC) ou par une autre fonction de contrôle de la stabilité du véhicule, selon ce que prévoit le</w:t>
      </w:r>
      <w:r w:rsidR="003305A8">
        <w:rPr>
          <w:lang w:val="fr-FR"/>
        </w:rPr>
        <w:t>s</w:t>
      </w:r>
      <w:r w:rsidRPr="0077461E">
        <w:rPr>
          <w:lang w:val="fr-FR"/>
        </w:rPr>
        <w:t xml:space="preserve"> Règlement</w:t>
      </w:r>
      <w:r w:rsidR="003305A8">
        <w:rPr>
          <w:lang w:val="fr-FR"/>
        </w:rPr>
        <w:t>s</w:t>
      </w:r>
      <w:r w:rsidRPr="0077461E">
        <w:rPr>
          <w:lang w:val="fr-FR"/>
        </w:rPr>
        <w:t xml:space="preserve"> ONU pertinent</w:t>
      </w:r>
      <w:r w:rsidR="003305A8">
        <w:rPr>
          <w:lang w:val="fr-FR"/>
        </w:rPr>
        <w:t>s</w:t>
      </w:r>
      <w:r w:rsidRPr="0077461E">
        <w:rPr>
          <w:lang w:val="fr-FR"/>
        </w:rPr>
        <w:t xml:space="preserve"> (</w:t>
      </w:r>
      <w:r w:rsidR="003305A8" w:rsidRPr="003305A8">
        <w:rPr>
          <w:rFonts w:eastAsia="MS Mincho"/>
          <w:lang w:val="fr-FR"/>
        </w:rPr>
        <w:t>n</w:t>
      </w:r>
      <w:r w:rsidR="003305A8" w:rsidRPr="003305A8">
        <w:rPr>
          <w:rFonts w:eastAsia="MS Mincho"/>
          <w:vertAlign w:val="superscript"/>
          <w:lang w:val="fr-FR"/>
        </w:rPr>
        <w:t>o</w:t>
      </w:r>
      <w:r w:rsidR="003305A8">
        <w:rPr>
          <w:lang w:val="fr-FR"/>
        </w:rPr>
        <w:t> </w:t>
      </w:r>
      <w:r w:rsidRPr="0077461E">
        <w:rPr>
          <w:lang w:val="fr-FR"/>
        </w:rPr>
        <w:t>13, 13-H ou 140), le témoin clignotant signalant l’intervention de l’ESC peut être utilisé à cet effet, tant que dure l’intervention, à la place du signal visuel susmentionné. ».</w:t>
      </w:r>
    </w:p>
    <w:p w:rsidR="0077461E" w:rsidRPr="0077461E" w:rsidRDefault="0077461E" w:rsidP="0077461E">
      <w:pPr>
        <w:pStyle w:val="SingleTxtG"/>
        <w:rPr>
          <w:iCs/>
        </w:rPr>
      </w:pPr>
      <w:r w:rsidRPr="0077461E">
        <w:rPr>
          <w:i/>
          <w:iCs/>
          <w:lang w:val="fr-FR"/>
        </w:rPr>
        <w:t>Paragraphe 5.1.6.2.6</w:t>
      </w:r>
      <w:r w:rsidR="003305A8">
        <w:rPr>
          <w:lang w:val="fr-FR"/>
        </w:rPr>
        <w:t>, lire </w:t>
      </w:r>
      <w:r w:rsidRPr="0077461E">
        <w:rPr>
          <w:lang w:val="fr-FR"/>
        </w:rPr>
        <w:t>:</w:t>
      </w:r>
    </w:p>
    <w:p w:rsidR="0077461E" w:rsidRPr="0077461E" w:rsidRDefault="003305A8" w:rsidP="0077461E">
      <w:pPr>
        <w:pStyle w:val="SingleTxtG"/>
        <w:ind w:left="2268" w:hanging="1134"/>
      </w:pPr>
      <w:r>
        <w:rPr>
          <w:lang w:val="fr-FR"/>
        </w:rPr>
        <w:t>« </w:t>
      </w:r>
      <w:r w:rsidR="0077461E" w:rsidRPr="0077461E">
        <w:rPr>
          <w:lang w:val="fr-FR"/>
        </w:rPr>
        <w:t>5.1.6.2.6</w:t>
      </w:r>
      <w:r w:rsidR="0077461E" w:rsidRPr="0077461E">
        <w:rPr>
          <w:lang w:val="fr-FR"/>
        </w:rPr>
        <w:tab/>
        <w:t xml:space="preserve">Toute intervention de l’ESF doit être signalée au conducteur au moyen d’un signal d’avertissement visuel et d’un signal acoustique ou haptique qui doivent être émis au plus tard au début de ladite intervention </w:t>
      </w:r>
      <w:r w:rsidR="0077461E" w:rsidRPr="0077461E">
        <w:rPr>
          <w:b/>
          <w:bCs/>
          <w:lang w:val="fr-FR"/>
        </w:rPr>
        <w:t>et pour toute la durée de celle-ci</w:t>
      </w:r>
      <w:r w:rsidR="0077461E" w:rsidRPr="0077461E">
        <w:rPr>
          <w:lang w:val="fr-FR"/>
        </w:rPr>
        <w:t xml:space="preserve">. </w:t>
      </w:r>
    </w:p>
    <w:p w:rsidR="0077461E" w:rsidRPr="0077461E" w:rsidRDefault="0077461E" w:rsidP="0077461E">
      <w:pPr>
        <w:pStyle w:val="SingleTxtG"/>
        <w:ind w:left="2268"/>
      </w:pPr>
      <w:r w:rsidRPr="0077461E">
        <w:rPr>
          <w:lang w:val="fr-FR"/>
        </w:rPr>
        <w:t>À cette fin, des signaux appropriés, utilisés par d’autres systèmes d’avertissement (par exemple, surveillance des angles morts, avertissement de franchissement de ligne ou avertissement de risque de choc avant), sont considérés comme suffisants pour satisfaire aux prescriptions applicables respectivement aux signaux visuels, acoustiques ou haptiques visés ci-dessus.</w:t>
      </w:r>
    </w:p>
    <w:p w:rsidR="0077461E" w:rsidRPr="0077461E" w:rsidRDefault="0077461E" w:rsidP="0077461E">
      <w:pPr>
        <w:pStyle w:val="SingleTxtG"/>
        <w:ind w:left="2268"/>
        <w:rPr>
          <w:b/>
        </w:rPr>
      </w:pPr>
      <w:r w:rsidRPr="0077461E">
        <w:rPr>
          <w:b/>
          <w:bCs/>
          <w:lang w:val="fr-FR"/>
        </w:rPr>
        <w:t>Le signal d’avertissement visuel [d</w:t>
      </w:r>
      <w:r w:rsidR="003305A8">
        <w:rPr>
          <w:b/>
          <w:bCs/>
          <w:lang w:val="fr-FR"/>
        </w:rPr>
        <w:t>oit] être un signal clignotant</w:t>
      </w:r>
      <w:r w:rsidRPr="0077461E">
        <w:rPr>
          <w:b/>
          <w:bCs/>
          <w:lang w:val="fr-FR"/>
        </w:rPr>
        <w:t>.</w:t>
      </w:r>
      <w:r w:rsidR="003305A8" w:rsidRPr="003305A8">
        <w:rPr>
          <w:bCs/>
          <w:lang w:val="fr-FR"/>
        </w:rPr>
        <w:t> »</w:t>
      </w:r>
      <w:r w:rsidR="003305A8">
        <w:rPr>
          <w:bCs/>
          <w:lang w:val="fr-FR"/>
        </w:rPr>
        <w:t>.</w:t>
      </w:r>
    </w:p>
    <w:p w:rsidR="0077461E" w:rsidRPr="0077461E" w:rsidRDefault="0077461E" w:rsidP="0077461E">
      <w:pPr>
        <w:pStyle w:val="SingleTxtG"/>
        <w:rPr>
          <w:iCs/>
        </w:rPr>
      </w:pPr>
      <w:r w:rsidRPr="0077461E">
        <w:rPr>
          <w:i/>
          <w:iCs/>
          <w:lang w:val="fr-FR"/>
        </w:rPr>
        <w:t>Paragraphe 5.6.4.2.3</w:t>
      </w:r>
      <w:r w:rsidRPr="0077461E">
        <w:rPr>
          <w:lang w:val="fr-FR"/>
        </w:rPr>
        <w:t>, lire</w:t>
      </w:r>
      <w:r w:rsidR="003305A8">
        <w:rPr>
          <w:lang w:val="fr-FR"/>
        </w:rPr>
        <w:t> </w:t>
      </w:r>
      <w:r w:rsidRPr="0077461E">
        <w:rPr>
          <w:lang w:val="fr-FR"/>
        </w:rPr>
        <w:t>:</w:t>
      </w:r>
    </w:p>
    <w:p w:rsidR="0077461E" w:rsidRPr="0077461E" w:rsidRDefault="003305A8" w:rsidP="0077461E">
      <w:pPr>
        <w:pStyle w:val="SingleTxtG"/>
        <w:ind w:left="2268" w:hanging="1134"/>
      </w:pPr>
      <w:r>
        <w:rPr>
          <w:lang w:val="fr-FR"/>
        </w:rPr>
        <w:t>« </w:t>
      </w:r>
      <w:r w:rsidR="0077461E" w:rsidRPr="0077461E">
        <w:rPr>
          <w:lang w:val="fr-FR"/>
        </w:rPr>
        <w:t>5.6.4.2.3</w:t>
      </w:r>
      <w:r w:rsidR="0077461E" w:rsidRPr="0077461E">
        <w:rPr>
          <w:lang w:val="fr-FR"/>
        </w:rPr>
        <w:tab/>
        <w:t xml:space="preserve">Le système ne doit être activé (mode veille) qu’après une action délibérée du conducteur. </w:t>
      </w:r>
    </w:p>
    <w:p w:rsidR="0077461E" w:rsidRPr="0077461E" w:rsidRDefault="0077461E" w:rsidP="0077461E">
      <w:pPr>
        <w:pStyle w:val="SingleTxtG"/>
        <w:ind w:left="2268"/>
      </w:pPr>
      <w:r w:rsidRPr="0077461E">
        <w:rPr>
          <w:lang w:val="fr-FR"/>
        </w:rPr>
        <w:tab/>
        <w:t xml:space="preserve">L’activation par le conducteur ne doit être possible que sur des routes interdites aux piétons et aux cyclistes et qui sont conçues avec une séparation physique entre les sens de circulations opposés et comportent au moins deux voies dans le sens de circulation du véhicule considéré. Ces conditions doivent être vérifiées par au moins deux moyens indépendants. ». </w:t>
      </w:r>
    </w:p>
    <w:p w:rsidR="0077461E" w:rsidRPr="0077461E" w:rsidRDefault="0077461E" w:rsidP="0077461E">
      <w:pPr>
        <w:pStyle w:val="SingleTxtG"/>
        <w:ind w:left="2268"/>
      </w:pPr>
      <w:r w:rsidRPr="0077461E">
        <w:rPr>
          <w:lang w:val="fr-FR"/>
        </w:rPr>
        <w:tab/>
        <w:t>Si le véhicule quitte un type de route sur lequel l’utilisation d’</w:t>
      </w:r>
      <w:r w:rsidR="00910614">
        <w:rPr>
          <w:lang w:val="fr-FR"/>
        </w:rPr>
        <w:t>une ACSF de catégorie </w:t>
      </w:r>
      <w:r w:rsidRPr="0077461E">
        <w:rPr>
          <w:lang w:val="fr-FR"/>
        </w:rPr>
        <w:t xml:space="preserve">C est autorisée pour emprunter une route sur laquelle elle est interdite, le système doit être automatiquement désactivé </w:t>
      </w:r>
      <w:r w:rsidRPr="0077461E">
        <w:rPr>
          <w:b/>
          <w:bCs/>
          <w:lang w:val="fr-FR"/>
        </w:rPr>
        <w:t>(mode arrêt)</w:t>
      </w:r>
      <w:r w:rsidRPr="0077461E">
        <w:rPr>
          <w:lang w:val="fr-FR"/>
        </w:rPr>
        <w:t>.</w:t>
      </w:r>
      <w:r w:rsidR="00910614">
        <w:rPr>
          <w:lang w:val="fr-FR"/>
        </w:rPr>
        <w:t> ».</w:t>
      </w:r>
    </w:p>
    <w:p w:rsidR="0077461E" w:rsidRPr="0077461E" w:rsidRDefault="0077461E" w:rsidP="0077461E">
      <w:pPr>
        <w:pStyle w:val="SingleTxtG"/>
        <w:rPr>
          <w:iCs/>
        </w:rPr>
      </w:pPr>
      <w:r w:rsidRPr="0077461E">
        <w:rPr>
          <w:i/>
          <w:iCs/>
          <w:lang w:val="fr-FR"/>
        </w:rPr>
        <w:t>Paragraphe 5.6.4.5.6</w:t>
      </w:r>
      <w:r w:rsidR="00910614">
        <w:rPr>
          <w:lang w:val="fr-FR"/>
        </w:rPr>
        <w:t>, lire </w:t>
      </w:r>
      <w:r w:rsidRPr="0077461E">
        <w:rPr>
          <w:lang w:val="fr-FR"/>
        </w:rPr>
        <w:t>:</w:t>
      </w:r>
    </w:p>
    <w:p w:rsidR="0077461E" w:rsidRPr="0077461E" w:rsidRDefault="00910614" w:rsidP="0077461E">
      <w:pPr>
        <w:pStyle w:val="SingleTxtG"/>
        <w:ind w:left="2268" w:hanging="1134"/>
      </w:pPr>
      <w:r>
        <w:rPr>
          <w:lang w:val="fr-FR"/>
        </w:rPr>
        <w:t>« </w:t>
      </w:r>
      <w:r w:rsidR="0077461E" w:rsidRPr="0077461E">
        <w:rPr>
          <w:lang w:val="fr-FR"/>
        </w:rPr>
        <w:t>5.6.4.5.6</w:t>
      </w:r>
      <w:r w:rsidR="0077461E" w:rsidRPr="0077461E">
        <w:rPr>
          <w:lang w:val="fr-FR"/>
        </w:rPr>
        <w:tab/>
        <w:t>Le système doit disposer d’un moyen de détecter que le conducteur tient la commande de direction et l’avertir conformément à la stratégie décrite ci</w:t>
      </w:r>
      <w:r>
        <w:rPr>
          <w:lang w:val="fr-FR"/>
        </w:rPr>
        <w:noBreakHyphen/>
      </w:r>
      <w:r w:rsidR="0077461E" w:rsidRPr="0077461E">
        <w:rPr>
          <w:lang w:val="fr-FR"/>
        </w:rPr>
        <w:t>après</w:t>
      </w:r>
      <w:r>
        <w:rPr>
          <w:lang w:val="fr-FR"/>
        </w:rPr>
        <w:t> </w:t>
      </w:r>
      <w:r w:rsidR="0077461E" w:rsidRPr="0077461E">
        <w:rPr>
          <w:lang w:val="fr-FR"/>
        </w:rPr>
        <w:t>:</w:t>
      </w:r>
    </w:p>
    <w:p w:rsidR="0077461E" w:rsidRPr="0077461E" w:rsidRDefault="0077461E" w:rsidP="0077461E">
      <w:pPr>
        <w:pStyle w:val="SingleTxtG"/>
        <w:ind w:left="2268"/>
      </w:pPr>
      <w:r w:rsidRPr="0077461E">
        <w:rPr>
          <w:lang w:val="fr-FR"/>
        </w:rPr>
        <w:tab/>
        <w:t>Si, dans les</w:t>
      </w:r>
      <w:r w:rsidR="00910614">
        <w:rPr>
          <w:lang w:val="fr-FR"/>
        </w:rPr>
        <w:t xml:space="preserve"> 3 </w:t>
      </w:r>
      <w:r w:rsidRPr="0077461E">
        <w:rPr>
          <w:lang w:val="fr-FR"/>
        </w:rPr>
        <w:t xml:space="preserve">s suivant le lancement de la procédure de changement de voie </w:t>
      </w:r>
      <w:r w:rsidRPr="0077461E">
        <w:rPr>
          <w:b/>
          <w:bCs/>
          <w:lang w:val="fr-FR"/>
        </w:rPr>
        <w:t>et avant la manœuvre de changement de voie</w:t>
      </w:r>
      <w:r w:rsidRPr="0077461E">
        <w:rPr>
          <w:lang w:val="fr-FR"/>
        </w:rPr>
        <w:t>, le conducteur ne tient pas la commande de direction, un signal d’avertissement visuel doit être émis. Ce signal doit être le mê</w:t>
      </w:r>
      <w:r w:rsidR="00910614">
        <w:rPr>
          <w:lang w:val="fr-FR"/>
        </w:rPr>
        <w:t>me que celui visé au paragraphe </w:t>
      </w:r>
      <w:r w:rsidRPr="0077461E">
        <w:rPr>
          <w:lang w:val="fr-FR"/>
        </w:rPr>
        <w:t>5.6.2.2.5 ci-dessus.</w:t>
      </w:r>
    </w:p>
    <w:p w:rsidR="0077461E" w:rsidRPr="00910614" w:rsidRDefault="0077461E" w:rsidP="0077461E">
      <w:pPr>
        <w:pStyle w:val="SingleTxtG"/>
        <w:ind w:left="2268"/>
        <w:rPr>
          <w:b/>
          <w:spacing w:val="-4"/>
        </w:rPr>
      </w:pPr>
      <w:r w:rsidRPr="00910614">
        <w:rPr>
          <w:spacing w:val="-4"/>
          <w:lang w:val="fr-FR"/>
        </w:rPr>
        <w:tab/>
        <w:t xml:space="preserve">Le signal d’avertissement doit rester actif jusqu’à ce que le conducteur reprenne la commande de direction en main ou que le système soit désactivé, manuellement ou automatiquement </w:t>
      </w:r>
      <w:r w:rsidR="00910614" w:rsidRPr="00910614">
        <w:rPr>
          <w:b/>
          <w:bCs/>
          <w:spacing w:val="-4"/>
          <w:lang w:val="fr-FR"/>
        </w:rPr>
        <w:t>conformément au paragraphe </w:t>
      </w:r>
      <w:r w:rsidRPr="00910614">
        <w:rPr>
          <w:b/>
          <w:bCs/>
          <w:spacing w:val="-4"/>
          <w:lang w:val="fr-FR"/>
        </w:rPr>
        <w:t>5.6.4.6.8.</w:t>
      </w:r>
      <w:r w:rsidR="00910614" w:rsidRPr="00910614">
        <w:rPr>
          <w:spacing w:val="-4"/>
          <w:lang w:val="fr-FR"/>
        </w:rPr>
        <w:t> »</w:t>
      </w:r>
      <w:r w:rsidRPr="00910614">
        <w:rPr>
          <w:spacing w:val="-4"/>
          <w:lang w:val="fr-FR"/>
        </w:rPr>
        <w:t>.</w:t>
      </w:r>
    </w:p>
    <w:p w:rsidR="0077461E" w:rsidRPr="0077461E" w:rsidRDefault="00910614" w:rsidP="00910614">
      <w:pPr>
        <w:pStyle w:val="HChG"/>
      </w:pPr>
      <w:r>
        <w:rPr>
          <w:lang w:val="fr-FR"/>
        </w:rPr>
        <w:lastRenderedPageBreak/>
        <w:tab/>
      </w:r>
      <w:r w:rsidR="0077461E" w:rsidRPr="0077461E">
        <w:rPr>
          <w:lang w:val="fr-FR"/>
        </w:rPr>
        <w:t>II.</w:t>
      </w:r>
      <w:r w:rsidR="0077461E" w:rsidRPr="0077461E">
        <w:rPr>
          <w:lang w:val="fr-FR"/>
        </w:rPr>
        <w:tab/>
        <w:t>Justification</w:t>
      </w:r>
    </w:p>
    <w:p w:rsidR="0077461E" w:rsidRPr="0077461E" w:rsidRDefault="0077461E" w:rsidP="00910614">
      <w:pPr>
        <w:pStyle w:val="H1G"/>
      </w:pPr>
      <w:r w:rsidRPr="0077461E">
        <w:rPr>
          <w:lang w:val="fr-FR"/>
        </w:rPr>
        <w:tab/>
        <w:t>A.</w:t>
      </w:r>
      <w:r w:rsidRPr="0077461E">
        <w:rPr>
          <w:lang w:val="fr-FR"/>
        </w:rPr>
        <w:tab/>
        <w:t>Paragraphe 5.1.6.1.1</w:t>
      </w:r>
    </w:p>
    <w:p w:rsidR="0077461E" w:rsidRPr="0077461E" w:rsidRDefault="0077461E" w:rsidP="0077461E">
      <w:pPr>
        <w:pStyle w:val="SingleTxtG"/>
      </w:pPr>
      <w:r w:rsidRPr="0077461E">
        <w:rPr>
          <w:lang w:val="fr-FR"/>
        </w:rPr>
        <w:t>1.</w:t>
      </w:r>
      <w:r w:rsidRPr="0077461E">
        <w:rPr>
          <w:lang w:val="fr-FR"/>
        </w:rPr>
        <w:tab/>
        <w:t>Il est proposé de préciser la durée de la phase d’éclairage en mode clignotant afin que le conducteur dispose d’un éclairage suffisant.</w:t>
      </w:r>
    </w:p>
    <w:p w:rsidR="0077461E" w:rsidRPr="0077461E" w:rsidRDefault="0077461E" w:rsidP="00910614">
      <w:pPr>
        <w:pStyle w:val="H1G"/>
      </w:pPr>
      <w:r w:rsidRPr="0077461E">
        <w:rPr>
          <w:lang w:val="fr-FR"/>
        </w:rPr>
        <w:tab/>
        <w:t>B.</w:t>
      </w:r>
      <w:r w:rsidRPr="0077461E">
        <w:rPr>
          <w:lang w:val="fr-FR"/>
        </w:rPr>
        <w:tab/>
        <w:t>Paragraphe 5.1.6.2.6</w:t>
      </w:r>
    </w:p>
    <w:p w:rsidR="0077461E" w:rsidRPr="0077461E" w:rsidRDefault="0077461E" w:rsidP="0077461E">
      <w:pPr>
        <w:pStyle w:val="SingleTxtG"/>
      </w:pPr>
      <w:r w:rsidRPr="0077461E">
        <w:rPr>
          <w:lang w:val="fr-FR"/>
        </w:rPr>
        <w:t>2.</w:t>
      </w:r>
      <w:r w:rsidRPr="0077461E">
        <w:rPr>
          <w:lang w:val="fr-FR"/>
        </w:rPr>
        <w:tab/>
        <w:t>Il est proposé de mentionner la durée des signaux comme pour les autres catégories d’ACSF (par exemple la CSF). En outre, le mode clignotant du signal optique devrait être prioritaire comme dans d’autres systèmes intervenant en cas de risque (par exemple une intervention du système ESC).</w:t>
      </w:r>
    </w:p>
    <w:p w:rsidR="0077461E" w:rsidRPr="0077461E" w:rsidRDefault="0077461E" w:rsidP="00910614">
      <w:pPr>
        <w:pStyle w:val="H1G"/>
      </w:pPr>
      <w:r w:rsidRPr="0077461E">
        <w:rPr>
          <w:lang w:val="fr-FR"/>
        </w:rPr>
        <w:tab/>
        <w:t>C.</w:t>
      </w:r>
      <w:r w:rsidRPr="0077461E">
        <w:rPr>
          <w:lang w:val="fr-FR"/>
        </w:rPr>
        <w:tab/>
        <w:t>Paragraphe 5.6.4.2.3</w:t>
      </w:r>
    </w:p>
    <w:p w:rsidR="0077461E" w:rsidRPr="0077461E" w:rsidRDefault="0077461E" w:rsidP="0077461E">
      <w:pPr>
        <w:pStyle w:val="SingleTxtG"/>
      </w:pPr>
      <w:r w:rsidRPr="0077461E">
        <w:rPr>
          <w:lang w:val="fr-FR"/>
        </w:rPr>
        <w:t>3.</w:t>
      </w:r>
      <w:r w:rsidR="00AC4D8F">
        <w:rPr>
          <w:lang w:val="fr-FR"/>
        </w:rPr>
        <w:tab/>
      </w:r>
      <w:r w:rsidRPr="0077461E">
        <w:rPr>
          <w:lang w:val="fr-FR"/>
        </w:rPr>
        <w:t xml:space="preserve">Pour plus de clarté, il est proposé d’ajouter </w:t>
      </w:r>
      <w:r w:rsidR="00AC4D8F">
        <w:rPr>
          <w:lang w:val="fr-FR"/>
        </w:rPr>
        <w:t>« </w:t>
      </w:r>
      <w:r w:rsidRPr="0077461E">
        <w:rPr>
          <w:lang w:val="fr-FR"/>
        </w:rPr>
        <w:t>mode arrêt</w:t>
      </w:r>
      <w:r w:rsidR="00AC4D8F">
        <w:rPr>
          <w:lang w:val="fr-FR"/>
        </w:rPr>
        <w:t> »</w:t>
      </w:r>
      <w:r w:rsidRPr="0077461E">
        <w:rPr>
          <w:lang w:val="fr-FR"/>
        </w:rPr>
        <w:t xml:space="preserve"> à la fin de la phrase.</w:t>
      </w:r>
    </w:p>
    <w:p w:rsidR="0077461E" w:rsidRPr="0077461E" w:rsidRDefault="0077461E" w:rsidP="00AC4D8F">
      <w:pPr>
        <w:pStyle w:val="H1G"/>
      </w:pPr>
      <w:r w:rsidRPr="0077461E">
        <w:rPr>
          <w:lang w:val="fr-FR"/>
        </w:rPr>
        <w:tab/>
        <w:t>D.</w:t>
      </w:r>
      <w:r w:rsidRPr="0077461E">
        <w:rPr>
          <w:lang w:val="fr-FR"/>
        </w:rPr>
        <w:tab/>
        <w:t>Paragraphe 5.6.4.5.6</w:t>
      </w:r>
    </w:p>
    <w:p w:rsidR="0077461E" w:rsidRPr="0077461E" w:rsidRDefault="0077461E" w:rsidP="0077461E">
      <w:pPr>
        <w:pStyle w:val="SingleTxtG"/>
      </w:pPr>
      <w:r w:rsidRPr="0077461E">
        <w:rPr>
          <w:lang w:val="fr-FR"/>
        </w:rPr>
        <w:t>4.</w:t>
      </w:r>
      <w:r w:rsidRPr="0077461E">
        <w:rPr>
          <w:lang w:val="fr-FR"/>
        </w:rPr>
        <w:tab/>
        <w:t>Le texte renvoie au paragraphe 5.6.4.6.8, où sont définis les différents cas de désactivation manuelle et automatique.</w:t>
      </w:r>
    </w:p>
    <w:p w:rsidR="0077461E" w:rsidRPr="00AC4D8F" w:rsidRDefault="00AC4D8F" w:rsidP="00AC4D8F">
      <w:pPr>
        <w:pStyle w:val="SingleTxtG"/>
        <w:spacing w:before="240" w:after="0"/>
        <w:jc w:val="center"/>
        <w:rPr>
          <w:u w:val="single"/>
        </w:rPr>
      </w:pPr>
      <w:r>
        <w:rPr>
          <w:u w:val="single"/>
        </w:rPr>
        <w:tab/>
      </w:r>
      <w:r>
        <w:rPr>
          <w:u w:val="single"/>
        </w:rPr>
        <w:tab/>
      </w:r>
      <w:r>
        <w:rPr>
          <w:u w:val="single"/>
        </w:rPr>
        <w:tab/>
      </w:r>
    </w:p>
    <w:sectPr w:rsidR="0077461E" w:rsidRPr="00AC4D8F" w:rsidSect="001178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64" w:rsidRDefault="00345264" w:rsidP="00F95C08">
      <w:pPr>
        <w:spacing w:line="240" w:lineRule="auto"/>
      </w:pPr>
    </w:p>
  </w:endnote>
  <w:endnote w:type="continuationSeparator" w:id="0">
    <w:p w:rsidR="00345264" w:rsidRPr="00AC3823" w:rsidRDefault="00345264" w:rsidP="00AC3823">
      <w:pPr>
        <w:pStyle w:val="Footer"/>
      </w:pPr>
    </w:p>
  </w:endnote>
  <w:endnote w:type="continuationNotice" w:id="1">
    <w:p w:rsidR="00345264" w:rsidRDefault="003452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F3" w:rsidRPr="001178F3" w:rsidRDefault="001178F3" w:rsidP="001178F3">
    <w:pPr>
      <w:pStyle w:val="Footer"/>
      <w:tabs>
        <w:tab w:val="right" w:pos="9638"/>
      </w:tabs>
    </w:pPr>
    <w:r w:rsidRPr="001178F3">
      <w:rPr>
        <w:b/>
        <w:sz w:val="18"/>
      </w:rPr>
      <w:fldChar w:fldCharType="begin"/>
    </w:r>
    <w:r w:rsidRPr="001178F3">
      <w:rPr>
        <w:b/>
        <w:sz w:val="18"/>
      </w:rPr>
      <w:instrText xml:space="preserve"> PAGE  \* MERGEFORMAT </w:instrText>
    </w:r>
    <w:r w:rsidRPr="001178F3">
      <w:rPr>
        <w:b/>
        <w:sz w:val="18"/>
      </w:rPr>
      <w:fldChar w:fldCharType="separate"/>
    </w:r>
    <w:r w:rsidR="007E0BF8">
      <w:rPr>
        <w:b/>
        <w:noProof/>
        <w:sz w:val="18"/>
      </w:rPr>
      <w:t>2</w:t>
    </w:r>
    <w:r w:rsidRPr="001178F3">
      <w:rPr>
        <w:b/>
        <w:sz w:val="18"/>
      </w:rPr>
      <w:fldChar w:fldCharType="end"/>
    </w:r>
    <w:r>
      <w:rPr>
        <w:b/>
        <w:sz w:val="18"/>
      </w:rPr>
      <w:tab/>
    </w:r>
    <w:r>
      <w:t>GE.18-19718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F3" w:rsidRPr="001178F3" w:rsidRDefault="001178F3" w:rsidP="001178F3">
    <w:pPr>
      <w:pStyle w:val="Footer"/>
      <w:tabs>
        <w:tab w:val="right" w:pos="9638"/>
      </w:tabs>
      <w:rPr>
        <w:b/>
        <w:sz w:val="18"/>
      </w:rPr>
    </w:pPr>
    <w:r>
      <w:t>GE.18-19718</w:t>
    </w:r>
    <w:r>
      <w:tab/>
    </w:r>
    <w:r w:rsidRPr="001178F3">
      <w:rPr>
        <w:b/>
        <w:sz w:val="18"/>
      </w:rPr>
      <w:fldChar w:fldCharType="begin"/>
    </w:r>
    <w:r w:rsidRPr="001178F3">
      <w:rPr>
        <w:b/>
        <w:sz w:val="18"/>
      </w:rPr>
      <w:instrText xml:space="preserve"> PAGE  \* MERGEFORMAT </w:instrText>
    </w:r>
    <w:r w:rsidRPr="001178F3">
      <w:rPr>
        <w:b/>
        <w:sz w:val="18"/>
      </w:rPr>
      <w:fldChar w:fldCharType="separate"/>
    </w:r>
    <w:r w:rsidR="007E0BF8">
      <w:rPr>
        <w:b/>
        <w:noProof/>
        <w:sz w:val="18"/>
      </w:rPr>
      <w:t>3</w:t>
    </w:r>
    <w:r w:rsidRPr="001178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178F3" w:rsidRDefault="001178F3" w:rsidP="001178F3">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18-19718  (F)    291118    081218</w:t>
    </w:r>
    <w:r>
      <w:rPr>
        <w:sz w:val="20"/>
      </w:rPr>
      <w:br/>
    </w:r>
    <w:r w:rsidRPr="001178F3">
      <w:rPr>
        <w:rFonts w:ascii="C39T30Lfz" w:hAnsi="C39T30Lfz"/>
        <w:sz w:val="56"/>
      </w:rPr>
      <w:t></w:t>
    </w:r>
    <w:r w:rsidRPr="001178F3">
      <w:rPr>
        <w:rFonts w:ascii="C39T30Lfz" w:hAnsi="C39T30Lfz"/>
        <w:sz w:val="56"/>
      </w:rPr>
      <w:t></w:t>
    </w:r>
    <w:r w:rsidRPr="001178F3">
      <w:rPr>
        <w:rFonts w:ascii="C39T30Lfz" w:hAnsi="C39T30Lfz"/>
        <w:sz w:val="56"/>
      </w:rPr>
      <w:t></w:t>
    </w:r>
    <w:r w:rsidRPr="001178F3">
      <w:rPr>
        <w:rFonts w:ascii="C39T30Lfz" w:hAnsi="C39T30Lfz"/>
        <w:sz w:val="56"/>
      </w:rPr>
      <w:t></w:t>
    </w:r>
    <w:r w:rsidRPr="001178F3">
      <w:rPr>
        <w:rFonts w:ascii="C39T30Lfz" w:hAnsi="C39T30Lfz"/>
        <w:sz w:val="56"/>
      </w:rPr>
      <w:t></w:t>
    </w:r>
    <w:r w:rsidRPr="001178F3">
      <w:rPr>
        <w:rFonts w:ascii="C39T30Lfz" w:hAnsi="C39T30Lfz"/>
        <w:sz w:val="56"/>
      </w:rPr>
      <w:t></w:t>
    </w:r>
    <w:r w:rsidRPr="001178F3">
      <w:rPr>
        <w:rFonts w:ascii="C39T30Lfz" w:hAnsi="C39T30Lfz"/>
        <w:sz w:val="56"/>
      </w:rPr>
      <w:t></w:t>
    </w:r>
    <w:r w:rsidRPr="001178F3">
      <w:rPr>
        <w:rFonts w:ascii="C39T30Lfz" w:hAnsi="C39T30Lfz"/>
        <w:sz w:val="56"/>
      </w:rPr>
      <w:t></w:t>
    </w:r>
    <w:r w:rsidRPr="001178F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64" w:rsidRPr="00AC3823" w:rsidRDefault="00345264" w:rsidP="00AC3823">
      <w:pPr>
        <w:pStyle w:val="Footer"/>
        <w:tabs>
          <w:tab w:val="right" w:pos="2155"/>
        </w:tabs>
        <w:spacing w:after="80" w:line="240" w:lineRule="atLeast"/>
        <w:ind w:left="680"/>
        <w:rPr>
          <w:u w:val="single"/>
        </w:rPr>
      </w:pPr>
      <w:r>
        <w:rPr>
          <w:u w:val="single"/>
        </w:rPr>
        <w:tab/>
      </w:r>
    </w:p>
  </w:footnote>
  <w:footnote w:type="continuationSeparator" w:id="0">
    <w:p w:rsidR="00345264" w:rsidRPr="00AC3823" w:rsidRDefault="00345264" w:rsidP="00AC3823">
      <w:pPr>
        <w:pStyle w:val="Footer"/>
        <w:tabs>
          <w:tab w:val="right" w:pos="2155"/>
        </w:tabs>
        <w:spacing w:after="80" w:line="240" w:lineRule="atLeast"/>
        <w:ind w:left="680"/>
        <w:rPr>
          <w:u w:val="single"/>
        </w:rPr>
      </w:pPr>
      <w:r>
        <w:rPr>
          <w:u w:val="single"/>
        </w:rPr>
        <w:tab/>
      </w:r>
    </w:p>
  </w:footnote>
  <w:footnote w:type="continuationNotice" w:id="1">
    <w:p w:rsidR="00345264" w:rsidRPr="00AC3823" w:rsidRDefault="00345264">
      <w:pPr>
        <w:spacing w:line="240" w:lineRule="auto"/>
        <w:rPr>
          <w:sz w:val="2"/>
          <w:szCs w:val="2"/>
        </w:rPr>
      </w:pPr>
    </w:p>
  </w:footnote>
  <w:footnote w:id="2">
    <w:p w:rsidR="001178F3" w:rsidRPr="00012393" w:rsidRDefault="001178F3" w:rsidP="001178F3">
      <w:pPr>
        <w:pStyle w:val="FootnoteText"/>
      </w:pPr>
      <w:r>
        <w:rPr>
          <w:lang w:val="fr-FR"/>
        </w:rPr>
        <w:tab/>
        <w:t>*</w:t>
      </w:r>
      <w:r>
        <w:rPr>
          <w:lang w:val="fr-FR"/>
        </w:rPr>
        <w:tab/>
        <w:t xml:space="preserve">Anciennement </w:t>
      </w:r>
      <w:r w:rsidRPr="001178F3">
        <w:rPr>
          <w:b/>
          <w:lang w:val="fr-FR"/>
        </w:rPr>
        <w:t>Groupe de travail en matière de roulement et de freinage (GRRF)</w:t>
      </w:r>
      <w:r>
        <w:rPr>
          <w:lang w:val="fr-FR"/>
        </w:rPr>
        <w:t>.</w:t>
      </w:r>
    </w:p>
  </w:footnote>
  <w:footnote w:id="3">
    <w:p w:rsidR="0077461E" w:rsidRPr="00012393" w:rsidRDefault="0077461E" w:rsidP="00831A0D">
      <w:pPr>
        <w:pStyle w:val="FootnoteText"/>
        <w:rPr>
          <w:rFonts w:asciiTheme="majorBidi" w:hAnsiTheme="majorBidi" w:cstheme="majorBidi"/>
        </w:rPr>
      </w:pPr>
      <w:r>
        <w:rPr>
          <w:lang w:val="fr-FR"/>
        </w:rPr>
        <w:tab/>
      </w:r>
      <w:r w:rsidRPr="00831A0D">
        <w:rPr>
          <w:sz w:val="20"/>
          <w:lang w:val="fr-FR"/>
        </w:rPr>
        <w:t>**</w:t>
      </w:r>
      <w:r>
        <w:rPr>
          <w:lang w:val="fr-FR"/>
        </w:rPr>
        <w:tab/>
        <w:t>Conformément au programme de travail du Comité des transports intérieurs pour la période 2018</w:t>
      </w:r>
      <w:r w:rsidR="00831A0D">
        <w:rPr>
          <w:lang w:val="fr-FR"/>
        </w:rPr>
        <w:noBreakHyphen/>
        <w:t>2019 (ECE/TRANS/274, par. </w:t>
      </w:r>
      <w:r>
        <w:rPr>
          <w:lang w:val="fr-FR"/>
        </w:rPr>
        <w:t>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F3" w:rsidRPr="001178F3" w:rsidRDefault="00176E06">
    <w:pPr>
      <w:pStyle w:val="Header"/>
    </w:pPr>
    <w:r>
      <w:fldChar w:fldCharType="begin"/>
    </w:r>
    <w:r>
      <w:instrText xml:space="preserve"> TITLE  \* MERGEFORMAT </w:instrText>
    </w:r>
    <w:r>
      <w:fldChar w:fldCharType="separate"/>
    </w:r>
    <w:r w:rsidR="001178F3">
      <w:t>ECE/TRANS/WP.29/GRVA/2019/10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F3" w:rsidRPr="001178F3" w:rsidRDefault="00176E06" w:rsidP="001178F3">
    <w:pPr>
      <w:pStyle w:val="Header"/>
      <w:jc w:val="right"/>
    </w:pPr>
    <w:r>
      <w:fldChar w:fldCharType="begin"/>
    </w:r>
    <w:r>
      <w:instrText xml:space="preserve"> TITLE  \* MERGEFORMAT </w:instrText>
    </w:r>
    <w:r>
      <w:fldChar w:fldCharType="separate"/>
    </w:r>
    <w:r w:rsidR="001178F3">
      <w:t>ECE/TRANS/WP.29/GRVA/2019/10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64"/>
    <w:rsid w:val="00017F94"/>
    <w:rsid w:val="00023842"/>
    <w:rsid w:val="000334F9"/>
    <w:rsid w:val="00045FEB"/>
    <w:rsid w:val="0007796D"/>
    <w:rsid w:val="000B7790"/>
    <w:rsid w:val="00111F2F"/>
    <w:rsid w:val="001178F3"/>
    <w:rsid w:val="0014365E"/>
    <w:rsid w:val="00143C66"/>
    <w:rsid w:val="00176178"/>
    <w:rsid w:val="00176E06"/>
    <w:rsid w:val="001F525A"/>
    <w:rsid w:val="00223272"/>
    <w:rsid w:val="0024779E"/>
    <w:rsid w:val="00257168"/>
    <w:rsid w:val="002744B8"/>
    <w:rsid w:val="002832AC"/>
    <w:rsid w:val="002D7C93"/>
    <w:rsid w:val="00305801"/>
    <w:rsid w:val="003305A8"/>
    <w:rsid w:val="00345264"/>
    <w:rsid w:val="003916DE"/>
    <w:rsid w:val="00421996"/>
    <w:rsid w:val="00441C3B"/>
    <w:rsid w:val="00446FE5"/>
    <w:rsid w:val="00452396"/>
    <w:rsid w:val="004837D8"/>
    <w:rsid w:val="004E2EED"/>
    <w:rsid w:val="004E468C"/>
    <w:rsid w:val="005505B7"/>
    <w:rsid w:val="00573BE5"/>
    <w:rsid w:val="00586ED3"/>
    <w:rsid w:val="00596AA9"/>
    <w:rsid w:val="0071601D"/>
    <w:rsid w:val="0077461E"/>
    <w:rsid w:val="007A62E6"/>
    <w:rsid w:val="007E0BF8"/>
    <w:rsid w:val="007F20FA"/>
    <w:rsid w:val="0080684C"/>
    <w:rsid w:val="00831A0D"/>
    <w:rsid w:val="00871C75"/>
    <w:rsid w:val="008776DC"/>
    <w:rsid w:val="00910614"/>
    <w:rsid w:val="009446C0"/>
    <w:rsid w:val="009705C8"/>
    <w:rsid w:val="009C1CF4"/>
    <w:rsid w:val="009F6B74"/>
    <w:rsid w:val="00A3029F"/>
    <w:rsid w:val="00A30353"/>
    <w:rsid w:val="00AC3823"/>
    <w:rsid w:val="00AC4D8F"/>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6D6412-C70D-413C-90B6-E18513BA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ECE/TRANS/WP.29/GRVA/2019/10</vt:lpstr>
      <vt:lpstr>ECE/TRANS/WP.29/GRVA/2019/10</vt:lpstr>
    </vt:vector>
  </TitlesOfParts>
  <Company>DCM</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ECE/TRANS/WP.29/GRVA/2019/10</dc:title>
  <dc:subject/>
  <dc:creator>Sandrine CLERE</dc:creator>
  <cp:keywords/>
  <cp:lastModifiedBy>Benedicte Boudol</cp:lastModifiedBy>
  <cp:revision>2</cp:revision>
  <cp:lastPrinted>2014-05-14T10:59:00Z</cp:lastPrinted>
  <dcterms:created xsi:type="dcterms:W3CDTF">2018-12-10T08:51:00Z</dcterms:created>
  <dcterms:modified xsi:type="dcterms:W3CDTF">2018-12-10T08:51:00Z</dcterms:modified>
</cp:coreProperties>
</file>