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3176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31769" w:rsidP="00D31769">
            <w:pPr>
              <w:jc w:val="right"/>
            </w:pPr>
            <w:r w:rsidRPr="00D31769">
              <w:rPr>
                <w:sz w:val="40"/>
              </w:rPr>
              <w:t>ECE</w:t>
            </w:r>
            <w:r>
              <w:t>/TRANS/WP.29/GRVA/2019/1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31769" w:rsidP="00C97039">
            <w:pPr>
              <w:spacing w:before="240"/>
            </w:pPr>
            <w:r>
              <w:t>Distr. générale</w:t>
            </w:r>
          </w:p>
          <w:p w:rsidR="00D31769" w:rsidRDefault="00D31769" w:rsidP="00D31769">
            <w:pPr>
              <w:spacing w:line="240" w:lineRule="exact"/>
            </w:pPr>
            <w:r>
              <w:t>19 novembre 2018</w:t>
            </w:r>
          </w:p>
          <w:p w:rsidR="00D31769" w:rsidRDefault="00D31769" w:rsidP="00D31769">
            <w:pPr>
              <w:spacing w:line="240" w:lineRule="exact"/>
            </w:pPr>
            <w:r>
              <w:t>Français</w:t>
            </w:r>
          </w:p>
          <w:p w:rsidR="00D31769" w:rsidRPr="00DB58B5" w:rsidRDefault="00D31769" w:rsidP="00D31769">
            <w:pPr>
              <w:spacing w:line="240" w:lineRule="exact"/>
            </w:pPr>
            <w:r>
              <w:t>Original : anglais</w:t>
            </w:r>
          </w:p>
        </w:tc>
      </w:tr>
    </w:tbl>
    <w:p w:rsidR="007F20FA" w:rsidRPr="00F022CD" w:rsidRDefault="007F20FA" w:rsidP="00F022CD">
      <w:pPr>
        <w:spacing w:before="120"/>
        <w:rPr>
          <w:b/>
          <w:sz w:val="28"/>
          <w:szCs w:val="28"/>
        </w:rPr>
      </w:pPr>
      <w:r w:rsidRPr="00F022CD">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31769" w:rsidRDefault="00D31769"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31769" w:rsidRDefault="00D31769"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r w:rsidRPr="00D31769">
        <w:rPr>
          <w:rStyle w:val="FootnoteReference"/>
          <w:rFonts w:eastAsia="Times New Roman"/>
          <w:bCs/>
          <w:sz w:val="20"/>
          <w:vertAlign w:val="baseline"/>
        </w:rPr>
        <w:footnoteReference w:customMarkFollows="1" w:id="2"/>
        <w:t>*</w:t>
      </w:r>
    </w:p>
    <w:p w:rsidR="00D31769" w:rsidRDefault="00D31769" w:rsidP="00A3029F">
      <w:pPr>
        <w:spacing w:before="120"/>
        <w:rPr>
          <w:b/>
        </w:rPr>
      </w:pPr>
      <w:r w:rsidRPr="0000775D">
        <w:rPr>
          <w:b/>
          <w:szCs w:val="24"/>
          <w:lang w:val="fr-FR"/>
        </w:rPr>
        <w:t xml:space="preserve">Deuxième </w:t>
      </w:r>
      <w:r>
        <w:rPr>
          <w:b/>
        </w:rPr>
        <w:t>session</w:t>
      </w:r>
    </w:p>
    <w:p w:rsidR="00D31769" w:rsidRDefault="00D31769" w:rsidP="00A3029F">
      <w:pPr>
        <w:spacing w:line="240" w:lineRule="exact"/>
      </w:pPr>
      <w:r>
        <w:t xml:space="preserve">Genève, </w:t>
      </w:r>
      <w:r>
        <w:rPr>
          <w:szCs w:val="24"/>
          <w:lang w:val="fr-FR"/>
        </w:rPr>
        <w:t>28 </w:t>
      </w:r>
      <w:r w:rsidRPr="0000775D">
        <w:rPr>
          <w:szCs w:val="24"/>
          <w:lang w:val="fr-FR"/>
        </w:rPr>
        <w:t>janvier-1</w:t>
      </w:r>
      <w:r w:rsidRPr="0000775D">
        <w:rPr>
          <w:szCs w:val="24"/>
          <w:vertAlign w:val="superscript"/>
          <w:lang w:val="fr-FR"/>
        </w:rPr>
        <w:t>er</w:t>
      </w:r>
      <w:r>
        <w:rPr>
          <w:szCs w:val="24"/>
          <w:lang w:val="fr-FR"/>
        </w:rPr>
        <w:t> </w:t>
      </w:r>
      <w:r w:rsidRPr="0000775D">
        <w:rPr>
          <w:szCs w:val="24"/>
          <w:lang w:val="fr-FR"/>
        </w:rPr>
        <w:t>février 2019</w:t>
      </w:r>
    </w:p>
    <w:p w:rsidR="00D31769" w:rsidRDefault="00D31769" w:rsidP="00A3029F">
      <w:pPr>
        <w:spacing w:line="240" w:lineRule="exact"/>
      </w:pPr>
      <w:r>
        <w:t>Point 1 de l’ordre du jour provisoire</w:t>
      </w:r>
    </w:p>
    <w:p w:rsidR="00D31769" w:rsidRPr="00D31769" w:rsidRDefault="00D31769" w:rsidP="00D31769">
      <w:pPr>
        <w:rPr>
          <w:b/>
          <w:lang w:val="fr-FR"/>
        </w:rPr>
      </w:pPr>
      <w:r w:rsidRPr="00D31769">
        <w:rPr>
          <w:b/>
          <w:lang w:val="fr-FR"/>
        </w:rPr>
        <w:t>Adoption de l’ordre du jour</w:t>
      </w:r>
    </w:p>
    <w:p w:rsidR="00D31769" w:rsidRPr="00D31769" w:rsidRDefault="00D31769" w:rsidP="00D31769">
      <w:pPr>
        <w:pStyle w:val="HChG"/>
        <w:rPr>
          <w:bCs/>
          <w:lang w:val="fr-FR"/>
        </w:rPr>
      </w:pPr>
      <w:r>
        <w:rPr>
          <w:lang w:val="fr-FR"/>
        </w:rPr>
        <w:tab/>
      </w:r>
      <w:r>
        <w:rPr>
          <w:lang w:val="fr-FR"/>
        </w:rPr>
        <w:tab/>
      </w:r>
      <w:r w:rsidRPr="00D31769">
        <w:rPr>
          <w:lang w:val="fr-FR"/>
        </w:rPr>
        <w:t>Ordre du jour provisoire de la deuxième session</w:t>
      </w:r>
      <w:r w:rsidRPr="00D31769">
        <w:rPr>
          <w:rStyle w:val="FootnoteReference"/>
          <w:b w:val="0"/>
          <w:sz w:val="20"/>
          <w:vertAlign w:val="baseline"/>
        </w:rPr>
        <w:footnoteReference w:customMarkFollows="1" w:id="3"/>
        <w:t>**</w:t>
      </w:r>
      <w:r w:rsidRPr="00D31769">
        <w:rPr>
          <w:b w:val="0"/>
          <w:position w:val="6"/>
          <w:sz w:val="20"/>
        </w:rPr>
        <w:t>,</w:t>
      </w:r>
      <w:r w:rsidRPr="00D31769">
        <w:rPr>
          <w:b w:val="0"/>
          <w:sz w:val="20"/>
        </w:rPr>
        <w:t xml:space="preserve"> </w:t>
      </w:r>
      <w:r w:rsidRPr="00D31769">
        <w:rPr>
          <w:rStyle w:val="FootnoteReference"/>
          <w:b w:val="0"/>
          <w:sz w:val="20"/>
          <w:vertAlign w:val="baseline"/>
        </w:rPr>
        <w:footnoteReference w:customMarkFollows="1" w:id="4"/>
        <w:t>***</w:t>
      </w:r>
    </w:p>
    <w:p w:rsidR="00D31769" w:rsidRPr="00D31769" w:rsidRDefault="00D31769" w:rsidP="00D31769">
      <w:pPr>
        <w:pStyle w:val="SingleTxtG"/>
        <w:rPr>
          <w:bCs/>
          <w:lang w:val="fr-FR"/>
        </w:rPr>
      </w:pPr>
      <w:r w:rsidRPr="00D31769">
        <w:rPr>
          <w:bCs/>
          <w:lang w:val="fr-FR"/>
        </w:rPr>
        <w:t>Qui s’ouvrira au Palais des Nations, à Genève, le 28 janvier 2019 à 14 h 30 et s’achèvera le 1</w:t>
      </w:r>
      <w:r w:rsidRPr="00D31769">
        <w:rPr>
          <w:bCs/>
          <w:vertAlign w:val="superscript"/>
          <w:lang w:val="fr-FR"/>
        </w:rPr>
        <w:t>er</w:t>
      </w:r>
      <w:r w:rsidR="000E58AA">
        <w:rPr>
          <w:bCs/>
          <w:lang w:val="fr-FR"/>
        </w:rPr>
        <w:t> </w:t>
      </w:r>
      <w:r w:rsidRPr="00D31769">
        <w:rPr>
          <w:bCs/>
          <w:lang w:val="fr-FR"/>
        </w:rPr>
        <w:t>février 2019 à 12</w:t>
      </w:r>
      <w:r w:rsidR="000E58AA">
        <w:rPr>
          <w:bCs/>
          <w:lang w:val="fr-FR"/>
        </w:rPr>
        <w:t> </w:t>
      </w:r>
      <w:r w:rsidRPr="00D31769">
        <w:rPr>
          <w:bCs/>
          <w:lang w:val="fr-FR"/>
        </w:rPr>
        <w:t>h</w:t>
      </w:r>
      <w:r w:rsidR="000E58AA">
        <w:rPr>
          <w:bCs/>
          <w:lang w:val="fr-FR"/>
        </w:rPr>
        <w:t> 30.</w:t>
      </w:r>
    </w:p>
    <w:p w:rsidR="00FC0F2B" w:rsidRDefault="00D31769" w:rsidP="00D31769">
      <w:pPr>
        <w:pStyle w:val="SingleTxtG"/>
        <w:rPr>
          <w:lang w:val="fr-FR"/>
        </w:rPr>
      </w:pPr>
      <w:r w:rsidRPr="000E58AA">
        <w:rPr>
          <w:bCs/>
          <w:u w:val="single"/>
          <w:lang w:val="fr-FR"/>
        </w:rPr>
        <w:t>Note</w:t>
      </w:r>
      <w:r w:rsidRPr="00D31769">
        <w:rPr>
          <w:bCs/>
          <w:lang w:val="fr-FR"/>
        </w:rPr>
        <w:t xml:space="preserve"> : </w:t>
      </w:r>
      <w:r w:rsidRPr="00D31769">
        <w:rPr>
          <w:lang w:val="fr-FR"/>
        </w:rPr>
        <w:t xml:space="preserve">En réponse à la demande du Comité des transports intérieurs (CTI) (ECE/TRANS/274, par. 52), le WP.29 a décidé (ECE/TRANS/WP.29/1139, par. 33) de transformer le Groupe de travail en matière de roulement et de freinage (GRRF) en Groupe de travail des véhicules automatisés/autonomes et connectés (GRVA), sous réserve de </w:t>
      </w:r>
      <w:r w:rsidRPr="00CF1ABB">
        <w:rPr>
          <w:spacing w:val="-4"/>
          <w:lang w:val="fr-FR"/>
        </w:rPr>
        <w:t>l’approbation finale du CTI à sa session de février 2019. Le présent ordre du jour provisoire</w:t>
      </w:r>
      <w:r w:rsidRPr="00D31769">
        <w:rPr>
          <w:lang w:val="fr-FR"/>
        </w:rPr>
        <w:t xml:space="preserve"> est </w:t>
      </w:r>
      <w:r w:rsidRPr="00CF1ABB">
        <w:rPr>
          <w:spacing w:val="-2"/>
          <w:lang w:val="fr-FR"/>
        </w:rPr>
        <w:t>donc établi pour la deuxième session du GRVA, en remplacement de la quatre-vingt-</w:t>
      </w:r>
      <w:r w:rsidRPr="00D31769">
        <w:rPr>
          <w:lang w:val="fr-FR"/>
        </w:rPr>
        <w:t>huitième session du GRRF initialement prévue.</w:t>
      </w:r>
    </w:p>
    <w:p w:rsidR="00D31769" w:rsidRPr="00D31769" w:rsidRDefault="00FC0F2B" w:rsidP="00792CC5">
      <w:pPr>
        <w:pStyle w:val="HChG"/>
        <w:spacing w:before="0"/>
        <w:rPr>
          <w:lang w:val="fr-FR"/>
        </w:rPr>
      </w:pPr>
      <w:r>
        <w:rPr>
          <w:lang w:val="fr-FR"/>
        </w:rPr>
        <w:br w:type="page"/>
      </w:r>
      <w:r w:rsidR="00D31769">
        <w:rPr>
          <w:lang w:val="fr-FR"/>
        </w:rPr>
        <w:lastRenderedPageBreak/>
        <w:tab/>
      </w:r>
      <w:r w:rsidR="00D31769" w:rsidRPr="00D31769">
        <w:rPr>
          <w:lang w:val="fr-FR"/>
        </w:rPr>
        <w:t>I.</w:t>
      </w:r>
      <w:r w:rsidR="00D31769" w:rsidRPr="00D31769">
        <w:rPr>
          <w:lang w:val="fr-FR"/>
        </w:rPr>
        <w:tab/>
        <w:t>Ordre du jour provisoire</w:t>
      </w:r>
    </w:p>
    <w:p w:rsidR="00D31769" w:rsidRPr="00D31769" w:rsidRDefault="00D31769" w:rsidP="00FC0F2B">
      <w:pPr>
        <w:pStyle w:val="SingleTxtG"/>
        <w:ind w:left="1701" w:hanging="567"/>
        <w:rPr>
          <w:b/>
          <w:lang w:val="fr-FR"/>
        </w:rPr>
      </w:pPr>
      <w:r w:rsidRPr="00D31769">
        <w:rPr>
          <w:lang w:val="fr-FR"/>
        </w:rPr>
        <w:t>1.</w:t>
      </w:r>
      <w:r w:rsidRPr="00D31769">
        <w:rPr>
          <w:b/>
          <w:lang w:val="fr-FR"/>
        </w:rPr>
        <w:tab/>
      </w:r>
      <w:r w:rsidRPr="00D31769">
        <w:rPr>
          <w:lang w:val="fr-FR"/>
        </w:rPr>
        <w:t>Adoption de l’ordre du jour.</w:t>
      </w:r>
    </w:p>
    <w:p w:rsidR="00D31769" w:rsidRPr="00D31769" w:rsidRDefault="00D31769" w:rsidP="00FC0F2B">
      <w:pPr>
        <w:pStyle w:val="SingleTxtG"/>
        <w:ind w:left="1701" w:hanging="567"/>
        <w:rPr>
          <w:lang w:val="fr-FR"/>
        </w:rPr>
      </w:pPr>
      <w:r w:rsidRPr="00D31769">
        <w:rPr>
          <w:lang w:val="fr-FR"/>
        </w:rPr>
        <w:t>2.</w:t>
      </w:r>
      <w:r w:rsidRPr="00D31769">
        <w:rPr>
          <w:lang w:val="fr-FR"/>
        </w:rPr>
        <w:tab/>
        <w:t>Points à retenir de la session de novembre 2018 du WP.29.</w:t>
      </w:r>
    </w:p>
    <w:p w:rsidR="00D31769" w:rsidRPr="00D31769" w:rsidRDefault="00D31769" w:rsidP="00FC0F2B">
      <w:pPr>
        <w:pStyle w:val="SingleTxtG"/>
        <w:ind w:left="1701" w:hanging="567"/>
        <w:rPr>
          <w:lang w:val="fr-FR"/>
        </w:rPr>
      </w:pPr>
      <w:r w:rsidRPr="00D31769">
        <w:rPr>
          <w:lang w:val="fr-FR"/>
        </w:rPr>
        <w:t>3.</w:t>
      </w:r>
      <w:r w:rsidRPr="00D31769">
        <w:rPr>
          <w:lang w:val="fr-FR"/>
        </w:rPr>
        <w:tab/>
        <w:t>Échange de vues sur les priorités de travail et la structure des groupes de travail informels du GRVA.</w:t>
      </w:r>
    </w:p>
    <w:p w:rsidR="00D31769" w:rsidRPr="00D31769" w:rsidRDefault="00D31769" w:rsidP="00FC0F2B">
      <w:pPr>
        <w:pStyle w:val="SingleTxtG"/>
        <w:ind w:left="1701" w:hanging="567"/>
        <w:rPr>
          <w:lang w:val="fr-FR"/>
        </w:rPr>
      </w:pPr>
      <w:r w:rsidRPr="00D31769">
        <w:rPr>
          <w:lang w:val="fr-FR"/>
        </w:rPr>
        <w:t>4.</w:t>
      </w:r>
      <w:r w:rsidRPr="00D31769">
        <w:rPr>
          <w:lang w:val="fr-FR"/>
        </w:rPr>
        <w:tab/>
        <w:t>Échange de vues sur les orientations et les activités nationales pertinentes.</w:t>
      </w:r>
    </w:p>
    <w:p w:rsidR="00D31769" w:rsidRPr="00D31769" w:rsidRDefault="00D31769" w:rsidP="00FC0F2B">
      <w:pPr>
        <w:pStyle w:val="SingleTxtG"/>
        <w:ind w:left="1701" w:hanging="567"/>
        <w:rPr>
          <w:lang w:val="fr-FR"/>
        </w:rPr>
      </w:pPr>
      <w:r w:rsidRPr="00D31769">
        <w:rPr>
          <w:lang w:val="fr-FR"/>
        </w:rPr>
        <w:t>5.</w:t>
      </w:r>
      <w:r w:rsidRPr="00D31769">
        <w:rPr>
          <w:lang w:val="fr-FR"/>
        </w:rPr>
        <w:tab/>
        <w:t>Véhicules automatisés/autonomes et connectés :</w:t>
      </w:r>
    </w:p>
    <w:p w:rsidR="00D31769" w:rsidRPr="00D31769" w:rsidRDefault="00D31769" w:rsidP="00792CC5">
      <w:pPr>
        <w:pStyle w:val="SingleTxtG"/>
        <w:ind w:left="2268" w:hanging="567"/>
        <w:rPr>
          <w:lang w:val="fr-FR"/>
        </w:rPr>
      </w:pPr>
      <w:r w:rsidRPr="00D31769">
        <w:rPr>
          <w:lang w:val="fr-FR"/>
        </w:rPr>
        <w:t>a)</w:t>
      </w:r>
      <w:r w:rsidRPr="00D31769">
        <w:rPr>
          <w:lang w:val="fr-FR"/>
        </w:rPr>
        <w:tab/>
        <w:t>Équipe spéciale des essais des véhicules automatisés et ses sous-groupes ;</w:t>
      </w:r>
    </w:p>
    <w:p w:rsidR="00D31769" w:rsidRPr="00D31769" w:rsidRDefault="00D31769" w:rsidP="00792CC5">
      <w:pPr>
        <w:pStyle w:val="SingleTxtG"/>
        <w:ind w:left="2268" w:hanging="567"/>
        <w:rPr>
          <w:lang w:val="fr-FR"/>
        </w:rPr>
      </w:pPr>
      <w:r w:rsidRPr="00D31769">
        <w:rPr>
          <w:lang w:val="fr-FR"/>
        </w:rPr>
        <w:t>b)</w:t>
      </w:r>
      <w:r w:rsidRPr="00D31769">
        <w:rPr>
          <w:lang w:val="fr-FR"/>
        </w:rPr>
        <w:tab/>
        <w:t xml:space="preserve">Cybersécurité et protection des données ; </w:t>
      </w:r>
    </w:p>
    <w:p w:rsidR="00D31769" w:rsidRPr="00D31769" w:rsidRDefault="00D31769" w:rsidP="00792CC5">
      <w:pPr>
        <w:pStyle w:val="SingleTxtG"/>
        <w:ind w:left="2268" w:hanging="567"/>
        <w:rPr>
          <w:lang w:val="fr-FR"/>
        </w:rPr>
      </w:pPr>
      <w:r w:rsidRPr="00D31769">
        <w:rPr>
          <w:lang w:val="fr-FR"/>
        </w:rPr>
        <w:t>c)</w:t>
      </w:r>
      <w:r w:rsidRPr="00D31769">
        <w:rPr>
          <w:lang w:val="fr-FR"/>
        </w:rPr>
        <w:tab/>
        <w:t xml:space="preserve">Mises à jour de logiciels (y compris les mises à jour à distance) ; </w:t>
      </w:r>
    </w:p>
    <w:p w:rsidR="00D31769" w:rsidRPr="00D31769" w:rsidRDefault="00D31769" w:rsidP="00792CC5">
      <w:pPr>
        <w:pStyle w:val="SingleTxtG"/>
        <w:ind w:left="2268" w:hanging="567"/>
        <w:rPr>
          <w:lang w:val="fr-FR"/>
        </w:rPr>
      </w:pPr>
      <w:r w:rsidRPr="00D31769">
        <w:rPr>
          <w:lang w:val="fr-FR"/>
        </w:rPr>
        <w:t>d)</w:t>
      </w:r>
      <w:r w:rsidRPr="00D31769">
        <w:rPr>
          <w:lang w:val="fr-FR"/>
        </w:rPr>
        <w:tab/>
        <w:t>Fonction de direction à commande automatique ;</w:t>
      </w:r>
    </w:p>
    <w:p w:rsidR="00D31769" w:rsidRPr="00D31769" w:rsidRDefault="00D31769" w:rsidP="00792CC5">
      <w:pPr>
        <w:pStyle w:val="SingleTxtG"/>
        <w:ind w:left="2268" w:hanging="567"/>
        <w:rPr>
          <w:lang w:val="fr-FR"/>
        </w:rPr>
      </w:pPr>
      <w:r w:rsidRPr="00D31769">
        <w:rPr>
          <w:lang w:val="fr-FR"/>
        </w:rPr>
        <w:t>e)</w:t>
      </w:r>
      <w:r w:rsidRPr="00D31769">
        <w:rPr>
          <w:lang w:val="fr-FR"/>
        </w:rPr>
        <w:tab/>
        <w:t>Prescriptions relatives aux systèmes complexes de commande électronique.</w:t>
      </w:r>
    </w:p>
    <w:p w:rsidR="00D31769" w:rsidRPr="00D31769" w:rsidRDefault="00D31769" w:rsidP="00FC0F2B">
      <w:pPr>
        <w:pStyle w:val="SingleTxtG"/>
        <w:ind w:left="1701" w:hanging="567"/>
        <w:rPr>
          <w:lang w:val="fr-FR"/>
        </w:rPr>
      </w:pPr>
      <w:r w:rsidRPr="00D31769">
        <w:rPr>
          <w:lang w:val="fr-FR"/>
        </w:rPr>
        <w:t>6.</w:t>
      </w:r>
      <w:r w:rsidRPr="00D31769">
        <w:rPr>
          <w:lang w:val="fr-FR"/>
        </w:rPr>
        <w:tab/>
        <w:t>Systèmes actifs de freinage d’urgence.</w:t>
      </w:r>
    </w:p>
    <w:p w:rsidR="00D31769" w:rsidRPr="00D31769" w:rsidRDefault="00D31769" w:rsidP="00FC0F2B">
      <w:pPr>
        <w:pStyle w:val="SingleTxtG"/>
        <w:ind w:left="1701" w:hanging="567"/>
        <w:rPr>
          <w:lang w:val="fr-FR"/>
        </w:rPr>
      </w:pPr>
      <w:r w:rsidRPr="00D31769">
        <w:rPr>
          <w:lang w:val="fr-FR"/>
        </w:rPr>
        <w:t>7.</w:t>
      </w:r>
      <w:r w:rsidRPr="00D31769">
        <w:rPr>
          <w:lang w:val="fr-FR"/>
        </w:rPr>
        <w:tab/>
        <w:t>Règlements ONU n</w:t>
      </w:r>
      <w:r w:rsidRPr="00D31769">
        <w:rPr>
          <w:vertAlign w:val="superscript"/>
          <w:lang w:val="fr-FR"/>
        </w:rPr>
        <w:t>os</w:t>
      </w:r>
      <w:r w:rsidR="000E58AA">
        <w:rPr>
          <w:lang w:val="fr-FR"/>
        </w:rPr>
        <w:t> </w:t>
      </w:r>
      <w:r w:rsidRPr="00D31769">
        <w:rPr>
          <w:lang w:val="fr-FR"/>
        </w:rPr>
        <w:t>13, 13-H, 139 et 140 :</w:t>
      </w:r>
    </w:p>
    <w:p w:rsidR="00D31769" w:rsidRPr="00D31769" w:rsidRDefault="00D31769" w:rsidP="00792CC5">
      <w:pPr>
        <w:pStyle w:val="SingleTxtG"/>
        <w:ind w:left="2268" w:hanging="567"/>
        <w:rPr>
          <w:lang w:val="fr-FR"/>
        </w:rPr>
      </w:pPr>
      <w:r w:rsidRPr="00D31769">
        <w:rPr>
          <w:lang w:val="fr-FR"/>
        </w:rPr>
        <w:t>a)</w:t>
      </w:r>
      <w:r w:rsidRPr="00D31769">
        <w:rPr>
          <w:lang w:val="fr-FR"/>
        </w:rPr>
        <w:tab/>
        <w:t>Système de contrôle électronique de la stabilité ;</w:t>
      </w:r>
    </w:p>
    <w:p w:rsidR="00D31769" w:rsidRPr="00D31769" w:rsidRDefault="00D31769" w:rsidP="00792CC5">
      <w:pPr>
        <w:pStyle w:val="SingleTxtG"/>
        <w:ind w:left="2268" w:hanging="567"/>
        <w:rPr>
          <w:lang w:val="fr-FR"/>
        </w:rPr>
      </w:pPr>
      <w:r w:rsidRPr="00D31769">
        <w:rPr>
          <w:lang w:val="fr-FR"/>
        </w:rPr>
        <w:t>b)</w:t>
      </w:r>
      <w:r w:rsidRPr="00D31769">
        <w:rPr>
          <w:lang w:val="fr-FR"/>
        </w:rPr>
        <w:tab/>
        <w:t>Ensembles modulaires de véhicules ;</w:t>
      </w:r>
    </w:p>
    <w:p w:rsidR="00D31769" w:rsidRPr="00D31769" w:rsidRDefault="000E58AA" w:rsidP="00792CC5">
      <w:pPr>
        <w:pStyle w:val="SingleTxtG"/>
        <w:ind w:left="2268" w:hanging="567"/>
        <w:rPr>
          <w:lang w:val="fr-FR"/>
        </w:rPr>
      </w:pPr>
      <w:r>
        <w:rPr>
          <w:lang w:val="fr-FR"/>
        </w:rPr>
        <w:t>c)</w:t>
      </w:r>
      <w:r>
        <w:rPr>
          <w:lang w:val="fr-FR"/>
        </w:rPr>
        <w:tab/>
        <w:t>Précisions ;</w:t>
      </w:r>
    </w:p>
    <w:p w:rsidR="00D31769" w:rsidRPr="00D31769" w:rsidRDefault="00D31769" w:rsidP="00792CC5">
      <w:pPr>
        <w:pStyle w:val="SingleTxtG"/>
        <w:ind w:left="2268" w:hanging="567"/>
        <w:rPr>
          <w:lang w:val="fr-FR"/>
        </w:rPr>
      </w:pPr>
      <w:r w:rsidRPr="00D31769">
        <w:rPr>
          <w:lang w:val="fr-FR"/>
        </w:rPr>
        <w:t>d)</w:t>
      </w:r>
      <w:r w:rsidRPr="00D31769">
        <w:rPr>
          <w:lang w:val="fr-FR"/>
        </w:rPr>
        <w:tab/>
        <w:t>Questions diverses.</w:t>
      </w:r>
    </w:p>
    <w:p w:rsidR="00D31769" w:rsidRPr="00D31769" w:rsidRDefault="00D31769" w:rsidP="00FC0F2B">
      <w:pPr>
        <w:pStyle w:val="SingleTxtG"/>
        <w:ind w:left="1701" w:hanging="567"/>
        <w:rPr>
          <w:lang w:val="fr-FR"/>
        </w:rPr>
      </w:pPr>
      <w:r w:rsidRPr="00D31769">
        <w:rPr>
          <w:lang w:val="fr-FR"/>
        </w:rPr>
        <w:t>8.</w:t>
      </w:r>
      <w:r w:rsidRPr="00D31769">
        <w:rPr>
          <w:lang w:val="fr-FR"/>
        </w:rPr>
        <w:tab/>
        <w:t>Systèmes de freinage des motocycles :</w:t>
      </w:r>
    </w:p>
    <w:p w:rsidR="00D31769" w:rsidRPr="00D31769" w:rsidRDefault="00D31769" w:rsidP="00792CC5">
      <w:pPr>
        <w:pStyle w:val="SingleTxtG"/>
        <w:ind w:left="2268" w:hanging="567"/>
        <w:rPr>
          <w:lang w:val="fr-FR"/>
        </w:rPr>
      </w:pPr>
      <w:r w:rsidRPr="00D31769">
        <w:rPr>
          <w:lang w:val="fr-FR"/>
        </w:rPr>
        <w:t>a)</w:t>
      </w:r>
      <w:r w:rsidRPr="00D31769">
        <w:rPr>
          <w:lang w:val="fr-FR"/>
        </w:rPr>
        <w:tab/>
        <w:t>Règlemen</w:t>
      </w:r>
      <w:r w:rsidR="00BB18EB">
        <w:rPr>
          <w:lang w:val="fr-FR"/>
        </w:rPr>
        <w:t xml:space="preserve">t technique mondial ONU </w:t>
      </w:r>
      <w:r w:rsidR="00BB18EB" w:rsidRPr="00BB18EB">
        <w:rPr>
          <w:rFonts w:eastAsia="MS Mincho"/>
          <w:szCs w:val="22"/>
          <w:lang w:val="fr-FR"/>
        </w:rPr>
        <w:t>n</w:t>
      </w:r>
      <w:r w:rsidR="00BB18EB" w:rsidRPr="00BB18EB">
        <w:rPr>
          <w:rFonts w:eastAsia="MS Mincho"/>
          <w:szCs w:val="22"/>
          <w:vertAlign w:val="superscript"/>
          <w:lang w:val="fr-FR"/>
        </w:rPr>
        <w:t>o</w:t>
      </w:r>
      <w:r w:rsidR="00FC0F2B">
        <w:rPr>
          <w:lang w:val="fr-FR"/>
        </w:rPr>
        <w:t> </w:t>
      </w:r>
      <w:r w:rsidRPr="00D31769">
        <w:rPr>
          <w:lang w:val="fr-FR"/>
        </w:rPr>
        <w:t>3 ;</w:t>
      </w:r>
    </w:p>
    <w:p w:rsidR="00D31769" w:rsidRPr="00D31769" w:rsidRDefault="00D31769" w:rsidP="00792CC5">
      <w:pPr>
        <w:pStyle w:val="SingleTxtG"/>
        <w:ind w:left="2268" w:hanging="567"/>
        <w:rPr>
          <w:lang w:val="fr-FR"/>
        </w:rPr>
      </w:pPr>
      <w:r w:rsidRPr="00D31769">
        <w:rPr>
          <w:lang w:val="fr-FR"/>
        </w:rPr>
        <w:t>b)</w:t>
      </w:r>
      <w:r w:rsidRPr="00D31769">
        <w:rPr>
          <w:lang w:val="fr-FR"/>
        </w:rPr>
        <w:tab/>
        <w:t>Règlement ONU n</w:t>
      </w:r>
      <w:r w:rsidRPr="00D31769">
        <w:rPr>
          <w:vertAlign w:val="superscript"/>
          <w:lang w:val="fr-FR"/>
        </w:rPr>
        <w:t>o</w:t>
      </w:r>
      <w:r w:rsidR="00FC0F2B">
        <w:rPr>
          <w:lang w:val="fr-FR"/>
        </w:rPr>
        <w:t> 7</w:t>
      </w:r>
      <w:r w:rsidRPr="00D31769">
        <w:rPr>
          <w:lang w:val="fr-FR"/>
        </w:rPr>
        <w:t>8.</w:t>
      </w:r>
    </w:p>
    <w:p w:rsidR="00D31769" w:rsidRPr="00D31769" w:rsidRDefault="00D31769" w:rsidP="00FC0F2B">
      <w:pPr>
        <w:pStyle w:val="SingleTxtG"/>
        <w:ind w:left="1701" w:hanging="567"/>
        <w:rPr>
          <w:lang w:val="fr-FR"/>
        </w:rPr>
      </w:pPr>
      <w:r w:rsidRPr="00D31769">
        <w:rPr>
          <w:lang w:val="fr-FR"/>
        </w:rPr>
        <w:t>9.</w:t>
      </w:r>
      <w:r w:rsidRPr="00D31769">
        <w:rPr>
          <w:lang w:val="fr-FR"/>
        </w:rPr>
        <w:tab/>
        <w:t>Règlement ONU n</w:t>
      </w:r>
      <w:r w:rsidRPr="00D31769">
        <w:rPr>
          <w:vertAlign w:val="superscript"/>
          <w:lang w:val="fr-FR"/>
        </w:rPr>
        <w:t>o</w:t>
      </w:r>
      <w:r w:rsidR="00FC0F2B">
        <w:rPr>
          <w:lang w:val="fr-FR"/>
        </w:rPr>
        <w:t> </w:t>
      </w:r>
      <w:r w:rsidRPr="00D31769">
        <w:rPr>
          <w:lang w:val="fr-FR"/>
        </w:rPr>
        <w:t>79.</w:t>
      </w:r>
    </w:p>
    <w:p w:rsidR="00D31769" w:rsidRPr="00D31769" w:rsidRDefault="00D31769" w:rsidP="00FC0F2B">
      <w:pPr>
        <w:pStyle w:val="SingleTxtG"/>
        <w:ind w:left="1701" w:hanging="567"/>
        <w:rPr>
          <w:lang w:val="fr-FR"/>
        </w:rPr>
      </w:pPr>
      <w:r w:rsidRPr="00D31769">
        <w:rPr>
          <w:lang w:val="fr-FR"/>
        </w:rPr>
        <w:t>10.</w:t>
      </w:r>
      <w:r w:rsidRPr="00D31769">
        <w:rPr>
          <w:lang w:val="fr-FR"/>
        </w:rPr>
        <w:tab/>
        <w:t>Règlement ONU n</w:t>
      </w:r>
      <w:r w:rsidRPr="00D31769">
        <w:rPr>
          <w:vertAlign w:val="superscript"/>
          <w:lang w:val="fr-FR"/>
        </w:rPr>
        <w:t>o</w:t>
      </w:r>
      <w:r w:rsidR="00FC0F2B">
        <w:rPr>
          <w:lang w:val="fr-FR"/>
        </w:rPr>
        <w:t> </w:t>
      </w:r>
      <w:r w:rsidRPr="00D31769">
        <w:rPr>
          <w:lang w:val="fr-FR"/>
        </w:rPr>
        <w:t>89.</w:t>
      </w:r>
    </w:p>
    <w:p w:rsidR="00D31769" w:rsidRPr="00D31769" w:rsidRDefault="00D31769" w:rsidP="00FC0F2B">
      <w:pPr>
        <w:pStyle w:val="SingleTxtG"/>
        <w:ind w:left="1701" w:hanging="567"/>
        <w:rPr>
          <w:lang w:val="fr-FR"/>
        </w:rPr>
      </w:pPr>
      <w:r w:rsidRPr="00D31769">
        <w:rPr>
          <w:lang w:val="fr-FR"/>
        </w:rPr>
        <w:t>11.</w:t>
      </w:r>
      <w:r w:rsidRPr="00D31769">
        <w:rPr>
          <w:lang w:val="fr-FR"/>
        </w:rPr>
        <w:tab/>
        <w:t>Règlement ONU n</w:t>
      </w:r>
      <w:r w:rsidRPr="00D31769">
        <w:rPr>
          <w:vertAlign w:val="superscript"/>
          <w:lang w:val="fr-FR"/>
        </w:rPr>
        <w:t>o</w:t>
      </w:r>
      <w:r w:rsidR="00FC0F2B">
        <w:rPr>
          <w:lang w:val="fr-FR"/>
        </w:rPr>
        <w:t> </w:t>
      </w:r>
      <w:r w:rsidRPr="00D31769">
        <w:rPr>
          <w:lang w:val="fr-FR"/>
        </w:rPr>
        <w:t>90.</w:t>
      </w:r>
    </w:p>
    <w:p w:rsidR="00D31769" w:rsidRPr="00D31769" w:rsidRDefault="00D31769" w:rsidP="00FC0F2B">
      <w:pPr>
        <w:pStyle w:val="SingleTxtG"/>
        <w:ind w:left="1701" w:hanging="567"/>
        <w:rPr>
          <w:lang w:val="fr-FR"/>
        </w:rPr>
      </w:pPr>
      <w:r w:rsidRPr="00D31769">
        <w:rPr>
          <w:lang w:val="fr-FR"/>
        </w:rPr>
        <w:t>12.</w:t>
      </w:r>
      <w:r w:rsidRPr="00D31769">
        <w:rPr>
          <w:lang w:val="fr-FR"/>
        </w:rPr>
        <w:tab/>
        <w:t>Révision 3 de l’Accord de 1958 :</w:t>
      </w:r>
    </w:p>
    <w:p w:rsidR="00D31769" w:rsidRPr="00D31769" w:rsidRDefault="00D31769" w:rsidP="00792CC5">
      <w:pPr>
        <w:pStyle w:val="SingleTxtG"/>
        <w:ind w:left="2268" w:hanging="567"/>
        <w:rPr>
          <w:lang w:val="fr-FR"/>
        </w:rPr>
      </w:pPr>
      <w:r w:rsidRPr="00D31769">
        <w:rPr>
          <w:lang w:val="fr-FR"/>
        </w:rPr>
        <w:t>a)</w:t>
      </w:r>
      <w:r w:rsidRPr="00D31769">
        <w:rPr>
          <w:lang w:val="fr-FR"/>
        </w:rPr>
        <w:tab/>
        <w:t>Application des nouvelles dispositions de la révision 3 de l’Accord de 1958 ;</w:t>
      </w:r>
    </w:p>
    <w:p w:rsidR="00D31769" w:rsidRPr="00D31769" w:rsidRDefault="00D31769" w:rsidP="00792CC5">
      <w:pPr>
        <w:pStyle w:val="SingleTxtG"/>
        <w:ind w:left="2268" w:hanging="567"/>
        <w:rPr>
          <w:b/>
          <w:lang w:val="fr-FR"/>
        </w:rPr>
      </w:pPr>
      <w:r w:rsidRPr="00D31769">
        <w:rPr>
          <w:lang w:val="fr-FR"/>
        </w:rPr>
        <w:t>b)</w:t>
      </w:r>
      <w:r w:rsidRPr="00D31769">
        <w:rPr>
          <w:lang w:val="fr-FR"/>
        </w:rPr>
        <w:tab/>
        <w:t>Homologation de type internationale de l’ensemble du véhicule.</w:t>
      </w:r>
    </w:p>
    <w:p w:rsidR="00D31769" w:rsidRPr="00D31769" w:rsidRDefault="00D31769" w:rsidP="00FC0F2B">
      <w:pPr>
        <w:pStyle w:val="SingleTxtG"/>
        <w:ind w:left="1701" w:hanging="567"/>
        <w:rPr>
          <w:lang w:val="fr-FR"/>
        </w:rPr>
      </w:pPr>
      <w:r w:rsidRPr="00D31769">
        <w:rPr>
          <w:lang w:val="fr-FR"/>
        </w:rPr>
        <w:t>13.</w:t>
      </w:r>
      <w:r w:rsidRPr="00D31769">
        <w:rPr>
          <w:lang w:val="fr-FR"/>
        </w:rPr>
        <w:tab/>
        <w:t>Élection du Bureau.</w:t>
      </w:r>
    </w:p>
    <w:p w:rsidR="00D31769" w:rsidRPr="00D31769" w:rsidRDefault="00D31769" w:rsidP="00FC0F2B">
      <w:pPr>
        <w:pStyle w:val="SingleTxtG"/>
        <w:ind w:left="1701" w:hanging="567"/>
        <w:rPr>
          <w:lang w:val="fr-FR"/>
        </w:rPr>
      </w:pPr>
      <w:r w:rsidRPr="00D31769">
        <w:rPr>
          <w:lang w:val="fr-FR"/>
        </w:rPr>
        <w:t>14.</w:t>
      </w:r>
      <w:r w:rsidRPr="00D31769">
        <w:rPr>
          <w:lang w:val="fr-FR"/>
        </w:rPr>
        <w:tab/>
        <w:t>Questions diverses.</w:t>
      </w:r>
    </w:p>
    <w:p w:rsidR="00D31769" w:rsidRPr="00D31769" w:rsidRDefault="00FC0F2B" w:rsidP="00FC0F2B">
      <w:pPr>
        <w:pStyle w:val="HChG"/>
        <w:rPr>
          <w:lang w:val="fr-FR"/>
        </w:rPr>
      </w:pPr>
      <w:r>
        <w:rPr>
          <w:lang w:val="fr-FR"/>
        </w:rPr>
        <w:tab/>
      </w:r>
      <w:r w:rsidR="00D31769" w:rsidRPr="00D31769">
        <w:rPr>
          <w:lang w:val="fr-FR"/>
        </w:rPr>
        <w:t>II.</w:t>
      </w:r>
      <w:r w:rsidR="00D31769" w:rsidRPr="00D31769">
        <w:rPr>
          <w:lang w:val="fr-FR"/>
        </w:rPr>
        <w:tab/>
        <w:t>Annotations et liste des documents</w:t>
      </w:r>
    </w:p>
    <w:p w:rsidR="00D31769" w:rsidRPr="00D31769" w:rsidRDefault="00FC0F2B" w:rsidP="00FC0F2B">
      <w:pPr>
        <w:pStyle w:val="H1G"/>
        <w:rPr>
          <w:lang w:val="fr-FR"/>
        </w:rPr>
      </w:pPr>
      <w:r>
        <w:rPr>
          <w:lang w:val="fr-FR"/>
        </w:rPr>
        <w:tab/>
      </w:r>
      <w:r w:rsidR="00D31769" w:rsidRPr="00D31769">
        <w:rPr>
          <w:lang w:val="fr-FR"/>
        </w:rPr>
        <w:t>1.</w:t>
      </w:r>
      <w:r w:rsidR="00D31769" w:rsidRPr="00D31769">
        <w:rPr>
          <w:lang w:val="fr-FR"/>
        </w:rPr>
        <w:tab/>
        <w:t>Adoption de l’ordre du jour</w:t>
      </w:r>
    </w:p>
    <w:p w:rsidR="00D31769" w:rsidRPr="00D31769" w:rsidRDefault="00D31769" w:rsidP="00FC0F2B">
      <w:pPr>
        <w:pStyle w:val="SingleTxtG"/>
        <w:ind w:firstLine="567"/>
        <w:rPr>
          <w:lang w:val="fr-FR"/>
        </w:rPr>
      </w:pPr>
      <w:r w:rsidRPr="00D31769">
        <w:rPr>
          <w:lang w:val="fr-FR"/>
        </w:rPr>
        <w:t>Conformément à l’article 7 du chapitre III du Règlement intérieur (ECE/TRANS/</w:t>
      </w:r>
      <w:r w:rsidR="000E58AA">
        <w:rPr>
          <w:lang w:val="fr-FR"/>
        </w:rPr>
        <w:t xml:space="preserve"> </w:t>
      </w:r>
      <w:r w:rsidRPr="00D31769">
        <w:rPr>
          <w:lang w:val="fr-FR"/>
        </w:rPr>
        <w:t>WP.29/690/Rev.1) du Forum mondial de l’harmonisation des Règlements concernant les véhicules (WP.29), le premier point de l’ordre du jour provisoire est l’adoption de l’ordre du jour.</w:t>
      </w:r>
    </w:p>
    <w:p w:rsidR="00D31769" w:rsidRPr="00D31769" w:rsidRDefault="00D31769" w:rsidP="00FC0F2B">
      <w:pPr>
        <w:pStyle w:val="SingleTxtG"/>
        <w:tabs>
          <w:tab w:val="left" w:pos="2552"/>
        </w:tabs>
        <w:rPr>
          <w:lang w:val="fr-FR"/>
        </w:rPr>
      </w:pPr>
      <w:r w:rsidRPr="00FC0F2B">
        <w:rPr>
          <w:b/>
          <w:i/>
          <w:lang w:val="fr-FR"/>
        </w:rPr>
        <w:t>Document(s)</w:t>
      </w:r>
      <w:r w:rsidRPr="00D31769">
        <w:rPr>
          <w:b/>
          <w:lang w:val="fr-FR"/>
        </w:rPr>
        <w:t> </w:t>
      </w:r>
      <w:r w:rsidRPr="00D31769">
        <w:rPr>
          <w:lang w:val="fr-FR"/>
        </w:rPr>
        <w:t>:</w:t>
      </w:r>
      <w:r w:rsidRPr="00D31769">
        <w:rPr>
          <w:lang w:val="fr-FR"/>
        </w:rPr>
        <w:tab/>
        <w:t>ECE/TRANS/WP.29/GRVA/2019/1.</w:t>
      </w:r>
    </w:p>
    <w:p w:rsidR="00D31769" w:rsidRPr="00D31769" w:rsidRDefault="00FC0F2B" w:rsidP="00FC0F2B">
      <w:pPr>
        <w:pStyle w:val="H1G"/>
        <w:rPr>
          <w:lang w:val="fr-FR"/>
        </w:rPr>
      </w:pPr>
      <w:r>
        <w:rPr>
          <w:lang w:val="fr-FR"/>
        </w:rPr>
        <w:lastRenderedPageBreak/>
        <w:tab/>
      </w:r>
      <w:r w:rsidR="00D31769" w:rsidRPr="00D31769">
        <w:rPr>
          <w:lang w:val="fr-FR"/>
        </w:rPr>
        <w:t>2.</w:t>
      </w:r>
      <w:r w:rsidR="00D31769" w:rsidRPr="00D31769">
        <w:rPr>
          <w:lang w:val="fr-FR"/>
        </w:rPr>
        <w:tab/>
        <w:t>Points à retenir de la session de novembre 2018 du WP.29</w:t>
      </w:r>
    </w:p>
    <w:p w:rsidR="00D31769" w:rsidRPr="00D31769" w:rsidRDefault="00D31769" w:rsidP="00FC0F2B">
      <w:pPr>
        <w:pStyle w:val="SingleTxtG"/>
        <w:tabs>
          <w:tab w:val="left" w:pos="2552"/>
        </w:tabs>
        <w:ind w:firstLine="567"/>
        <w:rPr>
          <w:lang w:val="fr-FR"/>
        </w:rPr>
      </w:pPr>
      <w:r w:rsidRPr="00D31769">
        <w:rPr>
          <w:lang w:val="fr-FR"/>
        </w:rPr>
        <w:t>Le GRVA voudra sans doute être informé par le secrétariat des points à retenir de la session de novembre 2018 du WP.29 sur des questions qui le concernent et sur des questions communes.</w:t>
      </w:r>
    </w:p>
    <w:p w:rsidR="00D31769" w:rsidRPr="00D31769" w:rsidRDefault="00D31769" w:rsidP="00FC0F2B">
      <w:pPr>
        <w:pStyle w:val="SingleTxtG"/>
        <w:tabs>
          <w:tab w:val="left" w:pos="2552"/>
        </w:tabs>
        <w:rPr>
          <w:lang w:val="fr-FR"/>
        </w:rPr>
      </w:pPr>
      <w:r w:rsidRPr="00FC0F2B">
        <w:rPr>
          <w:b/>
          <w:i/>
          <w:lang w:val="fr-FR"/>
        </w:rPr>
        <w:t>Document(s)</w:t>
      </w:r>
      <w:r w:rsidRPr="00D31769">
        <w:rPr>
          <w:b/>
          <w:lang w:val="fr-FR"/>
        </w:rPr>
        <w:t> </w:t>
      </w:r>
      <w:r w:rsidRPr="00D31769">
        <w:rPr>
          <w:lang w:val="fr-FR"/>
        </w:rPr>
        <w:t>:</w:t>
      </w:r>
      <w:r w:rsidRPr="00D31769">
        <w:rPr>
          <w:lang w:val="fr-FR"/>
        </w:rPr>
        <w:tab/>
        <w:t>ECE/TRANS/WP.29/1142.</w:t>
      </w:r>
    </w:p>
    <w:p w:rsidR="00D31769" w:rsidRPr="00D31769" w:rsidRDefault="00FC0F2B" w:rsidP="00792CC5">
      <w:pPr>
        <w:pStyle w:val="H1G"/>
        <w:spacing w:before="340"/>
        <w:rPr>
          <w:lang w:val="fr-FR"/>
        </w:rPr>
      </w:pPr>
      <w:r>
        <w:rPr>
          <w:lang w:val="fr-FR"/>
        </w:rPr>
        <w:tab/>
      </w:r>
      <w:r w:rsidR="00D31769" w:rsidRPr="00D31769">
        <w:rPr>
          <w:lang w:val="fr-FR"/>
        </w:rPr>
        <w:t>3.</w:t>
      </w:r>
      <w:r w:rsidR="00D31769" w:rsidRPr="00D31769">
        <w:rPr>
          <w:lang w:val="fr-FR"/>
        </w:rPr>
        <w:tab/>
        <w:t>Échange de vues sur les priorités de travail et la structure des groupes de travail informels du GRVA</w:t>
      </w:r>
    </w:p>
    <w:p w:rsidR="00D31769" w:rsidRPr="00D31769" w:rsidRDefault="00D31769" w:rsidP="00FC0F2B">
      <w:pPr>
        <w:pStyle w:val="SingleTxtG"/>
        <w:ind w:firstLine="567"/>
        <w:rPr>
          <w:lang w:val="fr-FR"/>
        </w:rPr>
      </w:pPr>
      <w:r w:rsidRPr="00D31769">
        <w:rPr>
          <w:lang w:val="fr-FR"/>
        </w:rPr>
        <w:t>Le GRVA examinera les priorités de travail pour 2019, comme suite à la décision du WP.29 (voir le rapport de session publié sous la cote ECE/TRANS/WP.29/1142) de préparer l’examen de cette question aux sessions de mars 2019 du WP.29 et du Comité exécutif (AC.3).</w:t>
      </w:r>
    </w:p>
    <w:p w:rsidR="00D31769" w:rsidRPr="00D31769" w:rsidRDefault="00D31769" w:rsidP="00FC0F2B">
      <w:pPr>
        <w:pStyle w:val="SingleTxtG"/>
        <w:ind w:firstLine="567"/>
        <w:rPr>
          <w:lang w:val="fr-FR"/>
        </w:rPr>
      </w:pPr>
      <w:r w:rsidRPr="00D31769">
        <w:rPr>
          <w:lang w:val="fr-FR"/>
        </w:rPr>
        <w:t xml:space="preserve">Le GRVA souhaitera probablement réfléchir aux dispositions à prendre sur le plan organisationnel pour tenir compte au mieux des priorités de travail. </w:t>
      </w:r>
    </w:p>
    <w:p w:rsidR="00D31769" w:rsidRPr="00D31769" w:rsidRDefault="00D31769" w:rsidP="000E58AA">
      <w:pPr>
        <w:pStyle w:val="SingleTxtG"/>
        <w:ind w:left="2552" w:hanging="1418"/>
        <w:rPr>
          <w:b/>
          <w:lang w:val="fr-FR"/>
        </w:rPr>
      </w:pPr>
      <w:r w:rsidRPr="000E58AA">
        <w:rPr>
          <w:b/>
          <w:i/>
          <w:lang w:val="fr-FR"/>
        </w:rPr>
        <w:t>Document(s)</w:t>
      </w:r>
      <w:r w:rsidRPr="00D31769">
        <w:rPr>
          <w:b/>
          <w:lang w:val="fr-FR"/>
        </w:rPr>
        <w:t> </w:t>
      </w:r>
      <w:r w:rsidRPr="00D31769">
        <w:rPr>
          <w:lang w:val="fr-FR"/>
        </w:rPr>
        <w:t>:</w:t>
      </w:r>
      <w:r w:rsidRPr="00D31769">
        <w:rPr>
          <w:lang w:val="fr-FR"/>
        </w:rPr>
        <w:tab/>
      </w:r>
      <w:r w:rsidR="000E58AA">
        <w:rPr>
          <w:lang w:val="fr-FR"/>
        </w:rPr>
        <w:t>ECE/TRANS/WP.29/1142</w:t>
      </w:r>
      <w:r w:rsidR="000E58AA">
        <w:rPr>
          <w:lang w:val="fr-FR"/>
        </w:rPr>
        <w:br/>
      </w:r>
      <w:r w:rsidRPr="00D31769">
        <w:rPr>
          <w:lang w:val="fr-FR"/>
        </w:rPr>
        <w:t>(WP.29-176-28</w:t>
      </w:r>
      <w:r w:rsidR="000E58AA">
        <w:rPr>
          <w:lang w:val="fr-FR"/>
        </w:rPr>
        <w:t>).</w:t>
      </w:r>
    </w:p>
    <w:p w:rsidR="00D31769" w:rsidRPr="00792CC5" w:rsidRDefault="000E58AA" w:rsidP="00792CC5">
      <w:pPr>
        <w:pStyle w:val="H1G"/>
        <w:spacing w:before="340"/>
        <w:rPr>
          <w:spacing w:val="-2"/>
          <w:lang w:val="fr-FR"/>
        </w:rPr>
      </w:pPr>
      <w:r>
        <w:rPr>
          <w:lang w:val="fr-FR"/>
        </w:rPr>
        <w:tab/>
      </w:r>
      <w:r w:rsidR="00D31769" w:rsidRPr="00D31769">
        <w:rPr>
          <w:lang w:val="fr-FR"/>
        </w:rPr>
        <w:t>4.</w:t>
      </w:r>
      <w:r w:rsidR="00D31769" w:rsidRPr="00D31769">
        <w:rPr>
          <w:lang w:val="fr-FR"/>
        </w:rPr>
        <w:tab/>
      </w:r>
      <w:r w:rsidR="00D31769" w:rsidRPr="00792CC5">
        <w:rPr>
          <w:spacing w:val="-2"/>
          <w:lang w:val="fr-FR"/>
        </w:rPr>
        <w:t>Échange de vues sur les orientations et les activités nationales pertinentes</w:t>
      </w:r>
    </w:p>
    <w:p w:rsidR="00D31769" w:rsidRPr="00D31769" w:rsidRDefault="00D31769" w:rsidP="00FC0F2B">
      <w:pPr>
        <w:pStyle w:val="SingleTxtG"/>
        <w:ind w:firstLine="567"/>
        <w:rPr>
          <w:lang w:val="fr-FR"/>
        </w:rPr>
      </w:pPr>
      <w:r w:rsidRPr="00D31769">
        <w:rPr>
          <w:lang w:val="fr-FR"/>
        </w:rPr>
        <w:t>Le GRVA voudra sans doute être informé des activités nationales relatives à l’automatisation des véhicules, le cas échéant, et étudier la possibilité d’harmoniser les modalités d’élaboration des documents énonçant des orientations à court terme.</w:t>
      </w:r>
    </w:p>
    <w:p w:rsidR="00D31769" w:rsidRPr="00D31769" w:rsidRDefault="000E58AA" w:rsidP="00792CC5">
      <w:pPr>
        <w:pStyle w:val="H1G"/>
        <w:spacing w:before="340"/>
        <w:rPr>
          <w:lang w:val="fr-FR"/>
        </w:rPr>
      </w:pPr>
      <w:r>
        <w:rPr>
          <w:lang w:val="fr-FR"/>
        </w:rPr>
        <w:tab/>
      </w:r>
      <w:r w:rsidR="00D31769" w:rsidRPr="00D31769">
        <w:rPr>
          <w:lang w:val="fr-FR"/>
        </w:rPr>
        <w:t>5.</w:t>
      </w:r>
      <w:r w:rsidR="00D31769" w:rsidRPr="00D31769">
        <w:rPr>
          <w:lang w:val="fr-FR"/>
        </w:rPr>
        <w:tab/>
        <w:t>Véhicules automatisés/autonomes et connectés :</w:t>
      </w:r>
    </w:p>
    <w:p w:rsidR="00D31769" w:rsidRPr="00D31769" w:rsidRDefault="000E58AA" w:rsidP="000E58AA">
      <w:pPr>
        <w:pStyle w:val="H23G"/>
        <w:rPr>
          <w:lang w:val="fr-FR"/>
        </w:rPr>
      </w:pPr>
      <w:r>
        <w:rPr>
          <w:lang w:val="fr-FR"/>
        </w:rPr>
        <w:tab/>
      </w:r>
      <w:r w:rsidR="00D31769" w:rsidRPr="00D31769">
        <w:rPr>
          <w:lang w:val="fr-FR"/>
        </w:rPr>
        <w:t>a)</w:t>
      </w:r>
      <w:r w:rsidR="00D31769" w:rsidRPr="00D31769">
        <w:rPr>
          <w:lang w:val="fr-FR"/>
        </w:rPr>
        <w:tab/>
        <w:t>Équipe spéciale des essais des véhicules a</w:t>
      </w:r>
      <w:r w:rsidR="00BB18EB">
        <w:rPr>
          <w:lang w:val="fr-FR"/>
        </w:rPr>
        <w:t>utomatisés et ses sous-groupes</w:t>
      </w:r>
    </w:p>
    <w:p w:rsidR="00D31769" w:rsidRPr="00D31769" w:rsidRDefault="00D31769" w:rsidP="00FC0F2B">
      <w:pPr>
        <w:pStyle w:val="SingleTxtG"/>
        <w:ind w:firstLine="567"/>
        <w:rPr>
          <w:lang w:val="fr-FR"/>
        </w:rPr>
      </w:pPr>
      <w:r w:rsidRPr="00D31769">
        <w:rPr>
          <w:lang w:val="fr-FR"/>
        </w:rPr>
        <w:t>Le GRVA souhaitera probablement être informé des résultats des réunions tenues par l’équipe spéciale des essais des véhicules automatisés et ses sous-groupes 1 et 2, et examiner une proposition de mandat et de règlement intérieur.</w:t>
      </w:r>
    </w:p>
    <w:p w:rsidR="00D31769" w:rsidRPr="00D31769" w:rsidRDefault="00D31769" w:rsidP="00FC0F2B">
      <w:pPr>
        <w:pStyle w:val="SingleTxtG"/>
        <w:ind w:firstLine="567"/>
        <w:rPr>
          <w:lang w:val="fr-FR"/>
        </w:rPr>
      </w:pPr>
      <w:r w:rsidRPr="00D31769">
        <w:rPr>
          <w:lang w:val="fr-FR"/>
        </w:rPr>
        <w:t>Le GRVA voudra peut-être examiner un document soumis par l’expert de l’Organisation internationale des constructeurs d’automobiles (OICA), contenant une proposition pour la certification des systèmes de conduite automatisés/autonomes en trois étapes.</w:t>
      </w:r>
    </w:p>
    <w:p w:rsidR="00D31769" w:rsidRPr="00D31769" w:rsidRDefault="00D31769" w:rsidP="00D31769">
      <w:pPr>
        <w:pStyle w:val="SingleTxtG"/>
        <w:rPr>
          <w:lang w:val="fr-FR"/>
        </w:rPr>
      </w:pPr>
      <w:r w:rsidRPr="000E58AA">
        <w:rPr>
          <w:b/>
          <w:i/>
          <w:lang w:val="fr-FR"/>
        </w:rPr>
        <w:t>Document(s)</w:t>
      </w:r>
      <w:r w:rsidRPr="00D31769">
        <w:rPr>
          <w:b/>
          <w:lang w:val="fr-FR"/>
        </w:rPr>
        <w:t> </w:t>
      </w:r>
      <w:r w:rsidRPr="00D31769">
        <w:rPr>
          <w:lang w:val="fr-FR"/>
        </w:rPr>
        <w:t>:</w:t>
      </w:r>
      <w:r w:rsidRPr="00D31769">
        <w:rPr>
          <w:lang w:val="fr-FR"/>
        </w:rPr>
        <w:tab/>
        <w:t>ECE/TRANS/WP.29/GRVA/2019/13.</w:t>
      </w:r>
    </w:p>
    <w:p w:rsidR="00D31769" w:rsidRPr="00D31769" w:rsidRDefault="000E58AA" w:rsidP="000E58AA">
      <w:pPr>
        <w:pStyle w:val="H23G"/>
        <w:rPr>
          <w:lang w:val="fr-FR"/>
        </w:rPr>
      </w:pPr>
      <w:r>
        <w:rPr>
          <w:lang w:val="fr-FR"/>
        </w:rPr>
        <w:tab/>
      </w:r>
      <w:r w:rsidR="00D31769" w:rsidRPr="00D31769">
        <w:rPr>
          <w:lang w:val="fr-FR"/>
        </w:rPr>
        <w:t>b)</w:t>
      </w:r>
      <w:r w:rsidR="00D31769" w:rsidRPr="00D31769">
        <w:rPr>
          <w:lang w:val="fr-FR"/>
        </w:rPr>
        <w:tab/>
        <w:t>Cybersécurité et protection des données</w:t>
      </w:r>
    </w:p>
    <w:p w:rsidR="00D31769" w:rsidRPr="00D31769" w:rsidRDefault="00D31769" w:rsidP="00FC0F2B">
      <w:pPr>
        <w:pStyle w:val="SingleTxtG"/>
        <w:ind w:firstLine="567"/>
        <w:rPr>
          <w:lang w:val="fr-FR"/>
        </w:rPr>
      </w:pPr>
      <w:r w:rsidRPr="00D31769">
        <w:rPr>
          <w:lang w:val="fr-FR"/>
        </w:rPr>
        <w:t>Le GRVA a décidé d’examiner les propositions de recommandation et de règlement élaborées par l’équipe spéciale de la cybersécurité et des questions de sûreté des transmissions sans fil, et de déterminer quelles activités de suivi mener sur cette question.</w:t>
      </w:r>
    </w:p>
    <w:p w:rsidR="00D31769" w:rsidRPr="00D31769" w:rsidRDefault="00D31769" w:rsidP="00D31769">
      <w:pPr>
        <w:pStyle w:val="SingleTxtG"/>
        <w:rPr>
          <w:lang w:val="fr-FR"/>
        </w:rPr>
      </w:pPr>
      <w:r w:rsidRPr="000E58AA">
        <w:rPr>
          <w:b/>
          <w:i/>
          <w:lang w:val="fr-FR"/>
        </w:rPr>
        <w:t>Document(s)</w:t>
      </w:r>
      <w:r w:rsidRPr="00D31769">
        <w:rPr>
          <w:b/>
          <w:lang w:val="fr-FR"/>
        </w:rPr>
        <w:t> </w:t>
      </w:r>
      <w:r w:rsidRPr="00D31769">
        <w:rPr>
          <w:lang w:val="fr-FR"/>
        </w:rPr>
        <w:t xml:space="preserve">: </w:t>
      </w:r>
      <w:r w:rsidRPr="00D31769">
        <w:rPr>
          <w:lang w:val="fr-FR"/>
        </w:rPr>
        <w:tab/>
        <w:t>ECE/TRANS/WP.29/GRVA/2019/2.</w:t>
      </w:r>
    </w:p>
    <w:p w:rsidR="00D31769" w:rsidRPr="00D31769" w:rsidRDefault="000E58AA" w:rsidP="000E58AA">
      <w:pPr>
        <w:pStyle w:val="H23G"/>
        <w:rPr>
          <w:lang w:val="fr-FR"/>
        </w:rPr>
      </w:pPr>
      <w:r>
        <w:rPr>
          <w:lang w:val="fr-FR"/>
        </w:rPr>
        <w:tab/>
      </w:r>
      <w:r w:rsidR="00D31769" w:rsidRPr="00D31769">
        <w:rPr>
          <w:lang w:val="fr-FR"/>
        </w:rPr>
        <w:t>c)</w:t>
      </w:r>
      <w:r w:rsidR="00D31769" w:rsidRPr="00D31769">
        <w:rPr>
          <w:lang w:val="fr-FR"/>
        </w:rPr>
        <w:tab/>
        <w:t>Mises à jour de logiciels (y compris les mises à jour à distance)</w:t>
      </w:r>
    </w:p>
    <w:p w:rsidR="00D31769" w:rsidRPr="00D31769" w:rsidRDefault="00D31769" w:rsidP="00FC0F2B">
      <w:pPr>
        <w:pStyle w:val="SingleTxtG"/>
        <w:ind w:firstLine="567"/>
        <w:rPr>
          <w:lang w:val="fr-FR"/>
        </w:rPr>
      </w:pPr>
      <w:r w:rsidRPr="00D31769">
        <w:rPr>
          <w:lang w:val="fr-FR"/>
        </w:rPr>
        <w:t>Le GRVA a décidé d’examiner les propositions de recommandation et de règlement élaborées par l’Équipe spéciale de la cybersécurité et des questions de sûreté des transmissions sans fil, et de déterminer quelles activités de suivi mener sur cette question.</w:t>
      </w:r>
    </w:p>
    <w:p w:rsidR="00D31769" w:rsidRPr="00D31769" w:rsidRDefault="00D31769" w:rsidP="00D31769">
      <w:pPr>
        <w:pStyle w:val="SingleTxtG"/>
        <w:rPr>
          <w:lang w:val="fr-FR"/>
        </w:rPr>
      </w:pPr>
      <w:r w:rsidRPr="000E58AA">
        <w:rPr>
          <w:b/>
          <w:i/>
          <w:lang w:val="fr-FR"/>
        </w:rPr>
        <w:t>Document(s)</w:t>
      </w:r>
      <w:r w:rsidRPr="00D31769">
        <w:rPr>
          <w:b/>
          <w:lang w:val="fr-FR"/>
        </w:rPr>
        <w:t> </w:t>
      </w:r>
      <w:r w:rsidRPr="00D31769">
        <w:rPr>
          <w:lang w:val="fr-FR"/>
        </w:rPr>
        <w:t>:</w:t>
      </w:r>
      <w:r w:rsidRPr="00D31769">
        <w:rPr>
          <w:lang w:val="fr-FR"/>
        </w:rPr>
        <w:tab/>
        <w:t>ECE/TRANS/WP.29/GRVA/2019/3. </w:t>
      </w:r>
    </w:p>
    <w:p w:rsidR="00D31769" w:rsidRPr="00D31769" w:rsidRDefault="000E58AA" w:rsidP="00F833C4">
      <w:pPr>
        <w:pStyle w:val="H23G"/>
        <w:rPr>
          <w:lang w:val="fr-FR"/>
        </w:rPr>
      </w:pPr>
      <w:r>
        <w:rPr>
          <w:lang w:val="fr-FR"/>
        </w:rPr>
        <w:lastRenderedPageBreak/>
        <w:tab/>
      </w:r>
      <w:r w:rsidR="00D31769" w:rsidRPr="00D31769">
        <w:rPr>
          <w:lang w:val="fr-FR"/>
        </w:rPr>
        <w:t>d)</w:t>
      </w:r>
      <w:r w:rsidR="00D31769" w:rsidRPr="00D31769">
        <w:rPr>
          <w:lang w:val="fr-FR"/>
        </w:rPr>
        <w:tab/>
        <w:t>Fonction de direction à commande automatique</w:t>
      </w:r>
    </w:p>
    <w:p w:rsidR="00D31769" w:rsidRPr="00D31769" w:rsidRDefault="00D31769" w:rsidP="00F833C4">
      <w:pPr>
        <w:pStyle w:val="SingleTxtG"/>
        <w:keepNext/>
        <w:keepLines/>
        <w:ind w:firstLine="567"/>
        <w:rPr>
          <w:lang w:val="fr-FR"/>
        </w:rPr>
      </w:pPr>
      <w:r w:rsidRPr="00D31769">
        <w:rPr>
          <w:lang w:val="fr-FR"/>
        </w:rPr>
        <w:t>Le GRVA a décidé d’examiner une éventuelle proposition de nouveau Règlement ONU ou de prescriptions techniques et fonctionnelles principales relatives à la fonction de maintien automatique dans la voie sur autoroute, élaborée par le groupe de travail informel des fonctions de direction à commande automatique (ACSF).</w:t>
      </w:r>
    </w:p>
    <w:p w:rsidR="00D31769" w:rsidRPr="00D31769" w:rsidRDefault="00D31769" w:rsidP="00FC0F2B">
      <w:pPr>
        <w:pStyle w:val="SingleTxtG"/>
        <w:ind w:firstLine="567"/>
        <w:rPr>
          <w:lang w:val="fr-FR"/>
        </w:rPr>
      </w:pPr>
      <w:r w:rsidRPr="00D31769">
        <w:rPr>
          <w:lang w:val="fr-FR"/>
        </w:rPr>
        <w:t>Le GRVA a décidé d’examiner une proposition de l’expert de la France visant à modifier les prescriptions d’essai des ACSF, ainsi qu’une nouvelle proposition visant à préciser les prescriptions relatives aux ACSF et aux fonctions de direction corrective.</w:t>
      </w:r>
    </w:p>
    <w:p w:rsidR="00D31769" w:rsidRPr="00D31769" w:rsidRDefault="00D31769" w:rsidP="000E58AA">
      <w:pPr>
        <w:pStyle w:val="SingleTxtG"/>
        <w:ind w:left="2552" w:hanging="1418"/>
        <w:rPr>
          <w:lang w:val="fr-FR"/>
        </w:rPr>
      </w:pPr>
      <w:r w:rsidRPr="000E58AA">
        <w:rPr>
          <w:b/>
          <w:i/>
          <w:lang w:val="fr-FR"/>
        </w:rPr>
        <w:t>Document(s)</w:t>
      </w:r>
      <w:r w:rsidRPr="00D31769">
        <w:rPr>
          <w:b/>
          <w:lang w:val="fr-FR"/>
        </w:rPr>
        <w:t> </w:t>
      </w:r>
      <w:r w:rsidRPr="00D31769">
        <w:rPr>
          <w:lang w:val="fr-FR"/>
        </w:rPr>
        <w:t>:</w:t>
      </w:r>
      <w:r w:rsidRPr="00D31769">
        <w:rPr>
          <w:lang w:val="fr-FR"/>
        </w:rPr>
        <w:tab/>
      </w:r>
      <w:r w:rsidR="000E58AA">
        <w:rPr>
          <w:lang w:val="fr-FR"/>
        </w:rPr>
        <w:t>ECE/TRANS/WP.29/GRVA/2019/9</w:t>
      </w:r>
      <w:r w:rsidR="000E58AA">
        <w:rPr>
          <w:lang w:val="fr-FR"/>
        </w:rPr>
        <w:br/>
      </w:r>
      <w:r w:rsidRPr="00D31769">
        <w:rPr>
          <w:lang w:val="fr-FR"/>
        </w:rPr>
        <w:t>ECE/TRANS/WP.29/GRVA/2019/10.</w:t>
      </w:r>
    </w:p>
    <w:p w:rsidR="00D31769" w:rsidRPr="00D31769" w:rsidRDefault="000E58AA" w:rsidP="000E58AA">
      <w:pPr>
        <w:pStyle w:val="H23G"/>
        <w:rPr>
          <w:lang w:val="fr-FR"/>
        </w:rPr>
      </w:pPr>
      <w:r>
        <w:rPr>
          <w:lang w:val="fr-FR"/>
        </w:rPr>
        <w:tab/>
      </w:r>
      <w:r w:rsidR="00D31769" w:rsidRPr="00D31769">
        <w:rPr>
          <w:lang w:val="fr-FR"/>
        </w:rPr>
        <w:t>e)</w:t>
      </w:r>
      <w:r w:rsidR="00D31769" w:rsidRPr="00D31769">
        <w:rPr>
          <w:lang w:val="fr-FR"/>
        </w:rPr>
        <w:tab/>
        <w:t>Prescriptions relatives aux systèmes complexes de commande électronique</w:t>
      </w:r>
    </w:p>
    <w:p w:rsidR="00D31769" w:rsidRPr="00D31769" w:rsidRDefault="00D31769" w:rsidP="00FC0F2B">
      <w:pPr>
        <w:pStyle w:val="SingleTxtG"/>
        <w:ind w:firstLine="567"/>
        <w:rPr>
          <w:lang w:val="fr-FR"/>
        </w:rPr>
      </w:pPr>
      <w:r w:rsidRPr="00D31769">
        <w:rPr>
          <w:lang w:val="fr-FR"/>
        </w:rPr>
        <w:t>Le GRVA a décidé d’examiner une proposition de l’expert du Royaume-Uni de Grande-Bretagne et d’Irlande du Nord, portant sur la fiabilité des systèmes, notamment en ce qui concerne les prescriptions relatives aux systèmes complexes de commande électronique, les essais et les questions de chevauchements d’activités.</w:t>
      </w:r>
    </w:p>
    <w:p w:rsidR="00D31769" w:rsidRPr="00D31769" w:rsidRDefault="00D31769" w:rsidP="00BD7F67">
      <w:pPr>
        <w:pStyle w:val="SingleTxtG"/>
        <w:ind w:left="2552" w:hanging="1418"/>
        <w:rPr>
          <w:b/>
          <w:lang w:val="fr-FR"/>
        </w:rPr>
      </w:pPr>
      <w:r w:rsidRPr="000E58AA">
        <w:rPr>
          <w:b/>
          <w:i/>
          <w:lang w:val="fr-FR"/>
        </w:rPr>
        <w:t>Document(s)</w:t>
      </w:r>
      <w:r w:rsidRPr="00D31769">
        <w:rPr>
          <w:b/>
          <w:lang w:val="fr-FR"/>
        </w:rPr>
        <w:t> </w:t>
      </w:r>
      <w:r w:rsidRPr="00D31769">
        <w:rPr>
          <w:lang w:val="fr-FR"/>
        </w:rPr>
        <w:t>:</w:t>
      </w:r>
      <w:r w:rsidRPr="00D31769">
        <w:rPr>
          <w:lang w:val="fr-FR"/>
        </w:rPr>
        <w:tab/>
        <w:t>ECE/TRANS/WP.29/GRVA/2019/4.</w:t>
      </w:r>
    </w:p>
    <w:p w:rsidR="00D31769" w:rsidRPr="00D31769" w:rsidRDefault="000E58AA" w:rsidP="000E58AA">
      <w:pPr>
        <w:pStyle w:val="H1G"/>
        <w:rPr>
          <w:lang w:val="fr-FR"/>
        </w:rPr>
      </w:pPr>
      <w:r>
        <w:rPr>
          <w:lang w:val="fr-FR"/>
        </w:rPr>
        <w:tab/>
      </w:r>
      <w:r w:rsidR="00D31769" w:rsidRPr="00D31769">
        <w:rPr>
          <w:lang w:val="fr-FR"/>
        </w:rPr>
        <w:t>6.</w:t>
      </w:r>
      <w:r w:rsidR="00D31769" w:rsidRPr="00D31769">
        <w:rPr>
          <w:lang w:val="fr-FR"/>
        </w:rPr>
        <w:tab/>
        <w:t>Systèmes actifs de freinage d’urgence</w:t>
      </w:r>
    </w:p>
    <w:p w:rsidR="00D31769" w:rsidRPr="00D31769" w:rsidRDefault="00D31769" w:rsidP="00FC0F2B">
      <w:pPr>
        <w:pStyle w:val="SingleTxtG"/>
        <w:ind w:firstLine="567"/>
        <w:rPr>
          <w:lang w:val="fr-FR"/>
        </w:rPr>
      </w:pPr>
      <w:r w:rsidRPr="00D31769">
        <w:rPr>
          <w:lang w:val="fr-FR"/>
        </w:rPr>
        <w:t>Le GRVA a décidé d’examiner une éventuelle proposition révisée de série 03 d’amendements au Règlement ONU n</w:t>
      </w:r>
      <w:r w:rsidRPr="00D31769">
        <w:rPr>
          <w:vertAlign w:val="superscript"/>
          <w:lang w:val="fr-FR"/>
        </w:rPr>
        <w:t>o</w:t>
      </w:r>
      <w:r w:rsidR="00BB18EB">
        <w:rPr>
          <w:lang w:val="fr-FR"/>
        </w:rPr>
        <w:t> </w:t>
      </w:r>
      <w:r w:rsidRPr="00D31769">
        <w:rPr>
          <w:lang w:val="fr-FR"/>
        </w:rPr>
        <w:t>131 sur les systèmes actifs de freinage d’urgence (AEBS), élaborée par l’expert de l’Allemagne.</w:t>
      </w:r>
    </w:p>
    <w:p w:rsidR="00D31769" w:rsidRPr="00D31769" w:rsidRDefault="00D31769" w:rsidP="00BD7F67">
      <w:pPr>
        <w:pStyle w:val="SingleTxtG"/>
        <w:ind w:left="2552" w:hanging="1418"/>
        <w:rPr>
          <w:lang w:val="fr-FR"/>
        </w:rPr>
      </w:pPr>
      <w:r w:rsidRPr="000E58AA">
        <w:rPr>
          <w:b/>
          <w:i/>
          <w:lang w:val="fr-FR"/>
        </w:rPr>
        <w:t>Document(s)</w:t>
      </w:r>
      <w:r w:rsidRPr="00D31769">
        <w:rPr>
          <w:b/>
          <w:lang w:val="fr-FR"/>
        </w:rPr>
        <w:t> </w:t>
      </w:r>
      <w:r w:rsidRPr="00D31769">
        <w:rPr>
          <w:lang w:val="fr-FR"/>
        </w:rPr>
        <w:t>:</w:t>
      </w:r>
      <w:r w:rsidRPr="00D31769">
        <w:rPr>
          <w:lang w:val="fr-FR"/>
        </w:rPr>
        <w:tab/>
        <w:t>(ECE/TRANS/WP.29/GRVA/2018/4).</w:t>
      </w:r>
    </w:p>
    <w:p w:rsidR="00D31769" w:rsidRPr="00D31769" w:rsidRDefault="00D31769" w:rsidP="00FC0F2B">
      <w:pPr>
        <w:pStyle w:val="SingleTxtG"/>
        <w:ind w:firstLine="567"/>
        <w:rPr>
          <w:lang w:val="fr-FR"/>
        </w:rPr>
      </w:pPr>
      <w:r w:rsidRPr="00D31769">
        <w:rPr>
          <w:lang w:val="fr-FR"/>
        </w:rPr>
        <w:t>Le GRVA a décidé de recevoir un rapport de situation et d’examiner une proposition de nouveau Règlement ONU élaborée par le groupe de travail informel des AEBS.</w:t>
      </w:r>
    </w:p>
    <w:p w:rsidR="00D31769" w:rsidRPr="00D31769" w:rsidRDefault="00D31769" w:rsidP="00BD7F67">
      <w:pPr>
        <w:pStyle w:val="SingleTxtG"/>
        <w:ind w:left="2552" w:hanging="1418"/>
        <w:rPr>
          <w:lang w:val="fr-FR"/>
        </w:rPr>
      </w:pPr>
      <w:r w:rsidRPr="000E58AA">
        <w:rPr>
          <w:b/>
          <w:i/>
          <w:lang w:val="fr-FR"/>
        </w:rPr>
        <w:t>Document(s)</w:t>
      </w:r>
      <w:r w:rsidRPr="00D31769">
        <w:rPr>
          <w:b/>
          <w:lang w:val="fr-FR"/>
        </w:rPr>
        <w:t> </w:t>
      </w:r>
      <w:r w:rsidRPr="00D31769">
        <w:rPr>
          <w:lang w:val="fr-FR"/>
        </w:rPr>
        <w:t>:</w:t>
      </w:r>
      <w:r w:rsidRPr="00D31769">
        <w:rPr>
          <w:lang w:val="fr-FR"/>
        </w:rPr>
        <w:tab/>
        <w:t>ECE/TRANS/WP.29/GRVA/2019/5.</w:t>
      </w:r>
    </w:p>
    <w:p w:rsidR="00D31769" w:rsidRPr="00D31769" w:rsidRDefault="000E58AA" w:rsidP="000E58AA">
      <w:pPr>
        <w:pStyle w:val="H1G"/>
        <w:rPr>
          <w:lang w:val="fr-FR"/>
        </w:rPr>
      </w:pPr>
      <w:r>
        <w:rPr>
          <w:lang w:val="fr-FR"/>
        </w:rPr>
        <w:tab/>
      </w:r>
      <w:r w:rsidR="00D31769" w:rsidRPr="00D31769">
        <w:rPr>
          <w:lang w:val="fr-FR"/>
        </w:rPr>
        <w:t>7.</w:t>
      </w:r>
      <w:r w:rsidR="00D31769" w:rsidRPr="00D31769">
        <w:rPr>
          <w:lang w:val="fr-FR"/>
        </w:rPr>
        <w:tab/>
        <w:t>Règlements ONU n</w:t>
      </w:r>
      <w:r w:rsidR="00D31769" w:rsidRPr="00D31769">
        <w:rPr>
          <w:vertAlign w:val="superscript"/>
          <w:lang w:val="fr-FR"/>
        </w:rPr>
        <w:t>os</w:t>
      </w:r>
      <w:r>
        <w:rPr>
          <w:lang w:val="fr-FR"/>
        </w:rPr>
        <w:t> </w:t>
      </w:r>
      <w:r w:rsidR="00D31769" w:rsidRPr="00D31769">
        <w:rPr>
          <w:lang w:val="fr-FR"/>
        </w:rPr>
        <w:t>13, 13-H, 139 et 140</w:t>
      </w:r>
    </w:p>
    <w:p w:rsidR="00D31769" w:rsidRPr="00D31769" w:rsidRDefault="000E58AA" w:rsidP="000E58AA">
      <w:pPr>
        <w:pStyle w:val="H23G"/>
        <w:rPr>
          <w:lang w:val="fr-FR"/>
        </w:rPr>
      </w:pPr>
      <w:r>
        <w:rPr>
          <w:lang w:val="fr-FR"/>
        </w:rPr>
        <w:tab/>
      </w:r>
      <w:r w:rsidR="00D31769" w:rsidRPr="00D31769">
        <w:rPr>
          <w:lang w:val="fr-FR"/>
        </w:rPr>
        <w:t>a)</w:t>
      </w:r>
      <w:r w:rsidR="00D31769" w:rsidRPr="00D31769">
        <w:rPr>
          <w:lang w:val="fr-FR"/>
        </w:rPr>
        <w:tab/>
        <w:t>Système de contrôle électronique de la stabilité</w:t>
      </w:r>
    </w:p>
    <w:p w:rsidR="00D31769" w:rsidRPr="00D31769" w:rsidRDefault="00D31769" w:rsidP="00FC0F2B">
      <w:pPr>
        <w:pStyle w:val="SingleTxtG"/>
        <w:ind w:firstLine="567"/>
        <w:rPr>
          <w:lang w:val="fr-FR"/>
        </w:rPr>
      </w:pPr>
      <w:r w:rsidRPr="00D31769">
        <w:rPr>
          <w:lang w:val="fr-FR"/>
        </w:rPr>
        <w:t>Le GRVA a décidé d’examiner une proposition de l’expert de l’Australie qui permettrait peut-être de régler la question soulevée à la 175</w:t>
      </w:r>
      <w:r w:rsidRPr="00D31769">
        <w:rPr>
          <w:vertAlign w:val="superscript"/>
          <w:lang w:val="fr-FR"/>
        </w:rPr>
        <w:t>e</w:t>
      </w:r>
      <w:r w:rsidR="000E58AA">
        <w:rPr>
          <w:lang w:val="fr-FR"/>
        </w:rPr>
        <w:t> </w:t>
      </w:r>
      <w:r w:rsidRPr="00D31769">
        <w:rPr>
          <w:lang w:val="fr-FR"/>
        </w:rPr>
        <w:t>session du WP.29 (voir le document informel WP.29-175-05).</w:t>
      </w:r>
    </w:p>
    <w:p w:rsidR="00D31769" w:rsidRPr="00D31769" w:rsidRDefault="00D31769" w:rsidP="000E58AA">
      <w:pPr>
        <w:pStyle w:val="SingleTxtG"/>
        <w:ind w:left="2552" w:hanging="1418"/>
        <w:rPr>
          <w:lang w:val="fr-FR"/>
        </w:rPr>
      </w:pPr>
      <w:r w:rsidRPr="000E58AA">
        <w:rPr>
          <w:b/>
          <w:i/>
          <w:lang w:val="fr-FR"/>
        </w:rPr>
        <w:t>Document(s)</w:t>
      </w:r>
      <w:r w:rsidRPr="00D31769">
        <w:rPr>
          <w:b/>
          <w:lang w:val="fr-FR"/>
        </w:rPr>
        <w:t> </w:t>
      </w:r>
      <w:r w:rsidRPr="00D31769">
        <w:rPr>
          <w:lang w:val="fr-FR"/>
        </w:rPr>
        <w:t>:</w:t>
      </w:r>
      <w:r w:rsidRPr="00D31769">
        <w:rPr>
          <w:lang w:val="fr-FR"/>
        </w:rPr>
        <w:tab/>
        <w:t>ECE/TRANS/WP.29/GRVA/2019/6</w:t>
      </w:r>
      <w:r w:rsidR="000E58AA">
        <w:rPr>
          <w:lang w:val="fr-FR"/>
        </w:rPr>
        <w:br/>
      </w:r>
      <w:r w:rsidRPr="00D31769">
        <w:rPr>
          <w:lang w:val="fr-FR"/>
        </w:rPr>
        <w:t>(Document informel WP.29-175-05).</w:t>
      </w:r>
    </w:p>
    <w:p w:rsidR="00D31769" w:rsidRPr="00D31769" w:rsidRDefault="000E58AA" w:rsidP="000E58AA">
      <w:pPr>
        <w:pStyle w:val="H23G"/>
        <w:rPr>
          <w:lang w:val="fr-FR"/>
        </w:rPr>
      </w:pPr>
      <w:r>
        <w:rPr>
          <w:lang w:val="fr-FR"/>
        </w:rPr>
        <w:tab/>
      </w:r>
      <w:r w:rsidR="00D31769" w:rsidRPr="00D31769">
        <w:rPr>
          <w:lang w:val="fr-FR"/>
        </w:rPr>
        <w:t>b)</w:t>
      </w:r>
      <w:r w:rsidR="00D31769" w:rsidRPr="00D31769">
        <w:rPr>
          <w:lang w:val="fr-FR"/>
        </w:rPr>
        <w:tab/>
        <w:t>Ensembles modulaires de véhicules</w:t>
      </w:r>
    </w:p>
    <w:p w:rsidR="00D31769" w:rsidRPr="00D31769" w:rsidRDefault="00D31769" w:rsidP="00FC0F2B">
      <w:pPr>
        <w:pStyle w:val="SingleTxtG"/>
        <w:ind w:firstLine="567"/>
        <w:rPr>
          <w:lang w:val="fr-FR"/>
        </w:rPr>
      </w:pPr>
      <w:r w:rsidRPr="00D31769">
        <w:rPr>
          <w:lang w:val="fr-FR"/>
        </w:rPr>
        <w:t xml:space="preserve">Le GRVA voudra sans doute examiner un rapport de situation et une proposition éventuelle concernant les activités du groupe de travail informel des ensembles modulaires de véhicules. Il a constaté qu’à sa session de mars 2017, le WP.29 avait prorogé le mandat du groupe de travail </w:t>
      </w:r>
      <w:r w:rsidR="000E58AA">
        <w:rPr>
          <w:lang w:val="fr-FR"/>
        </w:rPr>
        <w:t>informel jusqu’en février 2019.</w:t>
      </w:r>
    </w:p>
    <w:p w:rsidR="00D31769" w:rsidRPr="00D31769" w:rsidRDefault="000E58AA" w:rsidP="000E58AA">
      <w:pPr>
        <w:pStyle w:val="H23G"/>
        <w:rPr>
          <w:lang w:val="fr-FR"/>
        </w:rPr>
      </w:pPr>
      <w:r>
        <w:rPr>
          <w:lang w:val="fr-FR"/>
        </w:rPr>
        <w:tab/>
      </w:r>
      <w:r w:rsidR="00D31769" w:rsidRPr="00D31769">
        <w:rPr>
          <w:lang w:val="fr-FR"/>
        </w:rPr>
        <w:t>c)</w:t>
      </w:r>
      <w:r w:rsidR="00D31769" w:rsidRPr="00D31769">
        <w:rPr>
          <w:lang w:val="fr-FR"/>
        </w:rPr>
        <w:tab/>
        <w:t>Précisions</w:t>
      </w:r>
    </w:p>
    <w:p w:rsidR="00D31769" w:rsidRPr="00D31769" w:rsidRDefault="00D31769" w:rsidP="00FC0F2B">
      <w:pPr>
        <w:pStyle w:val="SingleTxtG"/>
        <w:ind w:firstLine="567"/>
        <w:rPr>
          <w:lang w:val="fr-FR"/>
        </w:rPr>
      </w:pPr>
      <w:r w:rsidRPr="00D31769">
        <w:rPr>
          <w:lang w:val="fr-FR"/>
        </w:rPr>
        <w:t>Le GRVA a décidé d’examiner une proposition de l’expert de l’Australie qui permettrait peut-être de régler la question soulevée à la 175</w:t>
      </w:r>
      <w:r w:rsidRPr="00D31769">
        <w:rPr>
          <w:vertAlign w:val="superscript"/>
          <w:lang w:val="fr-FR"/>
        </w:rPr>
        <w:t>e</w:t>
      </w:r>
      <w:r w:rsidR="000E58AA">
        <w:rPr>
          <w:lang w:val="fr-FR"/>
        </w:rPr>
        <w:t> </w:t>
      </w:r>
      <w:r w:rsidRPr="00D31769">
        <w:rPr>
          <w:lang w:val="fr-FR"/>
        </w:rPr>
        <w:t xml:space="preserve">session du WP.29 (voir le document informel WP.29-175-04). </w:t>
      </w:r>
    </w:p>
    <w:p w:rsidR="00D31769" w:rsidRPr="00D31769" w:rsidRDefault="00D31769" w:rsidP="000E58AA">
      <w:pPr>
        <w:pStyle w:val="SingleTxtG"/>
        <w:ind w:left="2552" w:hanging="1418"/>
        <w:rPr>
          <w:lang w:val="fr-FR"/>
        </w:rPr>
      </w:pPr>
      <w:r w:rsidRPr="000E58AA">
        <w:rPr>
          <w:b/>
          <w:i/>
          <w:lang w:val="fr-FR"/>
        </w:rPr>
        <w:t>Document(s)</w:t>
      </w:r>
      <w:r w:rsidRPr="00D31769">
        <w:rPr>
          <w:b/>
          <w:lang w:val="fr-FR"/>
        </w:rPr>
        <w:t> </w:t>
      </w:r>
      <w:r w:rsidRPr="00D31769">
        <w:rPr>
          <w:lang w:val="fr-FR"/>
        </w:rPr>
        <w:t>:</w:t>
      </w:r>
      <w:r w:rsidRPr="00D31769">
        <w:rPr>
          <w:lang w:val="fr-FR"/>
        </w:rPr>
        <w:tab/>
        <w:t>ECE/TRANS/WP.29/GRVA/2019/12</w:t>
      </w:r>
      <w:r w:rsidR="000E58AA">
        <w:rPr>
          <w:lang w:val="fr-FR"/>
        </w:rPr>
        <w:br/>
      </w:r>
      <w:r w:rsidRPr="00D31769">
        <w:rPr>
          <w:lang w:val="fr-FR"/>
        </w:rPr>
        <w:t>(Document informel WP.29-175-04).</w:t>
      </w:r>
    </w:p>
    <w:p w:rsidR="00D31769" w:rsidRPr="00D31769" w:rsidRDefault="000E58AA" w:rsidP="000E58AA">
      <w:pPr>
        <w:pStyle w:val="H23G"/>
        <w:rPr>
          <w:lang w:val="fr-FR"/>
        </w:rPr>
      </w:pPr>
      <w:r>
        <w:rPr>
          <w:lang w:val="fr-FR"/>
        </w:rPr>
        <w:lastRenderedPageBreak/>
        <w:tab/>
      </w:r>
      <w:r w:rsidR="00D31769" w:rsidRPr="00D31769">
        <w:rPr>
          <w:lang w:val="fr-FR"/>
        </w:rPr>
        <w:t>d)</w:t>
      </w:r>
      <w:r w:rsidR="00D31769" w:rsidRPr="00D31769">
        <w:rPr>
          <w:lang w:val="fr-FR"/>
        </w:rPr>
        <w:tab/>
        <w:t>Questions diverses</w:t>
      </w:r>
    </w:p>
    <w:p w:rsidR="00D31769" w:rsidRPr="00D31769" w:rsidRDefault="00D31769" w:rsidP="00FC0F2B">
      <w:pPr>
        <w:pStyle w:val="SingleTxtG"/>
        <w:ind w:firstLine="567"/>
        <w:rPr>
          <w:lang w:val="fr-FR"/>
        </w:rPr>
      </w:pPr>
      <w:r w:rsidRPr="00D31769">
        <w:rPr>
          <w:lang w:val="fr-FR"/>
        </w:rPr>
        <w:t>Le GRVA voudra sans doute examiner toute autre proposition d’amendements aux Règlements ONU n</w:t>
      </w:r>
      <w:r w:rsidRPr="00D31769">
        <w:rPr>
          <w:vertAlign w:val="superscript"/>
          <w:lang w:val="fr-FR"/>
        </w:rPr>
        <w:t>os</w:t>
      </w:r>
      <w:r w:rsidR="000E58AA">
        <w:rPr>
          <w:lang w:val="fr-FR"/>
        </w:rPr>
        <w:t> </w:t>
      </w:r>
      <w:r w:rsidRPr="00D31769">
        <w:rPr>
          <w:lang w:val="fr-FR"/>
        </w:rPr>
        <w:t>13, 13-H, 139 et 140, le cas échéant.</w:t>
      </w:r>
    </w:p>
    <w:p w:rsidR="00D31769" w:rsidRPr="00D31769" w:rsidRDefault="000E58AA" w:rsidP="000E58AA">
      <w:pPr>
        <w:pStyle w:val="H1G"/>
        <w:rPr>
          <w:lang w:val="fr-FR"/>
        </w:rPr>
      </w:pPr>
      <w:r>
        <w:rPr>
          <w:lang w:val="fr-FR"/>
        </w:rPr>
        <w:tab/>
      </w:r>
      <w:r w:rsidR="00D31769" w:rsidRPr="00D31769">
        <w:rPr>
          <w:lang w:val="fr-FR"/>
        </w:rPr>
        <w:t>8.</w:t>
      </w:r>
      <w:r w:rsidR="00D31769" w:rsidRPr="00D31769">
        <w:rPr>
          <w:lang w:val="fr-FR"/>
        </w:rPr>
        <w:tab/>
        <w:t>Freinage des motocycles</w:t>
      </w:r>
    </w:p>
    <w:p w:rsidR="00D31769" w:rsidRPr="00D31769" w:rsidRDefault="000E58AA" w:rsidP="000E58AA">
      <w:pPr>
        <w:pStyle w:val="H23G"/>
        <w:rPr>
          <w:lang w:val="fr-FR"/>
        </w:rPr>
      </w:pPr>
      <w:r>
        <w:rPr>
          <w:lang w:val="fr-FR"/>
        </w:rPr>
        <w:tab/>
      </w:r>
      <w:r w:rsidR="00D31769" w:rsidRPr="00D31769">
        <w:rPr>
          <w:lang w:val="fr-FR"/>
        </w:rPr>
        <w:t>a)</w:t>
      </w:r>
      <w:r w:rsidR="00D31769" w:rsidRPr="00D31769">
        <w:rPr>
          <w:lang w:val="fr-FR"/>
        </w:rPr>
        <w:tab/>
        <w:t>Règlement technique mondial ONU n</w:t>
      </w:r>
      <w:r w:rsidR="00D31769" w:rsidRPr="00D31769">
        <w:rPr>
          <w:vertAlign w:val="superscript"/>
          <w:lang w:val="fr-FR"/>
        </w:rPr>
        <w:t>o</w:t>
      </w:r>
      <w:r>
        <w:rPr>
          <w:lang w:val="fr-FR"/>
        </w:rPr>
        <w:t> </w:t>
      </w:r>
      <w:r w:rsidR="00D31769" w:rsidRPr="00D31769">
        <w:rPr>
          <w:lang w:val="fr-FR"/>
        </w:rPr>
        <w:t>3</w:t>
      </w:r>
    </w:p>
    <w:p w:rsidR="00D31769" w:rsidRPr="00D31769" w:rsidRDefault="00D31769" w:rsidP="00FC0F2B">
      <w:pPr>
        <w:pStyle w:val="SingleTxtG"/>
        <w:ind w:firstLine="567"/>
        <w:rPr>
          <w:lang w:val="fr-FR"/>
        </w:rPr>
      </w:pPr>
      <w:r w:rsidRPr="00D31769">
        <w:rPr>
          <w:lang w:val="fr-FR"/>
        </w:rPr>
        <w:t>Le GRVA devrait examiner une proposition révisée d’amendements au RTM ONU n</w:t>
      </w:r>
      <w:r w:rsidRPr="00D31769">
        <w:rPr>
          <w:vertAlign w:val="superscript"/>
          <w:lang w:val="fr-FR"/>
        </w:rPr>
        <w:t>o</w:t>
      </w:r>
      <w:r w:rsidR="000E58AA">
        <w:rPr>
          <w:lang w:val="fr-FR"/>
        </w:rPr>
        <w:t> </w:t>
      </w:r>
      <w:r w:rsidRPr="00D31769">
        <w:rPr>
          <w:lang w:val="fr-FR"/>
        </w:rPr>
        <w:t>3 (Système de freinage des motocycles), soumise par l’expert de l’Italie.</w:t>
      </w:r>
    </w:p>
    <w:p w:rsidR="00D31769" w:rsidRPr="00D31769" w:rsidRDefault="00D31769" w:rsidP="00BD7F67">
      <w:pPr>
        <w:pStyle w:val="SingleTxtG"/>
        <w:ind w:left="2552" w:hanging="1418"/>
        <w:rPr>
          <w:lang w:val="fr-FR"/>
        </w:rPr>
      </w:pPr>
      <w:r w:rsidRPr="000E58AA">
        <w:rPr>
          <w:b/>
          <w:i/>
          <w:lang w:val="fr-FR"/>
        </w:rPr>
        <w:t>Document(s)</w:t>
      </w:r>
      <w:r w:rsidRPr="00D31769">
        <w:rPr>
          <w:b/>
          <w:lang w:val="fr-FR"/>
        </w:rPr>
        <w:t> </w:t>
      </w:r>
      <w:r w:rsidRPr="00D31769">
        <w:rPr>
          <w:lang w:val="fr-FR"/>
        </w:rPr>
        <w:t>:</w:t>
      </w:r>
      <w:r w:rsidRPr="00D31769">
        <w:rPr>
          <w:lang w:val="fr-FR"/>
        </w:rPr>
        <w:tab/>
      </w:r>
      <w:r w:rsidRPr="00D31769">
        <w:rPr>
          <w:b/>
          <w:bCs/>
          <w:lang w:val="fr-FR"/>
        </w:rPr>
        <w:t>(</w:t>
      </w:r>
      <w:r w:rsidRPr="00D31769">
        <w:rPr>
          <w:lang w:val="fr-FR"/>
        </w:rPr>
        <w:t>ECE/TRANS/WP.29/GRVA/2018/9).</w:t>
      </w:r>
    </w:p>
    <w:p w:rsidR="00D31769" w:rsidRPr="00D31769" w:rsidRDefault="000E58AA" w:rsidP="000E58AA">
      <w:pPr>
        <w:pStyle w:val="H23G"/>
        <w:rPr>
          <w:lang w:val="fr-FR"/>
        </w:rPr>
      </w:pPr>
      <w:r>
        <w:rPr>
          <w:lang w:val="fr-FR"/>
        </w:rPr>
        <w:tab/>
      </w:r>
      <w:r w:rsidR="00D31769" w:rsidRPr="00D31769">
        <w:rPr>
          <w:lang w:val="fr-FR"/>
        </w:rPr>
        <w:t>b)</w:t>
      </w:r>
      <w:r w:rsidR="00D31769" w:rsidRPr="00D31769">
        <w:rPr>
          <w:lang w:val="fr-FR"/>
        </w:rPr>
        <w:tab/>
        <w:t>Règlement ONU n</w:t>
      </w:r>
      <w:r w:rsidR="00D31769" w:rsidRPr="00D31769">
        <w:rPr>
          <w:vertAlign w:val="superscript"/>
          <w:lang w:val="fr-FR"/>
        </w:rPr>
        <w:t>o</w:t>
      </w:r>
      <w:r>
        <w:rPr>
          <w:lang w:val="fr-FR"/>
        </w:rPr>
        <w:t> </w:t>
      </w:r>
      <w:r w:rsidR="00D31769" w:rsidRPr="00D31769">
        <w:rPr>
          <w:lang w:val="fr-FR"/>
        </w:rPr>
        <w:t>78</w:t>
      </w:r>
    </w:p>
    <w:p w:rsidR="00D31769" w:rsidRPr="00D31769" w:rsidRDefault="00D31769" w:rsidP="00FC0F2B">
      <w:pPr>
        <w:pStyle w:val="SingleTxtG"/>
        <w:ind w:firstLine="567"/>
        <w:rPr>
          <w:lang w:val="fr-FR"/>
        </w:rPr>
      </w:pPr>
      <w:r w:rsidRPr="00D31769">
        <w:rPr>
          <w:lang w:val="fr-FR"/>
        </w:rPr>
        <w:t>Le GRVA devrait examiner une proposition révisée de l’expert de l’Association internationale des constructeurs de motocycles (IMMA) contenant des prescriptions relatives à l’activation des feux-stop.</w:t>
      </w:r>
    </w:p>
    <w:p w:rsidR="00D31769" w:rsidRPr="00D31769" w:rsidRDefault="00D31769" w:rsidP="00BD7F67">
      <w:pPr>
        <w:pStyle w:val="SingleTxtG"/>
        <w:ind w:left="2552" w:hanging="1418"/>
        <w:rPr>
          <w:lang w:val="fr-FR"/>
        </w:rPr>
      </w:pPr>
      <w:r w:rsidRPr="000E58AA">
        <w:rPr>
          <w:b/>
          <w:i/>
          <w:lang w:val="fr-FR"/>
        </w:rPr>
        <w:t>Document(s)</w:t>
      </w:r>
      <w:r w:rsidRPr="00D31769">
        <w:rPr>
          <w:b/>
          <w:lang w:val="fr-FR"/>
        </w:rPr>
        <w:t> </w:t>
      </w:r>
      <w:r w:rsidRPr="00D31769">
        <w:rPr>
          <w:lang w:val="fr-FR"/>
        </w:rPr>
        <w:t>:</w:t>
      </w:r>
      <w:r w:rsidRPr="00D31769">
        <w:rPr>
          <w:lang w:val="fr-FR"/>
        </w:rPr>
        <w:tab/>
        <w:t>ECE/TRANS/WP.29/GRVA/2019/7.</w:t>
      </w:r>
    </w:p>
    <w:p w:rsidR="00D31769" w:rsidRPr="00D31769" w:rsidRDefault="000E58AA" w:rsidP="000E58AA">
      <w:pPr>
        <w:pStyle w:val="H1G"/>
        <w:rPr>
          <w:lang w:val="fr-FR"/>
        </w:rPr>
      </w:pPr>
      <w:r>
        <w:rPr>
          <w:lang w:val="fr-FR"/>
        </w:rPr>
        <w:tab/>
      </w:r>
      <w:r w:rsidR="00D31769" w:rsidRPr="00D31769">
        <w:rPr>
          <w:lang w:val="fr-FR"/>
        </w:rPr>
        <w:t>9.</w:t>
      </w:r>
      <w:r w:rsidR="00D31769" w:rsidRPr="00D31769">
        <w:rPr>
          <w:lang w:val="fr-FR"/>
        </w:rPr>
        <w:tab/>
        <w:t>Règlement ONU n</w:t>
      </w:r>
      <w:r w:rsidR="00D31769" w:rsidRPr="00D31769">
        <w:rPr>
          <w:vertAlign w:val="superscript"/>
          <w:lang w:val="fr-FR"/>
        </w:rPr>
        <w:t>o</w:t>
      </w:r>
      <w:r>
        <w:rPr>
          <w:lang w:val="fr-FR"/>
        </w:rPr>
        <w:t> </w:t>
      </w:r>
      <w:r w:rsidR="00D31769" w:rsidRPr="00D31769">
        <w:rPr>
          <w:lang w:val="fr-FR"/>
        </w:rPr>
        <w:t>79</w:t>
      </w:r>
    </w:p>
    <w:p w:rsidR="00D31769" w:rsidRPr="00D31769" w:rsidRDefault="00D31769" w:rsidP="00FC0F2B">
      <w:pPr>
        <w:pStyle w:val="SingleTxtG"/>
        <w:ind w:firstLine="567"/>
        <w:rPr>
          <w:lang w:val="fr-FR"/>
        </w:rPr>
      </w:pPr>
      <w:r w:rsidRPr="00D31769">
        <w:rPr>
          <w:lang w:val="fr-FR"/>
        </w:rPr>
        <w:t>Le GRVA a décidé d’examiner une proposition révisée soumise par l’expert du Royaume-Uni de Grande-Bretagne et d’Irlande du Nord, contenant des prescriptions relatives aux manœuvres télécommandées (RCM).</w:t>
      </w:r>
    </w:p>
    <w:p w:rsidR="00D31769" w:rsidRPr="00D31769" w:rsidRDefault="00D31769" w:rsidP="00BD7F67">
      <w:pPr>
        <w:pStyle w:val="SingleTxtG"/>
        <w:ind w:left="2552" w:hanging="1418"/>
        <w:rPr>
          <w:lang w:val="fr-FR"/>
        </w:rPr>
      </w:pPr>
      <w:r w:rsidRPr="000E58AA">
        <w:rPr>
          <w:b/>
          <w:i/>
          <w:lang w:val="fr-FR"/>
        </w:rPr>
        <w:t>Document(s)</w:t>
      </w:r>
      <w:r w:rsidRPr="00D31769">
        <w:rPr>
          <w:b/>
          <w:lang w:val="fr-FR"/>
        </w:rPr>
        <w:t> </w:t>
      </w:r>
      <w:r w:rsidRPr="00D31769">
        <w:rPr>
          <w:lang w:val="fr-FR"/>
        </w:rPr>
        <w:t>:</w:t>
      </w:r>
      <w:r w:rsidRPr="00D31769">
        <w:rPr>
          <w:lang w:val="fr-FR"/>
        </w:rPr>
        <w:tab/>
        <w:t>ECE/TRANS/WP.29/GRVA/2019/8.</w:t>
      </w:r>
    </w:p>
    <w:p w:rsidR="00D31769" w:rsidRPr="00D31769" w:rsidRDefault="00D31769" w:rsidP="00FC0F2B">
      <w:pPr>
        <w:pStyle w:val="SingleTxtG"/>
        <w:ind w:firstLine="567"/>
        <w:rPr>
          <w:lang w:val="fr-FR"/>
        </w:rPr>
      </w:pPr>
      <w:r w:rsidRPr="00D31769">
        <w:rPr>
          <w:lang w:val="fr-FR"/>
        </w:rPr>
        <w:t>Le GRVA voudra sans doute examiner des propositions d’amendements au Règlement ONU n</w:t>
      </w:r>
      <w:r w:rsidRPr="00D31769">
        <w:rPr>
          <w:vertAlign w:val="superscript"/>
          <w:lang w:val="fr-FR"/>
        </w:rPr>
        <w:t>o</w:t>
      </w:r>
      <w:r w:rsidR="00BD7F67">
        <w:rPr>
          <w:lang w:val="fr-FR"/>
        </w:rPr>
        <w:t> </w:t>
      </w:r>
      <w:r w:rsidRPr="00D31769">
        <w:rPr>
          <w:lang w:val="fr-FR"/>
        </w:rPr>
        <w:t>79, le cas échéant.</w:t>
      </w:r>
    </w:p>
    <w:p w:rsidR="00D31769" w:rsidRPr="00D31769" w:rsidRDefault="00BD7F67" w:rsidP="00BD7F67">
      <w:pPr>
        <w:pStyle w:val="H1G"/>
        <w:rPr>
          <w:lang w:val="fr-FR"/>
        </w:rPr>
      </w:pPr>
      <w:r>
        <w:rPr>
          <w:lang w:val="fr-FR"/>
        </w:rPr>
        <w:tab/>
      </w:r>
      <w:r w:rsidR="00D31769" w:rsidRPr="00D31769">
        <w:rPr>
          <w:lang w:val="fr-FR"/>
        </w:rPr>
        <w:t>10.</w:t>
      </w:r>
      <w:r w:rsidR="00D31769" w:rsidRPr="00D31769">
        <w:rPr>
          <w:lang w:val="fr-FR"/>
        </w:rPr>
        <w:tab/>
        <w:t>Règlement ONU n</w:t>
      </w:r>
      <w:r w:rsidR="00D31769" w:rsidRPr="00D31769">
        <w:rPr>
          <w:vertAlign w:val="superscript"/>
          <w:lang w:val="fr-FR"/>
        </w:rPr>
        <w:t>o</w:t>
      </w:r>
      <w:r>
        <w:rPr>
          <w:lang w:val="fr-FR"/>
        </w:rPr>
        <w:t> </w:t>
      </w:r>
      <w:r w:rsidR="00D31769" w:rsidRPr="00D31769">
        <w:rPr>
          <w:lang w:val="fr-FR"/>
        </w:rPr>
        <w:t>89</w:t>
      </w:r>
    </w:p>
    <w:p w:rsidR="00D31769" w:rsidRPr="00D31769" w:rsidRDefault="00D31769" w:rsidP="00FC0F2B">
      <w:pPr>
        <w:pStyle w:val="SingleTxtG"/>
        <w:ind w:firstLine="567"/>
        <w:rPr>
          <w:lang w:val="fr-FR"/>
        </w:rPr>
      </w:pPr>
      <w:r w:rsidRPr="00D31769">
        <w:rPr>
          <w:lang w:val="fr-FR"/>
        </w:rPr>
        <w:t>Le GRVA souhaitera peut-être examiner des propositions d’amendements au Règlement ONU n</w:t>
      </w:r>
      <w:r w:rsidRPr="00D31769">
        <w:rPr>
          <w:vertAlign w:val="superscript"/>
          <w:lang w:val="fr-FR"/>
        </w:rPr>
        <w:t>o</w:t>
      </w:r>
      <w:r w:rsidR="00BD7F67">
        <w:rPr>
          <w:lang w:val="fr-FR"/>
        </w:rPr>
        <w:t> </w:t>
      </w:r>
      <w:r w:rsidRPr="00D31769">
        <w:rPr>
          <w:lang w:val="fr-FR"/>
        </w:rPr>
        <w:t>89, le cas échéant.</w:t>
      </w:r>
    </w:p>
    <w:p w:rsidR="00D31769" w:rsidRPr="00D31769" w:rsidRDefault="00BD7F67" w:rsidP="00BD7F67">
      <w:pPr>
        <w:pStyle w:val="H1G"/>
        <w:rPr>
          <w:lang w:val="fr-FR"/>
        </w:rPr>
      </w:pPr>
      <w:r>
        <w:rPr>
          <w:lang w:val="fr-FR"/>
        </w:rPr>
        <w:tab/>
      </w:r>
      <w:r w:rsidR="00D31769" w:rsidRPr="00D31769">
        <w:rPr>
          <w:lang w:val="fr-FR"/>
        </w:rPr>
        <w:t>11.</w:t>
      </w:r>
      <w:r w:rsidR="00D31769" w:rsidRPr="00D31769">
        <w:rPr>
          <w:lang w:val="fr-FR"/>
        </w:rPr>
        <w:tab/>
        <w:t>Règlement ONU n</w:t>
      </w:r>
      <w:r w:rsidR="00D31769" w:rsidRPr="00D31769">
        <w:rPr>
          <w:vertAlign w:val="superscript"/>
          <w:lang w:val="fr-FR"/>
        </w:rPr>
        <w:t>o</w:t>
      </w:r>
      <w:r>
        <w:rPr>
          <w:lang w:val="fr-FR"/>
        </w:rPr>
        <w:t> </w:t>
      </w:r>
      <w:r w:rsidR="00D31769" w:rsidRPr="00D31769">
        <w:rPr>
          <w:lang w:val="fr-FR"/>
        </w:rPr>
        <w:t>90</w:t>
      </w:r>
    </w:p>
    <w:p w:rsidR="00D31769" w:rsidRPr="00D31769" w:rsidRDefault="00D31769" w:rsidP="00FC0F2B">
      <w:pPr>
        <w:pStyle w:val="SingleTxtG"/>
        <w:ind w:firstLine="567"/>
        <w:rPr>
          <w:lang w:val="fr-FR"/>
        </w:rPr>
      </w:pPr>
      <w:r w:rsidRPr="00D31769">
        <w:rPr>
          <w:lang w:val="fr-FR"/>
        </w:rPr>
        <w:t>Le GRVA voudra probablement examiner une proposition soumise par l’expert de l’Espagne, qui dirige les travaux du groupe spécial d’intérêt du Règlement ONU n</w:t>
      </w:r>
      <w:r w:rsidRPr="00D31769">
        <w:rPr>
          <w:vertAlign w:val="superscript"/>
          <w:lang w:val="fr-FR"/>
        </w:rPr>
        <w:t>o</w:t>
      </w:r>
      <w:r w:rsidR="00BD7F67">
        <w:rPr>
          <w:lang w:val="fr-FR"/>
        </w:rPr>
        <w:t> </w:t>
      </w:r>
      <w:r w:rsidRPr="00D31769">
        <w:rPr>
          <w:lang w:val="fr-FR"/>
        </w:rPr>
        <w:t>90.</w:t>
      </w:r>
    </w:p>
    <w:p w:rsidR="00D31769" w:rsidRPr="00D31769" w:rsidRDefault="00D31769" w:rsidP="00BD7F67">
      <w:pPr>
        <w:pStyle w:val="SingleTxtG"/>
        <w:ind w:left="2552" w:hanging="1418"/>
        <w:rPr>
          <w:lang w:val="fr-FR"/>
        </w:rPr>
      </w:pPr>
      <w:r w:rsidRPr="00BD7F67">
        <w:rPr>
          <w:b/>
          <w:i/>
          <w:lang w:val="fr-FR"/>
        </w:rPr>
        <w:t>Document(s)</w:t>
      </w:r>
      <w:r w:rsidRPr="00D31769">
        <w:rPr>
          <w:b/>
          <w:lang w:val="fr-FR"/>
        </w:rPr>
        <w:t> </w:t>
      </w:r>
      <w:r w:rsidRPr="00D31769">
        <w:rPr>
          <w:lang w:val="fr-FR"/>
        </w:rPr>
        <w:t xml:space="preserve">: </w:t>
      </w:r>
      <w:r w:rsidRPr="00D31769">
        <w:rPr>
          <w:lang w:val="fr-FR"/>
        </w:rPr>
        <w:tab/>
        <w:t>(Document informel GRRF-86-41).</w:t>
      </w:r>
    </w:p>
    <w:p w:rsidR="00D31769" w:rsidRPr="00D31769" w:rsidRDefault="00D31769" w:rsidP="00FC0F2B">
      <w:pPr>
        <w:pStyle w:val="SingleTxtG"/>
        <w:ind w:firstLine="567"/>
        <w:rPr>
          <w:lang w:val="fr-FR"/>
        </w:rPr>
      </w:pPr>
      <w:r w:rsidRPr="00D31769">
        <w:rPr>
          <w:lang w:val="fr-FR"/>
        </w:rPr>
        <w:t>Le GRVA souhaitera peut-être reprendre un débat entamé à la quatre-vingt-sixième session du GRRF afin de clarifier les incohérences relevées dans le complément 3 à la série</w:t>
      </w:r>
      <w:r w:rsidR="00BD7F67">
        <w:rPr>
          <w:lang w:val="fr-FR"/>
        </w:rPr>
        <w:t> </w:t>
      </w:r>
      <w:r w:rsidRPr="00D31769">
        <w:rPr>
          <w:lang w:val="fr-FR"/>
        </w:rPr>
        <w:t>02 d’amendements au Règlement ONU n</w:t>
      </w:r>
      <w:r w:rsidRPr="00D31769">
        <w:rPr>
          <w:vertAlign w:val="superscript"/>
          <w:lang w:val="fr-FR"/>
        </w:rPr>
        <w:t>o</w:t>
      </w:r>
      <w:r w:rsidR="00BD7F67">
        <w:rPr>
          <w:lang w:val="fr-FR"/>
        </w:rPr>
        <w:t> </w:t>
      </w:r>
      <w:r w:rsidRPr="00D31769">
        <w:rPr>
          <w:lang w:val="fr-FR"/>
        </w:rPr>
        <w:t>90 en raison de l’adoption concomitante des documents ECE/TRANS/WP.29/GRRF/2014/23/Rev.2 ainsi que des documents ECE/</w:t>
      </w:r>
      <w:r w:rsidR="00BD7F67">
        <w:rPr>
          <w:lang w:val="fr-FR"/>
        </w:rPr>
        <w:t xml:space="preserve"> </w:t>
      </w:r>
      <w:r w:rsidRPr="00D31769">
        <w:rPr>
          <w:lang w:val="fr-FR"/>
        </w:rPr>
        <w:t>TRANS/WP.29/GRRF/2015/22 et ECE/TRANS/WP.29/GRRF/2016/22, qui contiennent des dispositions incompatibles.</w:t>
      </w:r>
    </w:p>
    <w:p w:rsidR="00D31769" w:rsidRPr="00D31769" w:rsidRDefault="00D31769" w:rsidP="00BD7F67">
      <w:pPr>
        <w:pStyle w:val="SingleTxtG"/>
        <w:ind w:left="2552" w:hanging="1418"/>
        <w:rPr>
          <w:lang w:val="fr-FR"/>
        </w:rPr>
      </w:pPr>
      <w:r w:rsidRPr="00BD7F67">
        <w:rPr>
          <w:b/>
          <w:i/>
          <w:lang w:val="fr-FR"/>
        </w:rPr>
        <w:t>Document(s)</w:t>
      </w:r>
      <w:r w:rsidRPr="00D31769">
        <w:rPr>
          <w:b/>
          <w:lang w:val="fr-FR"/>
        </w:rPr>
        <w:t> </w:t>
      </w:r>
      <w:r w:rsidRPr="00D31769">
        <w:rPr>
          <w:lang w:val="fr-FR"/>
        </w:rPr>
        <w:t>:</w:t>
      </w:r>
      <w:r w:rsidRPr="00D31769">
        <w:rPr>
          <w:lang w:val="fr-FR"/>
        </w:rPr>
        <w:tab/>
        <w:t>(Document informel GRRF-86-40-Rev.1).</w:t>
      </w:r>
    </w:p>
    <w:p w:rsidR="00D31769" w:rsidRPr="00D31769" w:rsidRDefault="00D31769" w:rsidP="00FC0F2B">
      <w:pPr>
        <w:pStyle w:val="SingleTxtG"/>
        <w:ind w:firstLine="567"/>
        <w:rPr>
          <w:lang w:val="fr-FR"/>
        </w:rPr>
      </w:pPr>
      <w:r w:rsidRPr="00D31769">
        <w:rPr>
          <w:lang w:val="fr-FR"/>
        </w:rPr>
        <w:t>Le GRVA a décidé de reprendre l’examen d’une proposition soumise par l’expert de l’Espagne visant à aligner les dispositions du Règlement ONU n</w:t>
      </w:r>
      <w:r w:rsidRPr="00D31769">
        <w:rPr>
          <w:vertAlign w:val="superscript"/>
          <w:lang w:val="fr-FR"/>
        </w:rPr>
        <w:t>o</w:t>
      </w:r>
      <w:r w:rsidR="00BB18EB">
        <w:rPr>
          <w:lang w:val="fr-FR"/>
        </w:rPr>
        <w:t> </w:t>
      </w:r>
      <w:r w:rsidRPr="00D31769">
        <w:rPr>
          <w:lang w:val="fr-FR"/>
        </w:rPr>
        <w:t>90 sur celles du Règlement ONU n</w:t>
      </w:r>
      <w:r w:rsidRPr="00D31769">
        <w:rPr>
          <w:vertAlign w:val="superscript"/>
          <w:lang w:val="fr-FR"/>
        </w:rPr>
        <w:t>o</w:t>
      </w:r>
      <w:r w:rsidR="00BD7F67">
        <w:rPr>
          <w:lang w:val="fr-FR"/>
        </w:rPr>
        <w:t> </w:t>
      </w:r>
      <w:r w:rsidRPr="00D31769">
        <w:rPr>
          <w:lang w:val="fr-FR"/>
        </w:rPr>
        <w:t>78.</w:t>
      </w:r>
    </w:p>
    <w:p w:rsidR="00D31769" w:rsidRPr="00D31769" w:rsidRDefault="00D31769" w:rsidP="00BD7F67">
      <w:pPr>
        <w:pStyle w:val="SingleTxtG"/>
        <w:ind w:left="2552" w:hanging="1418"/>
        <w:rPr>
          <w:lang w:val="fr-FR"/>
        </w:rPr>
      </w:pPr>
      <w:r w:rsidRPr="00BD7F67">
        <w:rPr>
          <w:b/>
          <w:i/>
          <w:lang w:val="fr-FR"/>
        </w:rPr>
        <w:t>Document(s)</w:t>
      </w:r>
      <w:r w:rsidRPr="00D31769">
        <w:rPr>
          <w:b/>
          <w:lang w:val="fr-FR"/>
        </w:rPr>
        <w:t> </w:t>
      </w:r>
      <w:r w:rsidRPr="00D31769">
        <w:rPr>
          <w:lang w:val="fr-FR"/>
        </w:rPr>
        <w:t>:</w:t>
      </w:r>
      <w:r w:rsidRPr="00D31769">
        <w:rPr>
          <w:lang w:val="fr-FR"/>
        </w:rPr>
        <w:tab/>
        <w:t>ECE/TRANS/WP.29/GRVA/2018/12.</w:t>
      </w:r>
    </w:p>
    <w:p w:rsidR="00D31769" w:rsidRPr="00D31769" w:rsidRDefault="000E58AA" w:rsidP="000E58AA">
      <w:pPr>
        <w:pStyle w:val="H1G"/>
        <w:rPr>
          <w:lang w:val="fr-FR"/>
        </w:rPr>
      </w:pPr>
      <w:r>
        <w:rPr>
          <w:lang w:val="fr-FR"/>
        </w:rPr>
        <w:lastRenderedPageBreak/>
        <w:tab/>
      </w:r>
      <w:r w:rsidR="00D31769" w:rsidRPr="00D31769">
        <w:rPr>
          <w:lang w:val="fr-FR"/>
        </w:rPr>
        <w:t>12.</w:t>
      </w:r>
      <w:r w:rsidR="00D31769" w:rsidRPr="00D31769">
        <w:rPr>
          <w:lang w:val="fr-FR"/>
        </w:rPr>
        <w:tab/>
        <w:t>Révision 3 de l’Accord de 1958</w:t>
      </w:r>
    </w:p>
    <w:p w:rsidR="00D31769" w:rsidRPr="00D31769" w:rsidRDefault="000E58AA" w:rsidP="000E58AA">
      <w:pPr>
        <w:pStyle w:val="H23G"/>
        <w:rPr>
          <w:lang w:val="fr-FR"/>
        </w:rPr>
      </w:pPr>
      <w:r>
        <w:rPr>
          <w:lang w:val="fr-FR"/>
        </w:rPr>
        <w:tab/>
      </w:r>
      <w:r w:rsidR="00D31769" w:rsidRPr="00D31769">
        <w:rPr>
          <w:lang w:val="fr-FR"/>
        </w:rPr>
        <w:t>a)</w:t>
      </w:r>
      <w:r w:rsidR="00D31769" w:rsidRPr="00D31769">
        <w:rPr>
          <w:lang w:val="fr-FR"/>
        </w:rPr>
        <w:tab/>
        <w:t>Application des nouvelles dispositions de la révision 3 de l’Accord de 1958</w:t>
      </w:r>
    </w:p>
    <w:p w:rsidR="00D31769" w:rsidRPr="00D31769" w:rsidRDefault="00D31769" w:rsidP="00FC0F2B">
      <w:pPr>
        <w:pStyle w:val="SingleTxtG"/>
        <w:ind w:firstLine="567"/>
        <w:rPr>
          <w:lang w:val="fr-FR"/>
        </w:rPr>
      </w:pPr>
      <w:r w:rsidRPr="00D31769">
        <w:rPr>
          <w:lang w:val="fr-FR"/>
        </w:rPr>
        <w:t>Le GRVA souhaitera probablement examiner les mesures visant à mettre en œuvre les nouvelles dispositions contenues dans la révision 3 de l’Accord de 1958 :</w:t>
      </w:r>
    </w:p>
    <w:p w:rsidR="00D31769" w:rsidRPr="00D31769" w:rsidRDefault="00D31769" w:rsidP="000E58AA">
      <w:pPr>
        <w:pStyle w:val="Bullet2G"/>
        <w:rPr>
          <w:lang w:val="fr-FR"/>
        </w:rPr>
      </w:pPr>
      <w:r w:rsidRPr="00D31769">
        <w:rPr>
          <w:lang w:val="fr-FR"/>
        </w:rPr>
        <w:t>« Identifiant unique » :</w:t>
      </w:r>
    </w:p>
    <w:p w:rsidR="00D31769" w:rsidRPr="00D31769" w:rsidRDefault="00D31769" w:rsidP="00FC0F2B">
      <w:pPr>
        <w:pStyle w:val="SingleTxtG"/>
        <w:ind w:firstLine="567"/>
        <w:rPr>
          <w:lang w:val="fr-FR"/>
        </w:rPr>
      </w:pPr>
      <w:r w:rsidRPr="00D31769">
        <w:rPr>
          <w:lang w:val="fr-FR"/>
        </w:rPr>
        <w:t>Le GRVA voudra sans doute préciser si certains Règlements relevant de sa compétence doivent interdire expressément l’utilisation de l’« identifiant unique</w:t>
      </w:r>
      <w:r w:rsidR="005126EC">
        <w:rPr>
          <w:lang w:val="fr-FR"/>
        </w:rPr>
        <w:t> </w:t>
      </w:r>
      <w:r w:rsidRPr="00D31769">
        <w:rPr>
          <w:lang w:val="fr-FR"/>
        </w:rPr>
        <w:t>» mentionné dans la révision 3 de l’Accord de 1958 ;</w:t>
      </w:r>
    </w:p>
    <w:p w:rsidR="00D31769" w:rsidRPr="00D31769" w:rsidRDefault="00D31769" w:rsidP="000E58AA">
      <w:pPr>
        <w:pStyle w:val="Bullet1G"/>
        <w:rPr>
          <w:lang w:val="fr-FR"/>
        </w:rPr>
      </w:pPr>
      <w:r w:rsidRPr="00D31769">
        <w:rPr>
          <w:lang w:val="fr-FR"/>
        </w:rPr>
        <w:t>Dispositions transitoires des Règlements ONU :</w:t>
      </w:r>
    </w:p>
    <w:p w:rsidR="00D31769" w:rsidRPr="00D31769" w:rsidRDefault="00D31769" w:rsidP="00FC0F2B">
      <w:pPr>
        <w:pStyle w:val="SingleTxtG"/>
        <w:ind w:firstLine="567"/>
        <w:rPr>
          <w:lang w:val="fr-FR"/>
        </w:rPr>
      </w:pPr>
      <w:r w:rsidRPr="00D31769">
        <w:rPr>
          <w:lang w:val="fr-FR"/>
        </w:rPr>
        <w:t>Le GRVA souhaitera peut-être définir un plan d’action visant à harmoniser les dispositions transitoires des Règlements ONU avec celles de l’Accord de 1958, notamment en ce qui concerne la possibilité d’accorder l’homologation de type en vertu des versions précédentes des Règlements ONU ;</w:t>
      </w:r>
    </w:p>
    <w:p w:rsidR="00D31769" w:rsidRPr="00D31769" w:rsidRDefault="00D31769" w:rsidP="000E58AA">
      <w:pPr>
        <w:pStyle w:val="Bullet1G"/>
        <w:rPr>
          <w:lang w:val="fr-FR"/>
        </w:rPr>
      </w:pPr>
      <w:r w:rsidRPr="00D31769">
        <w:rPr>
          <w:lang w:val="fr-FR"/>
        </w:rPr>
        <w:t>Article 12.6 et annexe 7 :</w:t>
      </w:r>
    </w:p>
    <w:p w:rsidR="00D31769" w:rsidRPr="00D31769" w:rsidRDefault="00D31769" w:rsidP="00FC0F2B">
      <w:pPr>
        <w:pStyle w:val="SingleTxtG"/>
        <w:ind w:firstLine="567"/>
        <w:rPr>
          <w:lang w:val="fr-FR"/>
        </w:rPr>
      </w:pPr>
      <w:r w:rsidRPr="00D31769">
        <w:rPr>
          <w:lang w:val="fr-FR"/>
        </w:rPr>
        <w:t>Le GRVA voudra probablement noter le but de l’article 12.6 et de l’annexe 7 s’agissant de l’homologation des innovations ;</w:t>
      </w:r>
    </w:p>
    <w:p w:rsidR="00D31769" w:rsidRPr="00D31769" w:rsidRDefault="00D31769" w:rsidP="000E58AA">
      <w:pPr>
        <w:pStyle w:val="Bullet1G"/>
        <w:rPr>
          <w:lang w:val="fr-FR"/>
        </w:rPr>
      </w:pPr>
      <w:r w:rsidRPr="00D31769">
        <w:rPr>
          <w:lang w:val="fr-FR"/>
        </w:rPr>
        <w:t>Dispositions relatives à la conformité de la production :</w:t>
      </w:r>
    </w:p>
    <w:p w:rsidR="00D31769" w:rsidRPr="00D31769" w:rsidRDefault="00D31769" w:rsidP="00FC0F2B">
      <w:pPr>
        <w:pStyle w:val="SingleTxtG"/>
        <w:ind w:firstLine="567"/>
        <w:rPr>
          <w:lang w:val="fr-FR"/>
        </w:rPr>
      </w:pPr>
      <w:r w:rsidRPr="00D31769">
        <w:rPr>
          <w:lang w:val="fr-FR"/>
        </w:rPr>
        <w:t>Le GRVA souhaitera peut-être définir un plan d’action visant à harmoniser les dispositions des Règlements ONU relatives à la conformité de la production et à modifier les renvois à ces dispositions dans les Règlements ONU ;</w:t>
      </w:r>
    </w:p>
    <w:p w:rsidR="00D31769" w:rsidRPr="00D31769" w:rsidRDefault="00D31769" w:rsidP="000E58AA">
      <w:pPr>
        <w:pStyle w:val="Bullet1G"/>
        <w:rPr>
          <w:lang w:val="fr-FR"/>
        </w:rPr>
      </w:pPr>
      <w:r w:rsidRPr="00D31769">
        <w:rPr>
          <w:lang w:val="fr-FR"/>
        </w:rPr>
        <w:t>Fiche de communication et numéros d’homologation :</w:t>
      </w:r>
    </w:p>
    <w:p w:rsidR="00D31769" w:rsidRPr="00D31769" w:rsidRDefault="00D31769" w:rsidP="00FC0F2B">
      <w:pPr>
        <w:pStyle w:val="SingleTxtG"/>
        <w:ind w:firstLine="567"/>
        <w:rPr>
          <w:lang w:val="fr-FR"/>
        </w:rPr>
      </w:pPr>
      <w:r w:rsidRPr="00D31769">
        <w:rPr>
          <w:lang w:val="fr-FR"/>
        </w:rPr>
        <w:t>Le GRVA voudra sans doute définir un plan d’action visant à donner suite à la proposition du groupe de travail informel de l’IWVTA concernant la numérotation (suivant l’annexe 4 de l’Accord) dans les fiches de communication des homologations délivrées conformément aux Règlements ONU relevant de la compétence du GRVA.</w:t>
      </w:r>
    </w:p>
    <w:p w:rsidR="00D31769" w:rsidRPr="00D31769" w:rsidRDefault="00D31769" w:rsidP="00BD7F67">
      <w:pPr>
        <w:pStyle w:val="SingleTxtG"/>
        <w:ind w:left="2552" w:hanging="1418"/>
        <w:rPr>
          <w:lang w:val="fr-FR"/>
        </w:rPr>
      </w:pPr>
      <w:r w:rsidRPr="00BD7F67">
        <w:rPr>
          <w:b/>
          <w:i/>
          <w:lang w:val="fr-FR"/>
        </w:rPr>
        <w:t>Document(s)</w:t>
      </w:r>
      <w:r w:rsidRPr="00D31769">
        <w:rPr>
          <w:b/>
          <w:lang w:val="fr-FR"/>
        </w:rPr>
        <w:t> </w:t>
      </w:r>
      <w:r w:rsidRPr="00D31769">
        <w:rPr>
          <w:lang w:val="fr-FR"/>
        </w:rPr>
        <w:t>:</w:t>
      </w:r>
      <w:r w:rsidRPr="00D31769">
        <w:rPr>
          <w:lang w:val="fr-FR"/>
        </w:rPr>
        <w:tab/>
      </w:r>
      <w:r w:rsidRPr="00D31769">
        <w:rPr>
          <w:b/>
          <w:bCs/>
          <w:lang w:val="fr-FR"/>
        </w:rPr>
        <w:t>(</w:t>
      </w:r>
      <w:r w:rsidRPr="00D31769">
        <w:rPr>
          <w:lang w:val="fr-FR"/>
        </w:rPr>
        <w:t>WP.29-176-19, dernière diapositive).</w:t>
      </w:r>
    </w:p>
    <w:p w:rsidR="00D31769" w:rsidRPr="00D31769" w:rsidRDefault="00BD7F67" w:rsidP="00BD7F67">
      <w:pPr>
        <w:pStyle w:val="H23G"/>
        <w:rPr>
          <w:lang w:val="fr-FR"/>
        </w:rPr>
      </w:pPr>
      <w:r>
        <w:rPr>
          <w:lang w:val="fr-FR"/>
        </w:rPr>
        <w:tab/>
      </w:r>
      <w:r w:rsidR="00D31769" w:rsidRPr="00D31769">
        <w:rPr>
          <w:lang w:val="fr-FR"/>
        </w:rPr>
        <w:t>b)</w:t>
      </w:r>
      <w:r w:rsidR="00D31769" w:rsidRPr="00D31769">
        <w:rPr>
          <w:lang w:val="fr-FR"/>
        </w:rPr>
        <w:tab/>
        <w:t>Homologation de type internationale de l’ensemble du véhicule</w:t>
      </w:r>
    </w:p>
    <w:p w:rsidR="00D31769" w:rsidRPr="00D31769" w:rsidRDefault="00D31769" w:rsidP="00FC0F2B">
      <w:pPr>
        <w:pStyle w:val="SingleTxtG"/>
        <w:ind w:firstLine="567"/>
        <w:rPr>
          <w:lang w:val="fr-FR"/>
        </w:rPr>
      </w:pPr>
      <w:r w:rsidRPr="00D31769">
        <w:rPr>
          <w:lang w:val="fr-FR"/>
        </w:rPr>
        <w:t>Le GRVA souhaitera probablement recevoir un rapport sur les activités du groupe de travail informel de l’IWVTA et des sous-groupes, le cas échéant.</w:t>
      </w:r>
    </w:p>
    <w:p w:rsidR="00D31769" w:rsidRPr="00D31769" w:rsidRDefault="00D31769" w:rsidP="00FC0F2B">
      <w:pPr>
        <w:pStyle w:val="SingleTxtG"/>
        <w:ind w:firstLine="567"/>
        <w:rPr>
          <w:lang w:val="fr-FR"/>
        </w:rPr>
      </w:pPr>
      <w:r w:rsidRPr="00D31769">
        <w:rPr>
          <w:lang w:val="fr-FR"/>
        </w:rPr>
        <w:t>Le GRVA a décidé d’examiner une proposition de l’expert de la Fédération de Russie, visant à harmoniser les dispositions du Règlement ONU n</w:t>
      </w:r>
      <w:r w:rsidRPr="00D31769">
        <w:rPr>
          <w:vertAlign w:val="superscript"/>
          <w:lang w:val="fr-FR"/>
        </w:rPr>
        <w:t>o</w:t>
      </w:r>
      <w:r w:rsidR="00BD7F67">
        <w:rPr>
          <w:lang w:val="fr-FR"/>
        </w:rPr>
        <w:t> </w:t>
      </w:r>
      <w:r w:rsidRPr="00D31769">
        <w:rPr>
          <w:lang w:val="fr-FR"/>
        </w:rPr>
        <w:t>90 relatives aux numéros et marques d’homologation avec celles contenues dans l’annexe 4 de l’Accord de</w:t>
      </w:r>
      <w:r w:rsidR="00BD7F67">
        <w:rPr>
          <w:lang w:val="fr-FR"/>
        </w:rPr>
        <w:t> </w:t>
      </w:r>
      <w:r w:rsidRPr="00D31769">
        <w:rPr>
          <w:lang w:val="fr-FR"/>
        </w:rPr>
        <w:t>1958, afin de régler le problème soulevé par le groupe de travail informel de l’IWVTA à la 175</w:t>
      </w:r>
      <w:r w:rsidRPr="00D31769">
        <w:rPr>
          <w:vertAlign w:val="superscript"/>
          <w:lang w:val="fr-FR"/>
        </w:rPr>
        <w:t>e</w:t>
      </w:r>
      <w:r w:rsidR="00BD7F67">
        <w:rPr>
          <w:lang w:val="fr-FR"/>
        </w:rPr>
        <w:t> </w:t>
      </w:r>
      <w:r w:rsidRPr="00D31769">
        <w:rPr>
          <w:lang w:val="fr-FR"/>
        </w:rPr>
        <w:t>session du WP.29 (ECE/TRANS/WP.29/1139</w:t>
      </w:r>
      <w:r w:rsidR="00BD7F67">
        <w:rPr>
          <w:lang w:val="fr-FR"/>
        </w:rPr>
        <w:t>, par. </w:t>
      </w:r>
      <w:r w:rsidRPr="00D31769">
        <w:rPr>
          <w:lang w:val="fr-FR"/>
        </w:rPr>
        <w:t>67).</w:t>
      </w:r>
    </w:p>
    <w:p w:rsidR="00D31769" w:rsidRPr="00D31769" w:rsidRDefault="00D31769" w:rsidP="00BD7F67">
      <w:pPr>
        <w:pStyle w:val="SingleTxtG"/>
        <w:ind w:left="2552" w:hanging="1418"/>
        <w:rPr>
          <w:lang w:val="fr-FR"/>
        </w:rPr>
      </w:pPr>
      <w:r w:rsidRPr="00BD7F67">
        <w:rPr>
          <w:b/>
          <w:i/>
          <w:lang w:val="fr-FR"/>
        </w:rPr>
        <w:t>Document(s)</w:t>
      </w:r>
      <w:r w:rsidRPr="00D31769">
        <w:rPr>
          <w:b/>
          <w:lang w:val="fr-FR"/>
        </w:rPr>
        <w:t> </w:t>
      </w:r>
      <w:r w:rsidRPr="00D31769">
        <w:rPr>
          <w:lang w:val="fr-FR"/>
        </w:rPr>
        <w:t>:</w:t>
      </w:r>
      <w:r w:rsidRPr="00D31769">
        <w:rPr>
          <w:lang w:val="fr-FR"/>
        </w:rPr>
        <w:tab/>
        <w:t>ECE/TRANS/WP.29/GRVA/2019/11.</w:t>
      </w:r>
    </w:p>
    <w:p w:rsidR="00D31769" w:rsidRPr="00D31769" w:rsidRDefault="00D31769" w:rsidP="00FC0F2B">
      <w:pPr>
        <w:pStyle w:val="SingleTxtG"/>
        <w:ind w:firstLine="567"/>
        <w:rPr>
          <w:lang w:val="fr-FR"/>
        </w:rPr>
      </w:pPr>
      <w:r w:rsidRPr="00D31769">
        <w:rPr>
          <w:lang w:val="fr-FR"/>
        </w:rPr>
        <w:t>Le GRVA examinera la liste des Règlements ONU pressentis pour être intégrés dans l’annexe 4 du Règlement ONU n</w:t>
      </w:r>
      <w:r w:rsidRPr="00D31769">
        <w:rPr>
          <w:vertAlign w:val="superscript"/>
          <w:lang w:val="fr-FR"/>
        </w:rPr>
        <w:t>o</w:t>
      </w:r>
      <w:r w:rsidR="00BB18EB">
        <w:rPr>
          <w:lang w:val="fr-FR"/>
        </w:rPr>
        <w:t> </w:t>
      </w:r>
      <w:r w:rsidRPr="00D31769">
        <w:rPr>
          <w:lang w:val="fr-FR"/>
        </w:rPr>
        <w:t>0 au cours de la deuxième phrase de l’IWVTA, et définira les priorités.</w:t>
      </w:r>
    </w:p>
    <w:p w:rsidR="00D31769" w:rsidRPr="00BD7F67" w:rsidRDefault="00D31769" w:rsidP="00BD7F67">
      <w:pPr>
        <w:pStyle w:val="SingleTxtG"/>
        <w:ind w:left="2552" w:hanging="1418"/>
        <w:rPr>
          <w:lang w:val="fr-FR"/>
        </w:rPr>
      </w:pPr>
      <w:r w:rsidRPr="00BD7F67">
        <w:rPr>
          <w:b/>
          <w:i/>
          <w:lang w:val="fr-FR"/>
        </w:rPr>
        <w:t>Document(s)</w:t>
      </w:r>
      <w:r w:rsidRPr="00D31769">
        <w:rPr>
          <w:b/>
          <w:lang w:val="fr-FR"/>
        </w:rPr>
        <w:t> </w:t>
      </w:r>
      <w:r w:rsidRPr="00D31769">
        <w:rPr>
          <w:lang w:val="fr-FR"/>
        </w:rPr>
        <w:t>:</w:t>
      </w:r>
      <w:r w:rsidRPr="00D31769">
        <w:rPr>
          <w:lang w:val="fr-FR"/>
        </w:rPr>
        <w:tab/>
      </w:r>
      <w:r w:rsidRPr="00BD7F67">
        <w:rPr>
          <w:lang w:val="fr-FR"/>
        </w:rPr>
        <w:t>(WP.29-176-21).</w:t>
      </w:r>
    </w:p>
    <w:p w:rsidR="00D31769" w:rsidRPr="00D31769" w:rsidRDefault="00BD7F67" w:rsidP="00BD7F67">
      <w:pPr>
        <w:pStyle w:val="H1G"/>
        <w:rPr>
          <w:lang w:val="fr-FR"/>
        </w:rPr>
      </w:pPr>
      <w:r>
        <w:rPr>
          <w:lang w:val="fr-FR"/>
        </w:rPr>
        <w:tab/>
      </w:r>
      <w:r w:rsidR="00D31769" w:rsidRPr="00D31769">
        <w:rPr>
          <w:lang w:val="fr-FR"/>
        </w:rPr>
        <w:t>13.</w:t>
      </w:r>
      <w:r w:rsidR="00D31769" w:rsidRPr="00D31769">
        <w:rPr>
          <w:lang w:val="fr-FR"/>
        </w:rPr>
        <w:tab/>
        <w:t>Élection du Bureau</w:t>
      </w:r>
    </w:p>
    <w:p w:rsidR="00D31769" w:rsidRPr="00D31769" w:rsidRDefault="00D31769" w:rsidP="00FC0F2B">
      <w:pPr>
        <w:pStyle w:val="SingleTxtG"/>
        <w:ind w:firstLine="567"/>
        <w:rPr>
          <w:lang w:val="fr-FR"/>
        </w:rPr>
      </w:pPr>
      <w:r w:rsidRPr="00D31769">
        <w:rPr>
          <w:lang w:val="fr-FR"/>
        </w:rPr>
        <w:t xml:space="preserve">Ainsi qu’en a décidé le WP.29 à sa session de novembre 2018, le GRVA élira, s’il le souhaite, un ou plusieurs </w:t>
      </w:r>
      <w:r w:rsidR="00BB18EB">
        <w:rPr>
          <w:lang w:val="fr-FR"/>
        </w:rPr>
        <w:t>Vice-P</w:t>
      </w:r>
      <w:r w:rsidRPr="00D31769">
        <w:rPr>
          <w:lang w:val="fr-FR"/>
        </w:rPr>
        <w:t>résidents pour l’année 2019.</w:t>
      </w:r>
    </w:p>
    <w:p w:rsidR="00D31769" w:rsidRPr="00D31769" w:rsidRDefault="00D31769" w:rsidP="00BD7F67">
      <w:pPr>
        <w:pStyle w:val="SingleTxtG"/>
        <w:ind w:left="2552" w:hanging="1418"/>
        <w:rPr>
          <w:lang w:val="en-US"/>
        </w:rPr>
      </w:pPr>
      <w:r w:rsidRPr="00BD7F67">
        <w:rPr>
          <w:b/>
          <w:i/>
          <w:lang w:val="en-US"/>
        </w:rPr>
        <w:t>Document(s)</w:t>
      </w:r>
      <w:r w:rsidRPr="00D31769">
        <w:rPr>
          <w:b/>
          <w:lang w:val="en-US"/>
        </w:rPr>
        <w:t> </w:t>
      </w:r>
      <w:r w:rsidRPr="00D31769">
        <w:rPr>
          <w:lang w:val="en-US"/>
        </w:rPr>
        <w:t>:</w:t>
      </w:r>
      <w:r w:rsidRPr="00D31769">
        <w:rPr>
          <w:lang w:val="en-US"/>
        </w:rPr>
        <w:tab/>
        <w:t>(</w:t>
      </w:r>
      <w:r w:rsidRPr="00BB18EB">
        <w:rPr>
          <w:lang w:val="en-US"/>
        </w:rPr>
        <w:t>ECE/TRANS</w:t>
      </w:r>
      <w:r w:rsidR="00BD7F67" w:rsidRPr="00BB18EB">
        <w:rPr>
          <w:lang w:val="en-US"/>
        </w:rPr>
        <w:t>/WP.</w:t>
      </w:r>
      <w:r w:rsidR="00BD7F67">
        <w:rPr>
          <w:lang w:val="en-US"/>
        </w:rPr>
        <w:t>29/1142</w:t>
      </w:r>
      <w:r w:rsidR="00BD7F67">
        <w:rPr>
          <w:lang w:val="en-US"/>
        </w:rPr>
        <w:br/>
      </w:r>
      <w:r w:rsidRPr="00D31769">
        <w:rPr>
          <w:lang w:val="en-US"/>
        </w:rPr>
        <w:t>ECE/TRANS/WP.29/2018/166).</w:t>
      </w:r>
    </w:p>
    <w:p w:rsidR="00D31769" w:rsidRPr="00D31769" w:rsidRDefault="00BD7F67" w:rsidP="00BD7F67">
      <w:pPr>
        <w:pStyle w:val="H1G"/>
        <w:rPr>
          <w:lang w:val="fr-FR"/>
        </w:rPr>
      </w:pPr>
      <w:r>
        <w:rPr>
          <w:lang w:val="fr-FR"/>
        </w:rPr>
        <w:lastRenderedPageBreak/>
        <w:tab/>
      </w:r>
      <w:r w:rsidR="00D31769" w:rsidRPr="00D31769">
        <w:rPr>
          <w:lang w:val="fr-FR"/>
        </w:rPr>
        <w:t>14.</w:t>
      </w:r>
      <w:r w:rsidR="00D31769" w:rsidRPr="00D31769">
        <w:rPr>
          <w:lang w:val="fr-FR"/>
        </w:rPr>
        <w:tab/>
        <w:t>Questions diverses</w:t>
      </w:r>
    </w:p>
    <w:p w:rsidR="00D31769" w:rsidRDefault="00D31769" w:rsidP="00FC0F2B">
      <w:pPr>
        <w:pStyle w:val="SingleTxtG"/>
        <w:ind w:firstLine="567"/>
      </w:pPr>
      <w:r w:rsidRPr="00D31769">
        <w:rPr>
          <w:lang w:val="fr-FR"/>
        </w:rPr>
        <w:t>Le GRVA souhaitera peut-être examiner toute autre proposition qui pourrait lui être présentée.</w:t>
      </w:r>
    </w:p>
    <w:p w:rsidR="00D31769" w:rsidRPr="00BD7F67" w:rsidRDefault="00BD7F67" w:rsidP="00BD7F67">
      <w:pPr>
        <w:pStyle w:val="SingleTxtG"/>
        <w:spacing w:before="240" w:after="0"/>
        <w:jc w:val="center"/>
        <w:rPr>
          <w:u w:val="single"/>
        </w:rPr>
      </w:pPr>
      <w:r>
        <w:rPr>
          <w:u w:val="single"/>
        </w:rPr>
        <w:tab/>
      </w:r>
      <w:r>
        <w:rPr>
          <w:u w:val="single"/>
        </w:rPr>
        <w:tab/>
      </w:r>
      <w:r>
        <w:rPr>
          <w:u w:val="single"/>
        </w:rPr>
        <w:tab/>
      </w:r>
    </w:p>
    <w:sectPr w:rsidR="00D31769" w:rsidRPr="00BD7F67" w:rsidSect="00D3176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ADC" w:rsidRDefault="00A41ADC" w:rsidP="00F95C08">
      <w:pPr>
        <w:spacing w:line="240" w:lineRule="auto"/>
      </w:pPr>
    </w:p>
  </w:endnote>
  <w:endnote w:type="continuationSeparator" w:id="0">
    <w:p w:rsidR="00A41ADC" w:rsidRPr="00AC3823" w:rsidRDefault="00A41ADC" w:rsidP="00AC3823">
      <w:pPr>
        <w:pStyle w:val="Footer"/>
      </w:pPr>
    </w:p>
  </w:endnote>
  <w:endnote w:type="continuationNotice" w:id="1">
    <w:p w:rsidR="00A41ADC" w:rsidRDefault="00A41A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769" w:rsidRPr="00D31769" w:rsidRDefault="00D31769" w:rsidP="00D31769">
    <w:pPr>
      <w:pStyle w:val="Footer"/>
      <w:tabs>
        <w:tab w:val="right" w:pos="9638"/>
      </w:tabs>
    </w:pPr>
    <w:r w:rsidRPr="00D31769">
      <w:rPr>
        <w:b/>
        <w:sz w:val="18"/>
      </w:rPr>
      <w:fldChar w:fldCharType="begin"/>
    </w:r>
    <w:r w:rsidRPr="00D31769">
      <w:rPr>
        <w:b/>
        <w:sz w:val="18"/>
      </w:rPr>
      <w:instrText xml:space="preserve"> PAGE  \* MERGEFORMAT </w:instrText>
    </w:r>
    <w:r w:rsidRPr="00D31769">
      <w:rPr>
        <w:b/>
        <w:sz w:val="18"/>
      </w:rPr>
      <w:fldChar w:fldCharType="separate"/>
    </w:r>
    <w:r w:rsidR="002B260F">
      <w:rPr>
        <w:b/>
        <w:noProof/>
        <w:sz w:val="18"/>
      </w:rPr>
      <w:t>6</w:t>
    </w:r>
    <w:r w:rsidRPr="00D31769">
      <w:rPr>
        <w:b/>
        <w:sz w:val="18"/>
      </w:rPr>
      <w:fldChar w:fldCharType="end"/>
    </w:r>
    <w:r>
      <w:rPr>
        <w:b/>
        <w:sz w:val="18"/>
      </w:rPr>
      <w:tab/>
    </w:r>
    <w:r>
      <w:t>GE.18-19707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769" w:rsidRPr="00D31769" w:rsidRDefault="00D31769" w:rsidP="00D31769">
    <w:pPr>
      <w:pStyle w:val="Footer"/>
      <w:tabs>
        <w:tab w:val="right" w:pos="9638"/>
      </w:tabs>
      <w:rPr>
        <w:b/>
        <w:sz w:val="18"/>
      </w:rPr>
    </w:pPr>
    <w:r>
      <w:t>GE.18-19707</w:t>
    </w:r>
    <w:r>
      <w:tab/>
    </w:r>
    <w:r w:rsidRPr="00D31769">
      <w:rPr>
        <w:b/>
        <w:sz w:val="18"/>
      </w:rPr>
      <w:fldChar w:fldCharType="begin"/>
    </w:r>
    <w:r w:rsidRPr="00D31769">
      <w:rPr>
        <w:b/>
        <w:sz w:val="18"/>
      </w:rPr>
      <w:instrText xml:space="preserve"> PAGE  \* MERGEFORMAT </w:instrText>
    </w:r>
    <w:r w:rsidRPr="00D31769">
      <w:rPr>
        <w:b/>
        <w:sz w:val="18"/>
      </w:rPr>
      <w:fldChar w:fldCharType="separate"/>
    </w:r>
    <w:r w:rsidR="002B260F">
      <w:rPr>
        <w:b/>
        <w:noProof/>
        <w:sz w:val="18"/>
      </w:rPr>
      <w:t>7</w:t>
    </w:r>
    <w:r w:rsidRPr="00D317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31769" w:rsidRDefault="00D31769" w:rsidP="00D3176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18-19707  (F)</w:t>
    </w:r>
    <w:r w:rsidR="00BB18EB">
      <w:rPr>
        <w:sz w:val="20"/>
      </w:rPr>
      <w:t xml:space="preserve">    271118    051218</w:t>
    </w:r>
    <w:r>
      <w:rPr>
        <w:sz w:val="20"/>
      </w:rPr>
      <w:br/>
    </w:r>
    <w:r w:rsidRPr="00D31769">
      <w:rPr>
        <w:rFonts w:ascii="C39T30Lfz" w:hAnsi="C39T30Lfz"/>
        <w:sz w:val="56"/>
      </w:rPr>
      <w:t></w:t>
    </w:r>
    <w:r w:rsidRPr="00D31769">
      <w:rPr>
        <w:rFonts w:ascii="C39T30Lfz" w:hAnsi="C39T30Lfz"/>
        <w:sz w:val="56"/>
      </w:rPr>
      <w:t></w:t>
    </w:r>
    <w:r w:rsidRPr="00D31769">
      <w:rPr>
        <w:rFonts w:ascii="C39T30Lfz" w:hAnsi="C39T30Lfz"/>
        <w:sz w:val="56"/>
      </w:rPr>
      <w:t></w:t>
    </w:r>
    <w:r w:rsidRPr="00D31769">
      <w:rPr>
        <w:rFonts w:ascii="C39T30Lfz" w:hAnsi="C39T30Lfz"/>
        <w:sz w:val="56"/>
      </w:rPr>
      <w:t></w:t>
    </w:r>
    <w:r w:rsidRPr="00D31769">
      <w:rPr>
        <w:rFonts w:ascii="C39T30Lfz" w:hAnsi="C39T30Lfz"/>
        <w:sz w:val="56"/>
      </w:rPr>
      <w:t></w:t>
    </w:r>
    <w:r w:rsidRPr="00D31769">
      <w:rPr>
        <w:rFonts w:ascii="C39T30Lfz" w:hAnsi="C39T30Lfz"/>
        <w:sz w:val="56"/>
      </w:rPr>
      <w:t></w:t>
    </w:r>
    <w:r w:rsidRPr="00D31769">
      <w:rPr>
        <w:rFonts w:ascii="C39T30Lfz" w:hAnsi="C39T30Lfz"/>
        <w:sz w:val="56"/>
      </w:rPr>
      <w:t></w:t>
    </w:r>
    <w:r w:rsidRPr="00D31769">
      <w:rPr>
        <w:rFonts w:ascii="C39T30Lfz" w:hAnsi="C39T30Lfz"/>
        <w:sz w:val="56"/>
      </w:rPr>
      <w:t></w:t>
    </w:r>
    <w:r w:rsidRPr="00D3176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ADC" w:rsidRPr="00AC3823" w:rsidRDefault="00A41ADC" w:rsidP="00AC3823">
      <w:pPr>
        <w:pStyle w:val="Footer"/>
        <w:tabs>
          <w:tab w:val="right" w:pos="2155"/>
        </w:tabs>
        <w:spacing w:after="80" w:line="240" w:lineRule="atLeast"/>
        <w:ind w:left="680"/>
        <w:rPr>
          <w:u w:val="single"/>
        </w:rPr>
      </w:pPr>
      <w:r>
        <w:rPr>
          <w:u w:val="single"/>
        </w:rPr>
        <w:tab/>
      </w:r>
    </w:p>
  </w:footnote>
  <w:footnote w:type="continuationSeparator" w:id="0">
    <w:p w:rsidR="00A41ADC" w:rsidRPr="00AC3823" w:rsidRDefault="00A41ADC" w:rsidP="00AC3823">
      <w:pPr>
        <w:pStyle w:val="Footer"/>
        <w:tabs>
          <w:tab w:val="right" w:pos="2155"/>
        </w:tabs>
        <w:spacing w:after="80" w:line="240" w:lineRule="atLeast"/>
        <w:ind w:left="680"/>
        <w:rPr>
          <w:u w:val="single"/>
        </w:rPr>
      </w:pPr>
      <w:r>
        <w:rPr>
          <w:u w:val="single"/>
        </w:rPr>
        <w:tab/>
      </w:r>
    </w:p>
  </w:footnote>
  <w:footnote w:type="continuationNotice" w:id="1">
    <w:p w:rsidR="00A41ADC" w:rsidRPr="00AC3823" w:rsidRDefault="00A41ADC">
      <w:pPr>
        <w:spacing w:line="240" w:lineRule="auto"/>
        <w:rPr>
          <w:sz w:val="2"/>
          <w:szCs w:val="2"/>
        </w:rPr>
      </w:pPr>
    </w:p>
  </w:footnote>
  <w:footnote w:id="2">
    <w:p w:rsidR="00D31769" w:rsidRPr="00D31769" w:rsidRDefault="00D31769">
      <w:pPr>
        <w:pStyle w:val="FootnoteText"/>
      </w:pPr>
      <w:r>
        <w:rPr>
          <w:rStyle w:val="FootnoteReference"/>
        </w:rPr>
        <w:tab/>
      </w:r>
      <w:r w:rsidRPr="00D31769">
        <w:rPr>
          <w:rStyle w:val="FootnoteReference"/>
          <w:sz w:val="20"/>
          <w:vertAlign w:val="baseline"/>
        </w:rPr>
        <w:t>*</w:t>
      </w:r>
      <w:r>
        <w:rPr>
          <w:rStyle w:val="FootnoteReference"/>
          <w:sz w:val="20"/>
          <w:vertAlign w:val="baseline"/>
        </w:rPr>
        <w:tab/>
      </w:r>
      <w:r>
        <w:rPr>
          <w:sz w:val="20"/>
        </w:rPr>
        <w:t xml:space="preserve">Ancien </w:t>
      </w:r>
      <w:r w:rsidRPr="00E75AEF">
        <w:rPr>
          <w:b/>
          <w:sz w:val="20"/>
        </w:rPr>
        <w:t>Groupe de travail en matière de roulement et de freinage (GRRF)</w:t>
      </w:r>
      <w:r>
        <w:rPr>
          <w:sz w:val="20"/>
        </w:rPr>
        <w:t>.</w:t>
      </w:r>
    </w:p>
  </w:footnote>
  <w:footnote w:id="3">
    <w:p w:rsidR="00D31769" w:rsidRPr="00D31769" w:rsidRDefault="00D31769">
      <w:pPr>
        <w:pStyle w:val="FootnoteText"/>
      </w:pPr>
      <w:r>
        <w:rPr>
          <w:rStyle w:val="FootnoteReference"/>
        </w:rPr>
        <w:tab/>
      </w:r>
      <w:r w:rsidRPr="00D31769">
        <w:rPr>
          <w:rStyle w:val="FootnoteReference"/>
          <w:sz w:val="20"/>
          <w:vertAlign w:val="baseline"/>
        </w:rPr>
        <w:t>**</w:t>
      </w:r>
      <w:r>
        <w:rPr>
          <w:rStyle w:val="FootnoteReference"/>
          <w:sz w:val="20"/>
          <w:vertAlign w:val="baseline"/>
        </w:rPr>
        <w:tab/>
      </w:r>
      <w:r>
        <w:rPr>
          <w:szCs w:val="18"/>
        </w:rPr>
        <w:t xml:space="preserve">Les représentants sont priés de remplir le formulaire d’inscription disponible sur le site Web de la CEE </w:t>
      </w:r>
      <w:r w:rsidRPr="006B20E3">
        <w:rPr>
          <w:szCs w:val="18"/>
        </w:rPr>
        <w:t>(</w:t>
      </w:r>
      <w:hyperlink r:id="rId1" w:history="1">
        <w:r w:rsidRPr="00B65522">
          <w:rPr>
            <w:rStyle w:val="Hyperlink"/>
            <w:szCs w:val="18"/>
          </w:rPr>
          <w:t>https://uncdb.unece.org/app/ext/meeting-registration?id=a69ls1</w:t>
        </w:r>
      </w:hyperlink>
      <w:r w:rsidRPr="006B20E3">
        <w:rPr>
          <w:szCs w:val="18"/>
        </w:rPr>
        <w:t>).</w:t>
      </w:r>
      <w:r>
        <w:rPr>
          <w:szCs w:val="18"/>
        </w:rPr>
        <w:t xml:space="preserve"> À leur arrivée au Palais des Nations, ils doivent retirer un badge à la Section de la sécurité et de la sûreté, située au Portail de Pregny (14, avenue de la Paix). En cas de difficulté, ils sont invités à contacter le secrétariat par téléphone (poste</w:t>
      </w:r>
      <w:r w:rsidRPr="006B20E3">
        <w:rPr>
          <w:szCs w:val="18"/>
        </w:rPr>
        <w:t xml:space="preserve"> 74323).</w:t>
      </w:r>
      <w:r>
        <w:rPr>
          <w:szCs w:val="18"/>
        </w:rPr>
        <w:t xml:space="preserve"> Un plan du Palais des Nations et d’autres renseignements utiles sont disponibles à l’adresse </w:t>
      </w:r>
      <w:hyperlink r:id="rId2" w:history="1">
        <w:r w:rsidRPr="006B20E3">
          <w:rPr>
            <w:rStyle w:val="Hyperlink"/>
            <w:szCs w:val="18"/>
          </w:rPr>
          <w:t>www.unece.org/meetings/practical.htm</w:t>
        </w:r>
      </w:hyperlink>
      <w:r>
        <w:rPr>
          <w:rStyle w:val="Hyperlink"/>
          <w:szCs w:val="18"/>
        </w:rPr>
        <w:t>.</w:t>
      </w:r>
    </w:p>
  </w:footnote>
  <w:footnote w:id="4">
    <w:p w:rsidR="00D31769" w:rsidRPr="00D31769" w:rsidRDefault="00D31769">
      <w:pPr>
        <w:pStyle w:val="FootnoteText"/>
      </w:pPr>
      <w:r>
        <w:rPr>
          <w:rStyle w:val="FootnoteReference"/>
        </w:rPr>
        <w:tab/>
      </w:r>
      <w:r w:rsidRPr="00D31769">
        <w:rPr>
          <w:rStyle w:val="FootnoteReference"/>
          <w:sz w:val="20"/>
          <w:vertAlign w:val="baseline"/>
        </w:rPr>
        <w:t>***</w:t>
      </w:r>
      <w:r>
        <w:rPr>
          <w:rStyle w:val="FootnoteReference"/>
          <w:sz w:val="20"/>
          <w:vertAlign w:val="baseline"/>
        </w:rPr>
        <w:tab/>
      </w:r>
      <w:r>
        <w:rPr>
          <w:szCs w:val="18"/>
        </w:rPr>
        <w:t xml:space="preserve">Pour des raisons d’économie, les représentants sont priés de se rendre à la session munis de leurs exemplaires de tous les documents pertinents. Aucun document ne sera distribué en salle de réunion. Avant la session, les documents peuvent être téléchargés à partir du site Web de la Division des transports durables de la CEE. Durant la session, les documents officiels peuvent être obtenus auprès de la Section de la distribution des documents de l’ONUG </w:t>
      </w:r>
      <w:r w:rsidRPr="00E75AEF">
        <w:t>(</w:t>
      </w:r>
      <w:r>
        <w:t>bureau C.337 au 3</w:t>
      </w:r>
      <w:r w:rsidRPr="00226CC5">
        <w:rPr>
          <w:vertAlign w:val="superscript"/>
        </w:rPr>
        <w:t>e</w:t>
      </w:r>
      <w:r>
        <w:t xml:space="preserve"> étage du </w:t>
      </w:r>
      <w:r w:rsidRPr="00E75AEF">
        <w:t>Palais des Nations).</w:t>
      </w:r>
      <w:r>
        <w:t xml:space="preserve"> Les versions traduites de ces documents sont disponibles en accès public sur le Système de diffusion électronique des documents (SEDOC), à l’adresse </w:t>
      </w:r>
      <w:hyperlink r:id="rId3" w:history="1">
        <w:r w:rsidRPr="00E75AEF">
          <w:t>documents.un.org/</w:t>
        </w:r>
      </w:hyperlink>
      <w:r w:rsidRPr="00E75AE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769" w:rsidRPr="00D31769" w:rsidRDefault="00A438EC">
    <w:pPr>
      <w:pStyle w:val="Header"/>
    </w:pPr>
    <w:r>
      <w:fldChar w:fldCharType="begin"/>
    </w:r>
    <w:r>
      <w:instrText xml:space="preserve"> TITLE  \* MERGEFORMAT </w:instrText>
    </w:r>
    <w:r>
      <w:fldChar w:fldCharType="separate"/>
    </w:r>
    <w:r w:rsidR="00F022CD">
      <w:t>ECE/TRANS/WP.29/GRVA/2019/1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769" w:rsidRPr="00D31769" w:rsidRDefault="00A438EC" w:rsidP="00D31769">
    <w:pPr>
      <w:pStyle w:val="Header"/>
      <w:jc w:val="right"/>
    </w:pPr>
    <w:r>
      <w:fldChar w:fldCharType="begin"/>
    </w:r>
    <w:r>
      <w:instrText xml:space="preserve"> TITLE  \* MERGEFORMAT </w:instrText>
    </w:r>
    <w:r>
      <w:fldChar w:fldCharType="separate"/>
    </w:r>
    <w:r w:rsidR="00F022CD">
      <w:t>ECE/TRANS/WP.29/GRVA/2019/1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2238"/>
    <w:multiLevelType w:val="hybridMultilevel"/>
    <w:tmpl w:val="A2005A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DC"/>
    <w:rsid w:val="00017F94"/>
    <w:rsid w:val="00023842"/>
    <w:rsid w:val="000334F9"/>
    <w:rsid w:val="00045FEB"/>
    <w:rsid w:val="0007796D"/>
    <w:rsid w:val="000B7790"/>
    <w:rsid w:val="000E58AA"/>
    <w:rsid w:val="00111F2F"/>
    <w:rsid w:val="0014365E"/>
    <w:rsid w:val="00143C66"/>
    <w:rsid w:val="00176178"/>
    <w:rsid w:val="001F525A"/>
    <w:rsid w:val="00223272"/>
    <w:rsid w:val="0024779E"/>
    <w:rsid w:val="00257168"/>
    <w:rsid w:val="002744B8"/>
    <w:rsid w:val="002832AC"/>
    <w:rsid w:val="00292415"/>
    <w:rsid w:val="002B260F"/>
    <w:rsid w:val="002D7C93"/>
    <w:rsid w:val="00305801"/>
    <w:rsid w:val="003916DE"/>
    <w:rsid w:val="00421996"/>
    <w:rsid w:val="00441C3B"/>
    <w:rsid w:val="00446FE5"/>
    <w:rsid w:val="00452396"/>
    <w:rsid w:val="004837D8"/>
    <w:rsid w:val="004E2EED"/>
    <w:rsid w:val="004E468C"/>
    <w:rsid w:val="005126EC"/>
    <w:rsid w:val="005505B7"/>
    <w:rsid w:val="00573BE5"/>
    <w:rsid w:val="00586ED3"/>
    <w:rsid w:val="00596AA9"/>
    <w:rsid w:val="005B6BF1"/>
    <w:rsid w:val="00612FBB"/>
    <w:rsid w:val="006B4C0B"/>
    <w:rsid w:val="0071601D"/>
    <w:rsid w:val="00792CC5"/>
    <w:rsid w:val="007A62E6"/>
    <w:rsid w:val="007F20FA"/>
    <w:rsid w:val="0080152E"/>
    <w:rsid w:val="0080684C"/>
    <w:rsid w:val="00871C75"/>
    <w:rsid w:val="008776DC"/>
    <w:rsid w:val="009446C0"/>
    <w:rsid w:val="009705C8"/>
    <w:rsid w:val="009C1CF4"/>
    <w:rsid w:val="009F6B74"/>
    <w:rsid w:val="00A3029F"/>
    <w:rsid w:val="00A30353"/>
    <w:rsid w:val="00A41ADC"/>
    <w:rsid w:val="00A438EC"/>
    <w:rsid w:val="00AC3823"/>
    <w:rsid w:val="00AE323C"/>
    <w:rsid w:val="00AF0CB5"/>
    <w:rsid w:val="00B00181"/>
    <w:rsid w:val="00B00B0D"/>
    <w:rsid w:val="00B45F2E"/>
    <w:rsid w:val="00B765F7"/>
    <w:rsid w:val="00BA0CA9"/>
    <w:rsid w:val="00BB18EB"/>
    <w:rsid w:val="00BD7F67"/>
    <w:rsid w:val="00C02897"/>
    <w:rsid w:val="00C97039"/>
    <w:rsid w:val="00CF1ABB"/>
    <w:rsid w:val="00D31769"/>
    <w:rsid w:val="00D3439C"/>
    <w:rsid w:val="00DB1831"/>
    <w:rsid w:val="00DD3BFD"/>
    <w:rsid w:val="00DF6678"/>
    <w:rsid w:val="00E0299A"/>
    <w:rsid w:val="00E85C74"/>
    <w:rsid w:val="00EA6547"/>
    <w:rsid w:val="00EF2E22"/>
    <w:rsid w:val="00F022CD"/>
    <w:rsid w:val="00F35BAF"/>
    <w:rsid w:val="00F660DF"/>
    <w:rsid w:val="00F833C4"/>
    <w:rsid w:val="00F94664"/>
    <w:rsid w:val="00F9573C"/>
    <w:rsid w:val="00F95C08"/>
    <w:rsid w:val="00FC0F2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9D034E-D3D5-4E36-B59E-AE30ABE4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http://www.unece.org/meetings/practical.htm" TargetMode="External"/><Relationship Id="rId1" Type="http://schemas.openxmlformats.org/officeDocument/2006/relationships/hyperlink" Target="https://uncdb.unece.org/app/ext/meeting-registration?id=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1959</Words>
  <Characters>11170</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ECE/TRANS/WP.29/GRVA/2019/1</vt:lpstr>
      <vt:lpstr>ECE/TRANS/WP.29/GRVA/2019/1</vt:lpstr>
    </vt:vector>
  </TitlesOfParts>
  <Company>DCM</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dc:title>
  <dc:subject/>
  <dc:creator>Fabienne CRELIER</dc:creator>
  <cp:keywords/>
  <cp:lastModifiedBy>Benedicte Boudol</cp:lastModifiedBy>
  <cp:revision>2</cp:revision>
  <cp:lastPrinted>2018-12-05T11:00:00Z</cp:lastPrinted>
  <dcterms:created xsi:type="dcterms:W3CDTF">2018-12-05T13:42:00Z</dcterms:created>
  <dcterms:modified xsi:type="dcterms:W3CDTF">2018-12-05T13:42:00Z</dcterms:modified>
</cp:coreProperties>
</file>