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410B605" w14:textId="77777777" w:rsidTr="00C97039">
        <w:trPr>
          <w:trHeight w:hRule="exact" w:val="851"/>
        </w:trPr>
        <w:tc>
          <w:tcPr>
            <w:tcW w:w="1276" w:type="dxa"/>
            <w:tcBorders>
              <w:bottom w:val="single" w:sz="4" w:space="0" w:color="auto"/>
            </w:tcBorders>
          </w:tcPr>
          <w:p w14:paraId="45D4EBD0" w14:textId="77777777" w:rsidR="00F35BAF" w:rsidRPr="00DB58B5" w:rsidRDefault="00F35BAF" w:rsidP="00852B77"/>
        </w:tc>
        <w:tc>
          <w:tcPr>
            <w:tcW w:w="2268" w:type="dxa"/>
            <w:tcBorders>
              <w:bottom w:val="single" w:sz="4" w:space="0" w:color="auto"/>
            </w:tcBorders>
            <w:vAlign w:val="bottom"/>
          </w:tcPr>
          <w:p w14:paraId="14676FD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F3B614D" w14:textId="77777777" w:rsidR="00F35BAF" w:rsidRPr="00DB58B5" w:rsidRDefault="00852B77" w:rsidP="00852B77">
            <w:pPr>
              <w:jc w:val="right"/>
            </w:pPr>
            <w:r w:rsidRPr="00852B77">
              <w:rPr>
                <w:sz w:val="40"/>
              </w:rPr>
              <w:t>ECE</w:t>
            </w:r>
            <w:r>
              <w:t>/TRANS/WP.29/GRSP/2019/29</w:t>
            </w:r>
          </w:p>
        </w:tc>
      </w:tr>
      <w:tr w:rsidR="00F35BAF" w:rsidRPr="00DB58B5" w14:paraId="034497A8" w14:textId="77777777" w:rsidTr="00C97039">
        <w:trPr>
          <w:trHeight w:hRule="exact" w:val="2835"/>
        </w:trPr>
        <w:tc>
          <w:tcPr>
            <w:tcW w:w="1276" w:type="dxa"/>
            <w:tcBorders>
              <w:top w:val="single" w:sz="4" w:space="0" w:color="auto"/>
              <w:bottom w:val="single" w:sz="12" w:space="0" w:color="auto"/>
            </w:tcBorders>
          </w:tcPr>
          <w:p w14:paraId="102398A3" w14:textId="77777777" w:rsidR="00F35BAF" w:rsidRPr="00DB58B5" w:rsidRDefault="00F35BAF" w:rsidP="00C97039">
            <w:pPr>
              <w:spacing w:before="120"/>
              <w:jc w:val="center"/>
            </w:pPr>
            <w:r>
              <w:rPr>
                <w:noProof/>
                <w:lang w:eastAsia="fr-CH"/>
              </w:rPr>
              <w:drawing>
                <wp:inline distT="0" distB="0" distL="0" distR="0" wp14:anchorId="4938C76A" wp14:editId="22470D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A36F3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8EF890B" w14:textId="77777777" w:rsidR="00F35BAF" w:rsidRDefault="00852B77" w:rsidP="00C97039">
            <w:pPr>
              <w:spacing w:before="240"/>
            </w:pPr>
            <w:r>
              <w:t>Distr. générale</w:t>
            </w:r>
          </w:p>
          <w:p w14:paraId="78695DEF" w14:textId="77777777" w:rsidR="00852B77" w:rsidRDefault="00852B77" w:rsidP="00852B77">
            <w:pPr>
              <w:spacing w:line="240" w:lineRule="exact"/>
            </w:pPr>
            <w:r>
              <w:t>26 septembre 2019</w:t>
            </w:r>
          </w:p>
          <w:p w14:paraId="7D458C16" w14:textId="77777777" w:rsidR="00852B77" w:rsidRDefault="00852B77" w:rsidP="00852B77">
            <w:pPr>
              <w:spacing w:line="240" w:lineRule="exact"/>
            </w:pPr>
            <w:r>
              <w:t>Français</w:t>
            </w:r>
          </w:p>
          <w:p w14:paraId="701C2857" w14:textId="77777777" w:rsidR="00852B77" w:rsidRPr="00DB58B5" w:rsidRDefault="00852B77" w:rsidP="00852B77">
            <w:pPr>
              <w:spacing w:line="240" w:lineRule="exact"/>
            </w:pPr>
            <w:r>
              <w:t>Original : anglais</w:t>
            </w:r>
          </w:p>
        </w:tc>
      </w:tr>
    </w:tbl>
    <w:p w14:paraId="797AB9DB" w14:textId="77777777" w:rsidR="007F20FA" w:rsidRPr="000312C0" w:rsidRDefault="007F20FA" w:rsidP="007F20FA">
      <w:pPr>
        <w:spacing w:before="120"/>
        <w:rPr>
          <w:b/>
          <w:sz w:val="28"/>
          <w:szCs w:val="28"/>
        </w:rPr>
      </w:pPr>
      <w:r w:rsidRPr="000312C0">
        <w:rPr>
          <w:b/>
          <w:sz w:val="28"/>
          <w:szCs w:val="28"/>
        </w:rPr>
        <w:t>Commission économique pour l’Europe</w:t>
      </w:r>
    </w:p>
    <w:p w14:paraId="7438FEBE" w14:textId="77777777" w:rsidR="007F20FA" w:rsidRDefault="007F20FA" w:rsidP="007F20FA">
      <w:pPr>
        <w:spacing w:before="120"/>
        <w:rPr>
          <w:sz w:val="28"/>
          <w:szCs w:val="28"/>
        </w:rPr>
      </w:pPr>
      <w:r w:rsidRPr="00685843">
        <w:rPr>
          <w:sz w:val="28"/>
          <w:szCs w:val="28"/>
        </w:rPr>
        <w:t>Comité des transports intérieurs</w:t>
      </w:r>
    </w:p>
    <w:p w14:paraId="4991BD6D" w14:textId="77777777" w:rsidR="00852B77" w:rsidRPr="004B20EA" w:rsidRDefault="00852B77" w:rsidP="004B20EA">
      <w:pPr>
        <w:spacing w:before="120"/>
        <w:rPr>
          <w:b/>
          <w:sz w:val="24"/>
          <w:szCs w:val="24"/>
        </w:rPr>
      </w:pPr>
      <w:r w:rsidRPr="004B20EA">
        <w:rPr>
          <w:b/>
          <w:sz w:val="24"/>
          <w:szCs w:val="24"/>
        </w:rPr>
        <w:t xml:space="preserve">Forum mondial de l’harmonisation des Règlements </w:t>
      </w:r>
      <w:r w:rsidR="004B20EA">
        <w:rPr>
          <w:b/>
          <w:sz w:val="24"/>
          <w:szCs w:val="24"/>
        </w:rPr>
        <w:br/>
      </w:r>
      <w:r w:rsidRPr="004B20EA">
        <w:rPr>
          <w:b/>
          <w:sz w:val="24"/>
          <w:szCs w:val="24"/>
        </w:rPr>
        <w:t xml:space="preserve">concernant les véhicules </w:t>
      </w:r>
    </w:p>
    <w:p w14:paraId="771CE8EB" w14:textId="77777777" w:rsidR="00852B77" w:rsidRPr="004B20EA" w:rsidRDefault="00852B77" w:rsidP="004B20EA">
      <w:pPr>
        <w:spacing w:before="120"/>
        <w:rPr>
          <w:b/>
        </w:rPr>
      </w:pPr>
      <w:r w:rsidRPr="004B20EA">
        <w:rPr>
          <w:b/>
        </w:rPr>
        <w:t xml:space="preserve">Groupe de travail de la sécurité passive </w:t>
      </w:r>
    </w:p>
    <w:p w14:paraId="2B2075E9" w14:textId="77777777" w:rsidR="00852B77" w:rsidRPr="004B20EA" w:rsidRDefault="00852B77" w:rsidP="004B20EA">
      <w:pPr>
        <w:spacing w:before="120"/>
        <w:rPr>
          <w:b/>
        </w:rPr>
      </w:pPr>
      <w:r w:rsidRPr="004B20EA">
        <w:rPr>
          <w:b/>
        </w:rPr>
        <w:t xml:space="preserve">Soixante-sixième session </w:t>
      </w:r>
    </w:p>
    <w:p w14:paraId="17582CE9" w14:textId="77777777" w:rsidR="00852B77" w:rsidRPr="004B20EA" w:rsidRDefault="00852B77" w:rsidP="00852B77">
      <w:r w:rsidRPr="004B20EA">
        <w:t>Genève, 10-13</w:t>
      </w:r>
      <w:r w:rsidR="004B20EA">
        <w:t> </w:t>
      </w:r>
      <w:r w:rsidRPr="004B20EA">
        <w:t>décembre 2019</w:t>
      </w:r>
    </w:p>
    <w:p w14:paraId="2CBFA224" w14:textId="77777777" w:rsidR="00852B77" w:rsidRPr="004B20EA" w:rsidRDefault="00852B77" w:rsidP="00852B77">
      <w:r w:rsidRPr="004B20EA">
        <w:t>Point</w:t>
      </w:r>
      <w:r w:rsidR="004B20EA">
        <w:t> </w:t>
      </w:r>
      <w:r w:rsidRPr="004B20EA">
        <w:t>15 de l’ordre du jour provisoire</w:t>
      </w:r>
    </w:p>
    <w:p w14:paraId="4EBBFB18" w14:textId="77777777" w:rsidR="00852B77" w:rsidRPr="004B20EA" w:rsidRDefault="00852B77" w:rsidP="00852B77">
      <w:r w:rsidRPr="004B20EA">
        <w:rPr>
          <w:b/>
        </w:rPr>
        <w:t>Règlement ONU n</w:t>
      </w:r>
      <w:r w:rsidRPr="004B20EA">
        <w:rPr>
          <w:b/>
          <w:vertAlign w:val="superscript"/>
        </w:rPr>
        <w:t>o</w:t>
      </w:r>
      <w:r w:rsidR="004B20EA">
        <w:rPr>
          <w:b/>
        </w:rPr>
        <w:t> </w:t>
      </w:r>
      <w:r w:rsidRPr="004B20EA">
        <w:rPr>
          <w:b/>
        </w:rPr>
        <w:t>94 (Choc avant)</w:t>
      </w:r>
    </w:p>
    <w:p w14:paraId="1C9CB484" w14:textId="77777777" w:rsidR="00852B77" w:rsidRPr="00977BA8" w:rsidRDefault="00852B77" w:rsidP="004B20EA">
      <w:pPr>
        <w:pStyle w:val="HChG"/>
      </w:pPr>
      <w:r w:rsidRPr="00977BA8">
        <w:tab/>
      </w:r>
      <w:r w:rsidRPr="00977BA8">
        <w:tab/>
        <w:t xml:space="preserve">Proposition de complément 2 à la série 03 d’amendements </w:t>
      </w:r>
      <w:r w:rsidR="004B20EA">
        <w:br/>
      </w:r>
      <w:r w:rsidRPr="00977BA8">
        <w:t>au Règlement ONU n</w:t>
      </w:r>
      <w:r w:rsidRPr="00977BA8">
        <w:rPr>
          <w:vertAlign w:val="superscript"/>
        </w:rPr>
        <w:t>o</w:t>
      </w:r>
      <w:r w:rsidR="004B20EA">
        <w:t> </w:t>
      </w:r>
      <w:r w:rsidRPr="00977BA8">
        <w:t>94 ( Choc avant)</w:t>
      </w:r>
    </w:p>
    <w:p w14:paraId="42C5FBE7" w14:textId="77777777" w:rsidR="00852B77" w:rsidRPr="00977BA8" w:rsidRDefault="00852B77" w:rsidP="004B20EA">
      <w:pPr>
        <w:pStyle w:val="H1G"/>
      </w:pPr>
      <w:r w:rsidRPr="00977BA8">
        <w:tab/>
      </w:r>
      <w:r w:rsidRPr="00977BA8">
        <w:tab/>
        <w:t xml:space="preserve">Communication de l’expert de la Commission européenne </w:t>
      </w:r>
      <w:r w:rsidR="004B20EA">
        <w:br/>
      </w:r>
      <w:r w:rsidRPr="00977BA8">
        <w:t>au nom de l’équipe de rédaction</w:t>
      </w:r>
      <w:r w:rsidR="004B20EA" w:rsidRPr="004B20EA">
        <w:rPr>
          <w:rStyle w:val="Appelnotedebasdep"/>
          <w:b w:val="0"/>
          <w:sz w:val="20"/>
          <w:vertAlign w:val="baseline"/>
        </w:rPr>
        <w:footnoteReference w:customMarkFollows="1" w:id="2"/>
        <w:t>*</w:t>
      </w:r>
    </w:p>
    <w:p w14:paraId="405D9F7D" w14:textId="77777777" w:rsidR="00852B77" w:rsidRPr="00977BA8" w:rsidRDefault="00852B77" w:rsidP="004B20EA">
      <w:pPr>
        <w:pStyle w:val="SingleTxtG"/>
        <w:ind w:firstLine="567"/>
        <w:rPr>
          <w:rFonts w:eastAsia="MS Mincho"/>
          <w:b/>
        </w:rPr>
      </w:pPr>
      <w:r w:rsidRPr="00977BA8">
        <w:t>Le texte ci-après, établi par les experts de l’équipe de rédaction, vise à aligner les dispositions du Règlement ONU n</w:t>
      </w:r>
      <w:r w:rsidRPr="00977BA8">
        <w:rPr>
          <w:vertAlign w:val="superscript"/>
        </w:rPr>
        <w:t>o</w:t>
      </w:r>
      <w:r w:rsidR="004B20EA">
        <w:t> </w:t>
      </w:r>
      <w:r w:rsidRPr="00977BA8">
        <w:t xml:space="preserve">94 sur celles de </w:t>
      </w:r>
      <w:bookmarkStart w:id="0" w:name="_Hlk22216908"/>
      <w:r w:rsidRPr="00977BA8">
        <w:t xml:space="preserve">la version révisée du Règlement sur la sécurité générale des véhicules à moteur </w:t>
      </w:r>
      <w:bookmarkEnd w:id="0"/>
      <w:r w:rsidRPr="00977BA8">
        <w:t xml:space="preserve">de l’Union européenne, en élargissant le domaine d’application du Règlement </w:t>
      </w:r>
      <w:r w:rsidR="00C45B5B">
        <w:t xml:space="preserve">ONU </w:t>
      </w:r>
      <w:r w:rsidRPr="00977BA8">
        <w:t>et en apportant des ajustements et des précisions mineurs aux prescriptions existantes. Il est fondé sur le document GRSP-65-14 distribué à la soixante</w:t>
      </w:r>
      <w:r w:rsidR="004B20EA">
        <w:noBreakHyphen/>
      </w:r>
      <w:r w:rsidRPr="00977BA8">
        <w:t>cinquième session du Groupe de travail de la sécurité passive (GRSP). Les modifications qu’il est proposé d’apporter au texte actuel du Règlement ONU figurent en caractères gras pour les ajouts et biffés pour les suppressions.</w:t>
      </w:r>
    </w:p>
    <w:p w14:paraId="62BC5EB1" w14:textId="77777777" w:rsidR="00852B77" w:rsidRPr="00977BA8" w:rsidRDefault="00852B77" w:rsidP="004B20EA">
      <w:pPr>
        <w:pStyle w:val="HChG"/>
      </w:pPr>
      <w:r w:rsidRPr="00977BA8">
        <w:br w:type="page"/>
      </w:r>
      <w:r w:rsidRPr="00977BA8">
        <w:lastRenderedPageBreak/>
        <w:tab/>
        <w:t>I.</w:t>
      </w:r>
      <w:r w:rsidRPr="00977BA8">
        <w:tab/>
        <w:t>Proposition</w:t>
      </w:r>
    </w:p>
    <w:p w14:paraId="6F8995CC" w14:textId="77777777" w:rsidR="00852B77" w:rsidRPr="00977BA8" w:rsidRDefault="00852B77" w:rsidP="004B20EA">
      <w:pPr>
        <w:pStyle w:val="SingleTxtG"/>
        <w:keepNext/>
      </w:pPr>
      <w:r w:rsidRPr="004B20EA">
        <w:rPr>
          <w:i/>
        </w:rPr>
        <w:t>Paragraphe 1</w:t>
      </w:r>
      <w:r w:rsidRPr="00977BA8">
        <w:t>, lire</w:t>
      </w:r>
      <w:r w:rsidR="004B20EA">
        <w:t> </w:t>
      </w:r>
      <w:r w:rsidRPr="00977BA8">
        <w:t>:</w:t>
      </w:r>
    </w:p>
    <w:p w14:paraId="0C44A9B9" w14:textId="77777777" w:rsidR="00852B77" w:rsidRPr="00C45B5B" w:rsidRDefault="00C45B5B" w:rsidP="00C45B5B">
      <w:pPr>
        <w:pStyle w:val="HChG"/>
      </w:pPr>
      <w:r>
        <w:tab/>
      </w:r>
      <w:r>
        <w:tab/>
      </w:r>
      <w:r w:rsidR="00852B77" w:rsidRPr="00C45B5B">
        <w:t>« 1.</w:t>
      </w:r>
      <w:r w:rsidR="00852B77" w:rsidRPr="00C45B5B">
        <w:tab/>
      </w:r>
      <w:bookmarkStart w:id="1" w:name="_Toc355617304"/>
      <w:r w:rsidR="00852B77" w:rsidRPr="00C45B5B">
        <w:tab/>
      </w:r>
      <w:bookmarkEnd w:id="1"/>
      <w:r w:rsidR="00852B77" w:rsidRPr="00C45B5B">
        <w:t>Domaine d’application</w:t>
      </w:r>
    </w:p>
    <w:p w14:paraId="412FE65D" w14:textId="77777777" w:rsidR="00852B77" w:rsidRPr="00977BA8" w:rsidRDefault="00852B77" w:rsidP="004B20EA">
      <w:pPr>
        <w:pStyle w:val="SingleTxtG"/>
        <w:ind w:left="2268"/>
      </w:pPr>
      <w:r w:rsidRPr="00977BA8">
        <w:tab/>
        <w:t>Le présent Règlement s’applique aux véhicules de la catégorie M</w:t>
      </w:r>
      <w:r w:rsidRPr="00977BA8">
        <w:rPr>
          <w:vertAlign w:val="subscript"/>
        </w:rPr>
        <w:t>1</w:t>
      </w:r>
      <w:r w:rsidRPr="00977BA8">
        <w:rPr>
          <w:rStyle w:val="Appelnotedebasdep"/>
        </w:rPr>
        <w:footnoteReference w:id="3"/>
      </w:r>
      <w:r w:rsidRPr="004B20EA">
        <w:t xml:space="preserve"> </w:t>
      </w:r>
      <w:r w:rsidRPr="00977BA8">
        <w:t xml:space="preserve">dont la masse totale autorisée n’excède pas </w:t>
      </w:r>
      <w:r w:rsidRPr="00977BA8">
        <w:rPr>
          <w:strike/>
        </w:rPr>
        <w:t>2,5</w:t>
      </w:r>
      <w:r w:rsidR="004B20EA">
        <w:rPr>
          <w:strike/>
        </w:rPr>
        <w:t> </w:t>
      </w:r>
      <w:r w:rsidRPr="00977BA8">
        <w:rPr>
          <w:strike/>
        </w:rPr>
        <w:t>tonnes</w:t>
      </w:r>
      <w:r w:rsidRPr="00977BA8">
        <w:t xml:space="preserve"> </w:t>
      </w:r>
      <w:r w:rsidRPr="00977BA8">
        <w:rPr>
          <w:b/>
        </w:rPr>
        <w:t>3</w:t>
      </w:r>
      <w:r w:rsidR="004B20EA">
        <w:rPr>
          <w:b/>
        </w:rPr>
        <w:t> </w:t>
      </w:r>
      <w:r w:rsidRPr="00977BA8">
        <w:rPr>
          <w:b/>
        </w:rPr>
        <w:t>500</w:t>
      </w:r>
      <w:r w:rsidR="004B20EA">
        <w:rPr>
          <w:b/>
        </w:rPr>
        <w:t> </w:t>
      </w:r>
      <w:r w:rsidRPr="00977BA8">
        <w:rPr>
          <w:b/>
        </w:rPr>
        <w:t>kg et aux véhicules de la catégorie N</w:t>
      </w:r>
      <w:r w:rsidRPr="00977BA8">
        <w:rPr>
          <w:b/>
          <w:vertAlign w:val="subscript"/>
        </w:rPr>
        <w:t xml:space="preserve">1 </w:t>
      </w:r>
      <w:r w:rsidRPr="00977BA8">
        <w:rPr>
          <w:b/>
        </w:rPr>
        <w:t>dont la masse totale autorisée n’excède pas 2</w:t>
      </w:r>
      <w:r w:rsidR="004B20EA">
        <w:rPr>
          <w:b/>
        </w:rPr>
        <w:t> </w:t>
      </w:r>
      <w:r w:rsidRPr="00977BA8">
        <w:rPr>
          <w:b/>
        </w:rPr>
        <w:t>500</w:t>
      </w:r>
      <w:r w:rsidR="004B20EA">
        <w:rPr>
          <w:b/>
        </w:rPr>
        <w:t> </w:t>
      </w:r>
      <w:r w:rsidRPr="00977BA8">
        <w:rPr>
          <w:b/>
        </w:rPr>
        <w:t>kg</w:t>
      </w:r>
      <w:r w:rsidR="00C45B5B">
        <w:rPr>
          <w:b/>
        </w:rPr>
        <w:t> </w:t>
      </w:r>
      <w:r w:rsidRPr="00977BA8">
        <w:t>; d’autres véhicules peuvent être homologués à la demande du constructeur. ».</w:t>
      </w:r>
    </w:p>
    <w:p w14:paraId="65A5548D" w14:textId="77777777" w:rsidR="00852B77" w:rsidRPr="00977BA8" w:rsidRDefault="00852B77" w:rsidP="004B20EA">
      <w:pPr>
        <w:pStyle w:val="SingleTxtG"/>
        <w:keepNext/>
        <w:rPr>
          <w:i/>
        </w:rPr>
      </w:pPr>
      <w:r w:rsidRPr="00977BA8">
        <w:rPr>
          <w:i/>
        </w:rPr>
        <w:t>Ajouter les nouveaux paragraphes 2.36 et 2.37</w:t>
      </w:r>
      <w:r w:rsidRPr="00977BA8">
        <w:t xml:space="preserve"> comme suit</w:t>
      </w:r>
      <w:r w:rsidR="004B20EA">
        <w:t> </w:t>
      </w:r>
      <w:r w:rsidRPr="00977BA8">
        <w:t>:</w:t>
      </w:r>
    </w:p>
    <w:p w14:paraId="12A98C1A" w14:textId="77777777" w:rsidR="00852B77" w:rsidRPr="00977BA8" w:rsidRDefault="00852B77" w:rsidP="004B20EA">
      <w:pPr>
        <w:pStyle w:val="SingleTxtG"/>
        <w:tabs>
          <w:tab w:val="left" w:pos="2268"/>
        </w:tabs>
        <w:ind w:left="2268" w:hanging="1134"/>
        <w:rPr>
          <w:rFonts w:cs="Courier New"/>
        </w:rPr>
      </w:pPr>
      <w:r w:rsidRPr="00977BA8">
        <w:t>« </w:t>
      </w:r>
      <w:r w:rsidRPr="00977BA8">
        <w:rPr>
          <w:b/>
        </w:rPr>
        <w:t>2.36</w:t>
      </w:r>
      <w:r w:rsidRPr="00977BA8">
        <w:rPr>
          <w:b/>
        </w:rPr>
        <w:tab/>
        <w:t xml:space="preserve">Par </w:t>
      </w:r>
      <w:r w:rsidR="004B20EA" w:rsidRPr="004B20EA">
        <w:rPr>
          <w:rFonts w:cs="Courier New"/>
          <w:b/>
        </w:rPr>
        <w:t>“</w:t>
      </w:r>
      <w:r w:rsidRPr="00977BA8">
        <w:rPr>
          <w:rFonts w:cs="Courier New"/>
          <w:b/>
          <w:i/>
          <w:iCs/>
        </w:rPr>
        <w:t>dispositif de déplacement</w:t>
      </w:r>
      <w:r w:rsidR="004B20EA" w:rsidRPr="004B20EA">
        <w:rPr>
          <w:rFonts w:cs="Courier New"/>
          <w:b/>
        </w:rPr>
        <w:t>”</w:t>
      </w:r>
      <w:r w:rsidRPr="00977BA8">
        <w:rPr>
          <w:rFonts w:cs="Courier New"/>
          <w:b/>
        </w:rPr>
        <w:t>, un dispositif permettant une translation et/ou une rotation, sans position intermédiaire fixe, du siège ou de l’une de ses parties, pour faciliter l’accès des occupants à l’espace derrière le siège déplacé et leur sortie de cet espace.</w:t>
      </w:r>
    </w:p>
    <w:p w14:paraId="0D7083FC" w14:textId="77777777" w:rsidR="00852B77" w:rsidRPr="00977BA8" w:rsidRDefault="00852B77" w:rsidP="004B20EA">
      <w:pPr>
        <w:pStyle w:val="SingleTxtG"/>
        <w:tabs>
          <w:tab w:val="left" w:pos="2268"/>
        </w:tabs>
        <w:ind w:left="2268" w:hanging="1134"/>
      </w:pPr>
      <w:r w:rsidRPr="00977BA8">
        <w:rPr>
          <w:b/>
        </w:rPr>
        <w:t>2.37</w:t>
      </w:r>
      <w:r w:rsidRPr="00977BA8">
        <w:rPr>
          <w:b/>
        </w:rPr>
        <w:tab/>
        <w:t xml:space="preserve">Par </w:t>
      </w:r>
      <w:r w:rsidR="004B20EA" w:rsidRPr="004B20EA">
        <w:rPr>
          <w:rFonts w:cs="Courier New"/>
          <w:b/>
        </w:rPr>
        <w:t>“</w:t>
      </w:r>
      <w:r w:rsidRPr="00977BA8">
        <w:rPr>
          <w:b/>
          <w:i/>
          <w:iCs/>
        </w:rPr>
        <w:t>châssis en échelle</w:t>
      </w:r>
      <w:r w:rsidR="004B20EA" w:rsidRPr="004B20EA">
        <w:rPr>
          <w:rFonts w:cs="Courier New"/>
          <w:b/>
        </w:rPr>
        <w:t>”</w:t>
      </w:r>
      <w:r w:rsidRPr="00977BA8">
        <w:rPr>
          <w:rFonts w:cs="Courier New"/>
          <w:b/>
        </w:rPr>
        <w:t>,</w:t>
      </w:r>
      <w:r w:rsidRPr="00977BA8">
        <w:rPr>
          <w:b/>
        </w:rPr>
        <w:t xml:space="preserve"> un châssis composé de deux longerons longitudinaux reliés transversalement par des entretoises et sur lequel la cabine, composée de panneaux, est reliée à ces longerons. </w:t>
      </w:r>
      <w:r w:rsidRPr="00977BA8">
        <w:t>».</w:t>
      </w:r>
    </w:p>
    <w:p w14:paraId="3084196A" w14:textId="77777777" w:rsidR="00852B77" w:rsidRPr="00977BA8" w:rsidRDefault="00852B77" w:rsidP="004B20EA">
      <w:pPr>
        <w:pStyle w:val="SingleTxtG"/>
        <w:keepNext/>
      </w:pPr>
      <w:r w:rsidRPr="00977BA8">
        <w:rPr>
          <w:i/>
        </w:rPr>
        <w:t>Paragraphe 5.2.5.1</w:t>
      </w:r>
      <w:r w:rsidRPr="00977BA8">
        <w:t>, lire</w:t>
      </w:r>
      <w:r w:rsidR="004B20EA">
        <w:t> </w:t>
      </w:r>
      <w:r w:rsidRPr="00977BA8">
        <w:t>:</w:t>
      </w:r>
    </w:p>
    <w:p w14:paraId="56CFBA31" w14:textId="77777777" w:rsidR="00852B77" w:rsidRPr="00977BA8" w:rsidRDefault="00852B77" w:rsidP="004B20EA">
      <w:pPr>
        <w:pStyle w:val="SingleTxtG"/>
        <w:tabs>
          <w:tab w:val="left" w:pos="2268"/>
        </w:tabs>
        <w:ind w:left="2268" w:hanging="1134"/>
        <w:rPr>
          <w:b/>
        </w:rPr>
      </w:pPr>
      <w:r w:rsidRPr="00977BA8">
        <w:t>« 5.2.5.1</w:t>
      </w:r>
      <w:r w:rsidRPr="00977BA8">
        <w:tab/>
        <w:t>D’ouvrir au moins une porte</w:t>
      </w:r>
      <w:r w:rsidRPr="00977BA8">
        <w:rPr>
          <w:strike/>
        </w:rPr>
        <w:t>, s’il y en a une</w:t>
      </w:r>
      <w:r w:rsidRPr="00977BA8">
        <w:t xml:space="preserve"> par rangée de sièges</w:t>
      </w:r>
      <w:r w:rsidRPr="00977BA8">
        <w:rPr>
          <w:strike/>
        </w:rPr>
        <w:t>,</w:t>
      </w:r>
      <w:r w:rsidRPr="00977BA8">
        <w:rPr>
          <w:b/>
        </w:rPr>
        <w:t>.</w:t>
      </w:r>
      <w:r w:rsidRPr="00977BA8">
        <w:t xml:space="preserve"> </w:t>
      </w:r>
      <w:r w:rsidRPr="00977BA8">
        <w:rPr>
          <w:strike/>
        </w:rPr>
        <w:t>et, si nécessaire,</w:t>
      </w:r>
      <w:r w:rsidRPr="00977BA8">
        <w:t xml:space="preserve"> </w:t>
      </w:r>
      <w:r w:rsidRPr="00977BA8">
        <w:rPr>
          <w:b/>
        </w:rPr>
        <w:t>L</w:t>
      </w:r>
      <w:r w:rsidRPr="00977BA8">
        <w:t xml:space="preserve">orsqu’il n’y a pas de porte, </w:t>
      </w:r>
      <w:r w:rsidRPr="00977BA8">
        <w:rPr>
          <w:strike/>
        </w:rPr>
        <w:t xml:space="preserve">de déplacer les sièges ou rabattre leurs dossiers afin de pouvoir </w:t>
      </w:r>
      <w:r w:rsidRPr="00977BA8">
        <w:rPr>
          <w:b/>
        </w:rPr>
        <w:t>il doit être possible d’</w:t>
      </w:r>
      <w:r w:rsidRPr="00977BA8">
        <w:t xml:space="preserve">évacuer tous les occupants </w:t>
      </w:r>
      <w:r w:rsidRPr="00977BA8">
        <w:rPr>
          <w:b/>
        </w:rPr>
        <w:t>en activant le dispositif de déplacement des sièges, si nécessaire.</w:t>
      </w:r>
      <w:r w:rsidRPr="00977BA8">
        <w:t xml:space="preserve"> </w:t>
      </w:r>
      <w:r w:rsidRPr="00977BA8">
        <w:rPr>
          <w:strike/>
        </w:rPr>
        <w:t xml:space="preserve">Cette mesure ne s’applique cependant qu’aux véhicules équipés d’un toit rigide </w:t>
      </w:r>
      <w:r w:rsidRPr="00977BA8">
        <w:rPr>
          <w:b/>
        </w:rPr>
        <w:t>Cette mesure n’est pas applicable aux cabriolets, dont le toit peut être facilement ouvert pour permettre l’évacuation des occupants.</w:t>
      </w:r>
    </w:p>
    <w:p w14:paraId="7A26DCF6" w14:textId="77777777" w:rsidR="00852B77" w:rsidRPr="00977BA8" w:rsidRDefault="00852B77" w:rsidP="004C17E6">
      <w:pPr>
        <w:pStyle w:val="SingleTxtG"/>
        <w:ind w:left="2268"/>
        <w:rPr>
          <w:b/>
        </w:rPr>
      </w:pPr>
      <w:r w:rsidRPr="00977BA8">
        <w:rPr>
          <w:b/>
        </w:rPr>
        <w:tab/>
        <w:t>Cette possibilité doit être évaluée pour toutes les configurations ou pour la configuration la plus défavorable pour ce qui est du nombre de portes de chaque côté du véhicule, et pour les véhicules à conduite à gauche tout comme pour les véhicules à conduite à droite, selon le cas. </w:t>
      </w:r>
      <w:r w:rsidRPr="00977BA8">
        <w:t>».</w:t>
      </w:r>
    </w:p>
    <w:p w14:paraId="3FF7D08A" w14:textId="77777777" w:rsidR="00852B77" w:rsidRPr="00977BA8" w:rsidRDefault="00852B77" w:rsidP="004C17E6">
      <w:pPr>
        <w:pStyle w:val="SingleTxtG"/>
        <w:keepNext/>
        <w:rPr>
          <w:i/>
        </w:rPr>
      </w:pPr>
      <w:r w:rsidRPr="00977BA8">
        <w:rPr>
          <w:i/>
        </w:rPr>
        <w:t>Ajouter les nouveaux paragraphes 5.3 à 5.3.2</w:t>
      </w:r>
      <w:r w:rsidRPr="00977BA8">
        <w:t xml:space="preserve"> comme suit</w:t>
      </w:r>
      <w:r w:rsidR="004C17E6">
        <w:t> </w:t>
      </w:r>
      <w:r w:rsidRPr="00977BA8">
        <w:t xml:space="preserve">: </w:t>
      </w:r>
    </w:p>
    <w:p w14:paraId="21080BB0" w14:textId="77777777" w:rsidR="00852B77" w:rsidRPr="00977BA8" w:rsidRDefault="00852B77" w:rsidP="004C17E6">
      <w:pPr>
        <w:pStyle w:val="SingleTxtG"/>
        <w:tabs>
          <w:tab w:val="left" w:pos="2268"/>
        </w:tabs>
        <w:ind w:left="2268" w:hanging="1134"/>
        <w:rPr>
          <w:b/>
        </w:rPr>
      </w:pPr>
      <w:r w:rsidRPr="00977BA8">
        <w:t>« </w:t>
      </w:r>
      <w:r w:rsidRPr="00977BA8">
        <w:rPr>
          <w:b/>
        </w:rPr>
        <w:t>5.3</w:t>
      </w:r>
      <w:r w:rsidRPr="00977BA8">
        <w:rPr>
          <w:b/>
        </w:rPr>
        <w:tab/>
        <w:t>Dispositions spécifiques</w:t>
      </w:r>
    </w:p>
    <w:p w14:paraId="4CB51256" w14:textId="77777777" w:rsidR="00852B77" w:rsidRPr="00977BA8" w:rsidRDefault="00852B77" w:rsidP="004C17E6">
      <w:pPr>
        <w:pStyle w:val="SingleTxtG"/>
        <w:keepNext/>
        <w:tabs>
          <w:tab w:val="left" w:pos="2268"/>
        </w:tabs>
        <w:ind w:left="2268" w:hanging="1134"/>
        <w:rPr>
          <w:b/>
        </w:rPr>
      </w:pPr>
      <w:r w:rsidRPr="00977BA8">
        <w:rPr>
          <w:b/>
        </w:rPr>
        <w:t>5.3.1</w:t>
      </w:r>
      <w:r w:rsidRPr="00977BA8">
        <w:rPr>
          <w:b/>
        </w:rPr>
        <w:tab/>
        <w:t>Les véhicules de la catégorie M</w:t>
      </w:r>
      <w:r w:rsidRPr="00977BA8">
        <w:rPr>
          <w:b/>
          <w:vertAlign w:val="subscript"/>
        </w:rPr>
        <w:t>1</w:t>
      </w:r>
      <w:r w:rsidRPr="00977BA8">
        <w:rPr>
          <w:b/>
        </w:rPr>
        <w:t xml:space="preserve"> </w:t>
      </w:r>
      <w:bookmarkStart w:id="2" w:name="_Hlk22214870"/>
      <w:r w:rsidRPr="00977BA8">
        <w:rPr>
          <w:b/>
        </w:rPr>
        <w:t xml:space="preserve">dont la masse totale autorisée excède </w:t>
      </w:r>
      <w:bookmarkEnd w:id="2"/>
      <w:r w:rsidRPr="00977BA8">
        <w:rPr>
          <w:b/>
        </w:rPr>
        <w:t>2</w:t>
      </w:r>
      <w:r w:rsidR="004C17E6">
        <w:rPr>
          <w:b/>
        </w:rPr>
        <w:t> </w:t>
      </w:r>
      <w:r w:rsidRPr="00977BA8">
        <w:rPr>
          <w:b/>
        </w:rPr>
        <w:t>500</w:t>
      </w:r>
      <w:r w:rsidR="004C17E6">
        <w:rPr>
          <w:b/>
        </w:rPr>
        <w:t> </w:t>
      </w:r>
      <w:r w:rsidRPr="00977BA8">
        <w:rPr>
          <w:b/>
        </w:rPr>
        <w:t>kg, basés sur des types de véhicules de la catégorie N</w:t>
      </w:r>
      <w:r w:rsidRPr="00977BA8">
        <w:rPr>
          <w:b/>
          <w:vertAlign w:val="subscript"/>
        </w:rPr>
        <w:t>1</w:t>
      </w:r>
      <w:r w:rsidRPr="00977BA8">
        <w:rPr>
          <w:b/>
        </w:rPr>
        <w:t xml:space="preserve"> dont la masse totale autorisée excède 2</w:t>
      </w:r>
      <w:r w:rsidR="004C17E6">
        <w:rPr>
          <w:b/>
        </w:rPr>
        <w:t> </w:t>
      </w:r>
      <w:r w:rsidRPr="00977BA8">
        <w:rPr>
          <w:b/>
        </w:rPr>
        <w:t>500</w:t>
      </w:r>
      <w:r w:rsidR="004C17E6">
        <w:rPr>
          <w:b/>
        </w:rPr>
        <w:t> </w:t>
      </w:r>
      <w:r w:rsidRPr="00977BA8">
        <w:rPr>
          <w:b/>
        </w:rPr>
        <w:t>kg, sont réputés satisfaire aux prescriptions du paragraphe</w:t>
      </w:r>
      <w:r w:rsidR="004C17E6">
        <w:rPr>
          <w:b/>
        </w:rPr>
        <w:t> </w:t>
      </w:r>
      <w:r w:rsidRPr="00977BA8">
        <w:rPr>
          <w:b/>
        </w:rPr>
        <w:t>5 lorsque les prescriptions du Règlement n</w:t>
      </w:r>
      <w:r w:rsidRPr="00977BA8">
        <w:rPr>
          <w:b/>
          <w:vertAlign w:val="superscript"/>
        </w:rPr>
        <w:t>o</w:t>
      </w:r>
      <w:r w:rsidR="004C17E6">
        <w:rPr>
          <w:b/>
        </w:rPr>
        <w:t> </w:t>
      </w:r>
      <w:r w:rsidRPr="00977BA8">
        <w:rPr>
          <w:b/>
        </w:rPr>
        <w:t xml:space="preserve">137 sont pleinement respectées et </w:t>
      </w:r>
      <w:bookmarkStart w:id="3" w:name="_Hlk22215552"/>
      <w:r w:rsidRPr="00977BA8">
        <w:rPr>
          <w:b/>
        </w:rPr>
        <w:t>que l’une au moins des conditions suivantes est remplie</w:t>
      </w:r>
      <w:bookmarkEnd w:id="3"/>
      <w:r w:rsidR="004C17E6">
        <w:rPr>
          <w:b/>
        </w:rPr>
        <w:t> </w:t>
      </w:r>
      <w:r w:rsidRPr="00977BA8">
        <w:rPr>
          <w:b/>
        </w:rPr>
        <w:t>:</w:t>
      </w:r>
    </w:p>
    <w:p w14:paraId="598D5E4F" w14:textId="77777777" w:rsidR="00852B77" w:rsidRPr="00977BA8" w:rsidRDefault="00852B77" w:rsidP="004C17E6">
      <w:pPr>
        <w:pStyle w:val="SingleTxtG"/>
        <w:tabs>
          <w:tab w:val="left" w:pos="2268"/>
        </w:tabs>
        <w:ind w:left="2835" w:hanging="567"/>
        <w:rPr>
          <w:b/>
        </w:rPr>
      </w:pPr>
      <w:r w:rsidRPr="00977BA8">
        <w:rPr>
          <w:b/>
        </w:rPr>
        <w:t>a)</w:t>
      </w:r>
      <w:r w:rsidRPr="00977BA8">
        <w:rPr>
          <w:b/>
        </w:rPr>
        <w:tab/>
      </w:r>
      <w:bookmarkStart w:id="4" w:name="_Hlk22215645"/>
      <w:r w:rsidR="004C17E6" w:rsidRPr="00977BA8">
        <w:rPr>
          <w:b/>
        </w:rPr>
        <w:t>L</w:t>
      </w:r>
      <w:r w:rsidRPr="00977BA8">
        <w:rPr>
          <w:b/>
        </w:rPr>
        <w:t>’angle aigu alpha (</w:t>
      </w:r>
      <w:r w:rsidRPr="00977BA8">
        <w:rPr>
          <w:b/>
          <w:lang w:val="en-GB"/>
        </w:rPr>
        <w:t>α</w:t>
      </w:r>
      <w:r w:rsidRPr="00977BA8">
        <w:rPr>
          <w:b/>
        </w:rPr>
        <w:t>), mesuré entre un plan horizontal passant par le centre de l’essieu avant et un plan transversal angulaire passant par le centre de l’essieu avant et le point R du siège du conducteur (voir fig</w:t>
      </w:r>
      <w:r w:rsidR="004C17E6">
        <w:rPr>
          <w:b/>
        </w:rPr>
        <w:t>. </w:t>
      </w:r>
      <w:r w:rsidRPr="00977BA8">
        <w:rPr>
          <w:b/>
        </w:rPr>
        <w:t xml:space="preserve">4 ci-après), est supérieur à 22°; </w:t>
      </w:r>
      <w:bookmarkEnd w:id="4"/>
    </w:p>
    <w:p w14:paraId="1F67DA36" w14:textId="77777777" w:rsidR="00852B77" w:rsidRPr="00977BA8" w:rsidRDefault="00852B77" w:rsidP="004C17E6">
      <w:pPr>
        <w:pStyle w:val="SingleTxtG"/>
        <w:tabs>
          <w:tab w:val="left" w:pos="2268"/>
        </w:tabs>
        <w:ind w:left="2835" w:hanging="567"/>
        <w:rPr>
          <w:b/>
        </w:rPr>
      </w:pPr>
      <w:r w:rsidRPr="00977BA8">
        <w:rPr>
          <w:b/>
        </w:rPr>
        <w:t>b)</w:t>
      </w:r>
      <w:r w:rsidRPr="00977BA8">
        <w:rPr>
          <w:b/>
        </w:rPr>
        <w:tab/>
      </w:r>
      <w:bookmarkStart w:id="5" w:name="_Hlk22215659"/>
      <w:r w:rsidR="004C17E6" w:rsidRPr="00977BA8">
        <w:rPr>
          <w:b/>
        </w:rPr>
        <w:t xml:space="preserve">Ou </w:t>
      </w:r>
      <w:r w:rsidRPr="00977BA8">
        <w:rPr>
          <w:b/>
        </w:rPr>
        <w:t>le rapport entre les distances séparant le point R du conducteur du centre de l’essieu arrière (L101-L114) et le centre de l’essieu avant du point R du conducteur (L114) est supérieur à 1,30</w:t>
      </w:r>
      <w:r w:rsidRPr="004C17E6">
        <w:rPr>
          <w:b/>
          <w:sz w:val="18"/>
          <w:szCs w:val="18"/>
          <w:vertAlign w:val="superscript"/>
        </w:rPr>
        <w:t>1</w:t>
      </w:r>
      <w:r w:rsidRPr="00977BA8">
        <w:rPr>
          <w:b/>
        </w:rPr>
        <w:t xml:space="preserve"> (voir fig</w:t>
      </w:r>
      <w:r w:rsidR="004C17E6">
        <w:rPr>
          <w:b/>
        </w:rPr>
        <w:t>. </w:t>
      </w:r>
      <w:r w:rsidRPr="00977BA8">
        <w:rPr>
          <w:b/>
        </w:rPr>
        <w:t>4 ci-après).</w:t>
      </w:r>
    </w:p>
    <w:p w14:paraId="6E2B1777" w14:textId="77777777" w:rsidR="00852B77" w:rsidRPr="00977BA8" w:rsidRDefault="00852B77" w:rsidP="004C17E6">
      <w:pPr>
        <w:pStyle w:val="SingleTxtG"/>
        <w:ind w:left="2268"/>
        <w:rPr>
          <w:b/>
        </w:rPr>
      </w:pPr>
      <w:bookmarkStart w:id="6" w:name="_Hlk22215697"/>
      <w:bookmarkEnd w:id="5"/>
      <w:r w:rsidRPr="00977BA8">
        <w:rPr>
          <w:b/>
        </w:rPr>
        <w:lastRenderedPageBreak/>
        <w:t>Ces paramètres sont vérifiés par le service technique, soumis à l’autorité d’homologation de type pour décision, et déclarés au titre du point</w:t>
      </w:r>
      <w:r w:rsidR="004C17E6">
        <w:rPr>
          <w:b/>
        </w:rPr>
        <w:t> </w:t>
      </w:r>
      <w:r w:rsidRPr="00977BA8">
        <w:rPr>
          <w:b/>
        </w:rPr>
        <w:t>8.2 de l’annexe</w:t>
      </w:r>
      <w:r w:rsidR="004C17E6">
        <w:rPr>
          <w:b/>
        </w:rPr>
        <w:t> </w:t>
      </w:r>
      <w:r w:rsidRPr="00977BA8">
        <w:rPr>
          <w:b/>
        </w:rPr>
        <w:t>1 portant sur la communication de l’homologation</w:t>
      </w:r>
      <w:bookmarkEnd w:id="6"/>
      <w:r w:rsidRPr="00977BA8">
        <w:rPr>
          <w:b/>
        </w:rPr>
        <w:t>.</w:t>
      </w:r>
    </w:p>
    <w:p w14:paraId="063025DF" w14:textId="77777777" w:rsidR="00852B77" w:rsidRPr="00977BA8" w:rsidRDefault="00852B77" w:rsidP="004C17E6">
      <w:pPr>
        <w:pStyle w:val="SingleTxtG"/>
        <w:tabs>
          <w:tab w:val="left" w:pos="2268"/>
        </w:tabs>
        <w:ind w:left="2268" w:hanging="1134"/>
        <w:rPr>
          <w:b/>
        </w:rPr>
      </w:pPr>
      <w:r w:rsidRPr="00977BA8">
        <w:rPr>
          <w:b/>
        </w:rPr>
        <w:t>5.3.2</w:t>
      </w:r>
      <w:r w:rsidRPr="00977BA8">
        <w:rPr>
          <w:b/>
        </w:rPr>
        <w:tab/>
        <w:t>Les véhicules de la catégorie N</w:t>
      </w:r>
      <w:r w:rsidRPr="00977BA8">
        <w:rPr>
          <w:b/>
          <w:vertAlign w:val="subscript"/>
        </w:rPr>
        <w:t>1</w:t>
      </w:r>
      <w:r w:rsidRPr="00977BA8">
        <w:rPr>
          <w:b/>
        </w:rPr>
        <w:t xml:space="preserve"> dont la masse totale autorisée excède 2</w:t>
      </w:r>
      <w:r w:rsidR="004C17E6">
        <w:rPr>
          <w:b/>
        </w:rPr>
        <w:t> </w:t>
      </w:r>
      <w:r w:rsidRPr="00977BA8">
        <w:rPr>
          <w:b/>
        </w:rPr>
        <w:t>250</w:t>
      </w:r>
      <w:r w:rsidR="004C17E6">
        <w:rPr>
          <w:b/>
        </w:rPr>
        <w:t> </w:t>
      </w:r>
      <w:r w:rsidRPr="00977BA8">
        <w:rPr>
          <w:b/>
        </w:rPr>
        <w:t>kg mais n’excède pas 2</w:t>
      </w:r>
      <w:r w:rsidR="004C17E6">
        <w:rPr>
          <w:b/>
        </w:rPr>
        <w:t> </w:t>
      </w:r>
      <w:r w:rsidRPr="00977BA8">
        <w:rPr>
          <w:b/>
        </w:rPr>
        <w:t>500</w:t>
      </w:r>
      <w:r w:rsidR="004C17E6">
        <w:rPr>
          <w:b/>
        </w:rPr>
        <w:t> </w:t>
      </w:r>
      <w:r w:rsidRPr="00977BA8">
        <w:rPr>
          <w:b/>
        </w:rPr>
        <w:t>kg sont réputés satisfaire aux prescriptions du paragraphe</w:t>
      </w:r>
      <w:r w:rsidR="004C17E6">
        <w:rPr>
          <w:b/>
        </w:rPr>
        <w:t> </w:t>
      </w:r>
      <w:r w:rsidRPr="00977BA8">
        <w:rPr>
          <w:b/>
        </w:rPr>
        <w:t>5 lorsque leur base structurelle est un châssis en échelle, que les critères du Règlement n</w:t>
      </w:r>
      <w:r w:rsidRPr="00977BA8">
        <w:rPr>
          <w:b/>
          <w:vertAlign w:val="superscript"/>
        </w:rPr>
        <w:t>o</w:t>
      </w:r>
      <w:r w:rsidR="004C17E6">
        <w:rPr>
          <w:b/>
        </w:rPr>
        <w:t> </w:t>
      </w:r>
      <w:r w:rsidRPr="00977BA8">
        <w:rPr>
          <w:b/>
        </w:rPr>
        <w:t>137 sont pleinement respectés et que l’une au moins des conditions suivantes est remplie</w:t>
      </w:r>
      <w:r w:rsidR="004C17E6">
        <w:rPr>
          <w:b/>
        </w:rPr>
        <w:t> </w:t>
      </w:r>
      <w:r w:rsidRPr="00977BA8">
        <w:rPr>
          <w:b/>
        </w:rPr>
        <w:t>:</w:t>
      </w:r>
    </w:p>
    <w:p w14:paraId="00299663" w14:textId="77777777" w:rsidR="00852B77" w:rsidRPr="00977BA8" w:rsidRDefault="00852B77" w:rsidP="004C17E6">
      <w:pPr>
        <w:pStyle w:val="SingleTxtG"/>
        <w:tabs>
          <w:tab w:val="left" w:pos="2268"/>
        </w:tabs>
        <w:ind w:left="2835" w:hanging="567"/>
        <w:rPr>
          <w:b/>
        </w:rPr>
      </w:pPr>
      <w:r w:rsidRPr="00977BA8">
        <w:rPr>
          <w:b/>
        </w:rPr>
        <w:t>a)</w:t>
      </w:r>
      <w:r w:rsidRPr="00977BA8">
        <w:rPr>
          <w:b/>
        </w:rPr>
        <w:tab/>
      </w:r>
      <w:r w:rsidR="004C17E6" w:rsidRPr="00977BA8">
        <w:rPr>
          <w:b/>
        </w:rPr>
        <w:t>L</w:t>
      </w:r>
      <w:r w:rsidRPr="00977BA8">
        <w:rPr>
          <w:b/>
        </w:rPr>
        <w:t>’angle aigu alpha (</w:t>
      </w:r>
      <w:r w:rsidRPr="00977BA8">
        <w:rPr>
          <w:b/>
          <w:lang w:val="en-GB"/>
        </w:rPr>
        <w:t>α</w:t>
      </w:r>
      <w:r w:rsidRPr="00977BA8">
        <w:rPr>
          <w:b/>
        </w:rPr>
        <w:t>), mesuré entre un plan horizontal passant par le centre de l’essieu avant et un plan transversal angulaire passant par le centre de l’essieu avant et le point R du siège du conducteur (voir fig</w:t>
      </w:r>
      <w:r w:rsidR="004C17E6">
        <w:rPr>
          <w:b/>
        </w:rPr>
        <w:t>. </w:t>
      </w:r>
      <w:r w:rsidRPr="00977BA8">
        <w:rPr>
          <w:b/>
        </w:rPr>
        <w:t>4 ci-après), est supérieur à 22°;</w:t>
      </w:r>
    </w:p>
    <w:p w14:paraId="567AF42F" w14:textId="77777777" w:rsidR="00852B77" w:rsidRPr="00977BA8" w:rsidRDefault="00852B77" w:rsidP="004C17E6">
      <w:pPr>
        <w:pStyle w:val="SingleTxtG"/>
        <w:tabs>
          <w:tab w:val="left" w:pos="2268"/>
        </w:tabs>
        <w:ind w:left="2835" w:hanging="567"/>
        <w:rPr>
          <w:b/>
        </w:rPr>
      </w:pPr>
      <w:r w:rsidRPr="00977BA8">
        <w:rPr>
          <w:b/>
        </w:rPr>
        <w:t>b)</w:t>
      </w:r>
      <w:r w:rsidRPr="00977BA8">
        <w:rPr>
          <w:b/>
        </w:rPr>
        <w:tab/>
      </w:r>
      <w:r w:rsidR="004C17E6" w:rsidRPr="00977BA8">
        <w:rPr>
          <w:b/>
        </w:rPr>
        <w:t xml:space="preserve">Ou </w:t>
      </w:r>
      <w:r w:rsidRPr="00977BA8">
        <w:rPr>
          <w:b/>
        </w:rPr>
        <w:t>le rapport entre les distances séparant le point R du conducteur du centre de l’essieu arrière (L101-L114) et le centre de l’essieu avant du point R du conducteur (L114) est supérieur à 1,30</w:t>
      </w:r>
      <w:r w:rsidRPr="004C17E6">
        <w:rPr>
          <w:b/>
          <w:sz w:val="18"/>
          <w:szCs w:val="18"/>
          <w:vertAlign w:val="superscript"/>
        </w:rPr>
        <w:t>1</w:t>
      </w:r>
      <w:r w:rsidRPr="00977BA8">
        <w:rPr>
          <w:b/>
        </w:rPr>
        <w:t xml:space="preserve"> (voir fig</w:t>
      </w:r>
      <w:r w:rsidR="004C17E6">
        <w:rPr>
          <w:b/>
        </w:rPr>
        <w:t>. </w:t>
      </w:r>
      <w:r w:rsidRPr="00977BA8">
        <w:rPr>
          <w:b/>
        </w:rPr>
        <w:t>4 ci-après).</w:t>
      </w:r>
    </w:p>
    <w:p w14:paraId="45F68CF6" w14:textId="77777777" w:rsidR="00852B77" w:rsidRPr="00977BA8" w:rsidRDefault="00852B77" w:rsidP="004C17E6">
      <w:pPr>
        <w:pStyle w:val="SingleTxtG"/>
        <w:ind w:left="2268"/>
        <w:rPr>
          <w:b/>
        </w:rPr>
      </w:pPr>
      <w:r w:rsidRPr="00977BA8">
        <w:rPr>
          <w:b/>
        </w:rPr>
        <w:t>Ces paramètres sont vérifiés par le service technique, soumis à l’autorité d’homologation de type pour décision, et déclarés au titre du point</w:t>
      </w:r>
      <w:r w:rsidR="004C17E6">
        <w:rPr>
          <w:b/>
        </w:rPr>
        <w:t> </w:t>
      </w:r>
      <w:r w:rsidRPr="00977BA8">
        <w:rPr>
          <w:b/>
        </w:rPr>
        <w:t>8.2 de l’annexe</w:t>
      </w:r>
      <w:r w:rsidR="004C17E6">
        <w:rPr>
          <w:b/>
        </w:rPr>
        <w:t> </w:t>
      </w:r>
      <w:r w:rsidRPr="00977BA8">
        <w:rPr>
          <w:b/>
        </w:rPr>
        <w:t>1 portant sur la communication de l’homologation.</w:t>
      </w:r>
    </w:p>
    <w:p w14:paraId="1E8A9216" w14:textId="77777777" w:rsidR="00852B77" w:rsidRPr="00977BA8" w:rsidRDefault="00A478B6" w:rsidP="009C5827">
      <w:pPr>
        <w:pStyle w:val="H23G"/>
        <w:ind w:left="2268" w:firstLine="0"/>
        <w:rPr>
          <w:lang w:eastAsia="ar-SA"/>
        </w:rPr>
      </w:pPr>
      <w:r>
        <w:rPr>
          <w:lang w:eastAsia="ar-SA"/>
        </w:rPr>
        <w:tab/>
      </w:r>
      <w:r w:rsidR="00852B77" w:rsidRPr="00977BA8">
        <w:rPr>
          <w:lang w:eastAsia="ar-SA"/>
        </w:rPr>
        <w:t>Figure 4</w:t>
      </w:r>
    </w:p>
    <w:p w14:paraId="45130BDE" w14:textId="77777777" w:rsidR="00852B77" w:rsidRPr="00977BA8" w:rsidRDefault="00852B77" w:rsidP="009C5827">
      <w:pPr>
        <w:ind w:left="2268"/>
        <w:rPr>
          <w:lang w:eastAsia="ar-SA"/>
        </w:rPr>
      </w:pPr>
      <w:r w:rsidRPr="00977BA8">
        <w:rPr>
          <w:noProof/>
          <w:lang w:eastAsia="en-GB"/>
        </w:rPr>
        <w:drawing>
          <wp:inline distT="0" distB="0" distL="0" distR="0" wp14:anchorId="1AD7A8A9" wp14:editId="5E6E1E01">
            <wp:extent cx="3357136" cy="1655023"/>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329" cy="1663006"/>
                    </a:xfrm>
                    <a:prstGeom prst="rect">
                      <a:avLst/>
                    </a:prstGeom>
                    <a:noFill/>
                    <a:ln>
                      <a:noFill/>
                    </a:ln>
                  </pic:spPr>
                </pic:pic>
              </a:graphicData>
            </a:graphic>
          </wp:inline>
        </w:drawing>
      </w:r>
    </w:p>
    <w:p w14:paraId="06BB0E22" w14:textId="77777777" w:rsidR="00852B77" w:rsidRPr="00977BA8" w:rsidRDefault="00852B77" w:rsidP="009C5827">
      <w:pPr>
        <w:pStyle w:val="SingleTxtG"/>
        <w:jc w:val="right"/>
        <w:rPr>
          <w:lang w:eastAsia="ar-SA"/>
        </w:rPr>
      </w:pPr>
      <w:r w:rsidRPr="00977BA8">
        <w:rPr>
          <w:lang w:eastAsia="ar-SA"/>
        </w:rPr>
        <w:t>».</w:t>
      </w:r>
    </w:p>
    <w:p w14:paraId="5119D098" w14:textId="77777777" w:rsidR="00852B77" w:rsidRPr="00977BA8" w:rsidRDefault="00852B77" w:rsidP="009C5827">
      <w:pPr>
        <w:pStyle w:val="SingleTxtG"/>
        <w:tabs>
          <w:tab w:val="left" w:pos="2268"/>
        </w:tabs>
        <w:ind w:left="2268" w:hanging="1134"/>
      </w:pPr>
      <w:r w:rsidRPr="00977BA8">
        <w:rPr>
          <w:i/>
        </w:rPr>
        <w:t>Annexe 1, point 8</w:t>
      </w:r>
      <w:r w:rsidRPr="00977BA8">
        <w:t>,</w:t>
      </w:r>
      <w:r w:rsidRPr="00977BA8">
        <w:rPr>
          <w:i/>
        </w:rPr>
        <w:t xml:space="preserve"> </w:t>
      </w:r>
      <w:r w:rsidRPr="00977BA8">
        <w:t>lire</w:t>
      </w:r>
      <w:r w:rsidR="009C5827">
        <w:t> </w:t>
      </w:r>
      <w:r w:rsidRPr="00977BA8">
        <w:t>:</w:t>
      </w:r>
    </w:p>
    <w:p w14:paraId="6664316E" w14:textId="77777777" w:rsidR="00852B77" w:rsidRPr="00C45B5B" w:rsidRDefault="00852B77" w:rsidP="009C5827">
      <w:pPr>
        <w:pStyle w:val="SingleTxtG"/>
        <w:tabs>
          <w:tab w:val="left" w:pos="2268"/>
        </w:tabs>
        <w:ind w:left="1701" w:hanging="567"/>
      </w:pPr>
      <w:r w:rsidRPr="00C45B5B">
        <w:t>« 8.</w:t>
      </w:r>
      <w:r w:rsidRPr="00C45B5B">
        <w:tab/>
        <w:t>Masse du véhicule</w:t>
      </w:r>
    </w:p>
    <w:p w14:paraId="2CC93D7A" w14:textId="77777777" w:rsidR="00852B77" w:rsidRPr="00977BA8" w:rsidRDefault="00852B77" w:rsidP="009C5827">
      <w:pPr>
        <w:pStyle w:val="SingleTxtG"/>
        <w:tabs>
          <w:tab w:val="left" w:pos="2268"/>
        </w:tabs>
        <w:ind w:left="1701" w:hanging="567"/>
      </w:pPr>
      <w:r w:rsidRPr="00977BA8">
        <w:rPr>
          <w:b/>
        </w:rPr>
        <w:t>8.1</w:t>
      </w:r>
      <w:r w:rsidRPr="00977BA8">
        <w:tab/>
        <w:t>Masse du véhicule soumis aux essais</w:t>
      </w:r>
      <w:r w:rsidR="009C5827">
        <w:t> </w:t>
      </w:r>
      <w:r w:rsidRPr="00977BA8">
        <w:t>:</w:t>
      </w:r>
    </w:p>
    <w:p w14:paraId="3F48361B" w14:textId="77777777" w:rsidR="00852B77" w:rsidRPr="00977BA8" w:rsidRDefault="00852B77" w:rsidP="009C5827">
      <w:pPr>
        <w:widowControl w:val="0"/>
        <w:tabs>
          <w:tab w:val="left" w:pos="1588"/>
          <w:tab w:val="left" w:pos="1701"/>
          <w:tab w:val="right" w:leader="dot" w:pos="8505"/>
          <w:tab w:val="right" w:leader="dot" w:pos="9356"/>
        </w:tabs>
        <w:kinsoku/>
        <w:overflowPunct/>
        <w:autoSpaceDE/>
        <w:autoSpaceDN/>
        <w:adjustRightInd/>
        <w:snapToGrid/>
        <w:spacing w:after="120"/>
        <w:ind w:left="1701"/>
      </w:pPr>
      <w:r w:rsidRPr="00977BA8">
        <w:t>Essieu avant</w:t>
      </w:r>
      <w:r w:rsidR="009C5827">
        <w:t> </w:t>
      </w:r>
      <w:r w:rsidRPr="00977BA8">
        <w:t xml:space="preserve">: </w:t>
      </w:r>
      <w:r w:rsidRPr="00977BA8">
        <w:tab/>
      </w:r>
    </w:p>
    <w:p w14:paraId="505079E8" w14:textId="77777777" w:rsidR="00852B77" w:rsidRPr="00977BA8" w:rsidRDefault="00852B77" w:rsidP="009C5827">
      <w:pPr>
        <w:widowControl w:val="0"/>
        <w:tabs>
          <w:tab w:val="left" w:pos="1588"/>
          <w:tab w:val="left" w:pos="1701"/>
          <w:tab w:val="right" w:leader="dot" w:pos="8505"/>
          <w:tab w:val="right" w:leader="dot" w:pos="9356"/>
        </w:tabs>
        <w:kinsoku/>
        <w:overflowPunct/>
        <w:autoSpaceDE/>
        <w:autoSpaceDN/>
        <w:adjustRightInd/>
        <w:snapToGrid/>
        <w:spacing w:after="120"/>
        <w:ind w:left="1701"/>
      </w:pPr>
      <w:r w:rsidRPr="00977BA8">
        <w:t>Essieu arrière</w:t>
      </w:r>
      <w:r w:rsidR="009C5827">
        <w:t> </w:t>
      </w:r>
      <w:r w:rsidRPr="00977BA8">
        <w:t xml:space="preserve">: </w:t>
      </w:r>
      <w:r w:rsidRPr="00977BA8">
        <w:tab/>
      </w:r>
    </w:p>
    <w:p w14:paraId="3A6199CA" w14:textId="77777777" w:rsidR="00852B77" w:rsidRPr="00977BA8" w:rsidRDefault="00852B77" w:rsidP="009C5827">
      <w:pPr>
        <w:widowControl w:val="0"/>
        <w:tabs>
          <w:tab w:val="left" w:pos="1588"/>
          <w:tab w:val="left" w:pos="1701"/>
          <w:tab w:val="right" w:leader="dot" w:pos="8505"/>
          <w:tab w:val="right" w:leader="dot" w:pos="9356"/>
        </w:tabs>
        <w:kinsoku/>
        <w:overflowPunct/>
        <w:autoSpaceDE/>
        <w:autoSpaceDN/>
        <w:adjustRightInd/>
        <w:snapToGrid/>
        <w:spacing w:after="120"/>
        <w:ind w:left="1701"/>
      </w:pPr>
      <w:r w:rsidRPr="00977BA8">
        <w:t>Total</w:t>
      </w:r>
      <w:r w:rsidR="009C5827">
        <w:t> </w:t>
      </w:r>
      <w:r w:rsidRPr="00977BA8">
        <w:t>:</w:t>
      </w:r>
      <w:r w:rsidRPr="00977BA8">
        <w:tab/>
      </w:r>
    </w:p>
    <w:p w14:paraId="4D55B26C" w14:textId="77777777" w:rsidR="00852B77" w:rsidRPr="00977BA8" w:rsidRDefault="00852B77" w:rsidP="009C5827">
      <w:pPr>
        <w:pStyle w:val="SingleTxtG"/>
        <w:tabs>
          <w:tab w:val="left" w:pos="2268"/>
        </w:tabs>
        <w:ind w:left="1701" w:hanging="567"/>
        <w:rPr>
          <w:b/>
        </w:rPr>
      </w:pPr>
      <w:r w:rsidRPr="00977BA8">
        <w:rPr>
          <w:b/>
        </w:rPr>
        <w:t>8.2</w:t>
      </w:r>
      <w:r w:rsidRPr="00977BA8">
        <w:rPr>
          <w:b/>
        </w:rPr>
        <w:tab/>
        <w:t>Lorsque le paragraphe</w:t>
      </w:r>
      <w:r w:rsidR="009C5827">
        <w:rPr>
          <w:b/>
        </w:rPr>
        <w:t> </w:t>
      </w:r>
      <w:r w:rsidRPr="00977BA8">
        <w:rPr>
          <w:b/>
        </w:rPr>
        <w:t>5.3.1 ou 5.3.2 s’applique</w:t>
      </w:r>
      <w:r w:rsidR="009C5827">
        <w:rPr>
          <w:b/>
        </w:rPr>
        <w:t> </w:t>
      </w:r>
      <w:r w:rsidRPr="00977BA8">
        <w:rPr>
          <w:b/>
        </w:rPr>
        <w:t>:</w:t>
      </w:r>
    </w:p>
    <w:p w14:paraId="6BAAC37B" w14:textId="77777777" w:rsidR="00852B77" w:rsidRPr="005E2053" w:rsidRDefault="00852B77" w:rsidP="005E2053">
      <w:pPr>
        <w:widowControl w:val="0"/>
        <w:tabs>
          <w:tab w:val="left" w:pos="1588"/>
          <w:tab w:val="left" w:pos="1701"/>
          <w:tab w:val="right" w:leader="dot" w:pos="8647"/>
          <w:tab w:val="right" w:leader="dot" w:pos="9356"/>
        </w:tabs>
        <w:kinsoku/>
        <w:overflowPunct/>
        <w:autoSpaceDE/>
        <w:autoSpaceDN/>
        <w:adjustRightInd/>
        <w:snapToGrid/>
        <w:spacing w:after="120"/>
        <w:ind w:left="1701" w:right="991"/>
        <w:rPr>
          <w:rFonts w:cstheme="minorBidi"/>
          <w:b/>
          <w:szCs w:val="22"/>
        </w:rPr>
      </w:pPr>
      <w:r w:rsidRPr="005E2053">
        <w:rPr>
          <w:rFonts w:cstheme="minorBidi"/>
          <w:b/>
          <w:szCs w:val="22"/>
        </w:rPr>
        <w:t>Masse totale autorisée</w:t>
      </w:r>
      <w:r w:rsidR="005E2053">
        <w:rPr>
          <w:rFonts w:cstheme="minorBidi"/>
          <w:b/>
          <w:szCs w:val="22"/>
        </w:rPr>
        <w:t>………………………………………………………………..</w:t>
      </w:r>
    </w:p>
    <w:p w14:paraId="111A3541" w14:textId="77777777" w:rsidR="00852B77" w:rsidRPr="00977BA8" w:rsidRDefault="00852B77" w:rsidP="005E2053">
      <w:pPr>
        <w:widowControl w:val="0"/>
        <w:tabs>
          <w:tab w:val="left" w:pos="1588"/>
          <w:tab w:val="left" w:pos="1701"/>
          <w:tab w:val="right" w:leader="dot" w:pos="8647"/>
          <w:tab w:val="right" w:leader="dot" w:pos="9356"/>
        </w:tabs>
        <w:kinsoku/>
        <w:overflowPunct/>
        <w:autoSpaceDE/>
        <w:autoSpaceDN/>
        <w:adjustRightInd/>
        <w:snapToGrid/>
        <w:spacing w:after="120"/>
        <w:ind w:left="1701" w:right="991"/>
      </w:pPr>
      <w:r w:rsidRPr="00977BA8">
        <w:rPr>
          <w:b/>
        </w:rPr>
        <w:t>Preuve de conformité avec le Règlement ONU n</w:t>
      </w:r>
      <w:r w:rsidRPr="00977BA8">
        <w:rPr>
          <w:b/>
          <w:vertAlign w:val="superscript"/>
        </w:rPr>
        <w:t>o</w:t>
      </w:r>
      <w:r w:rsidR="005E2053">
        <w:rPr>
          <w:b/>
        </w:rPr>
        <w:t> </w:t>
      </w:r>
      <w:r w:rsidRPr="00977BA8">
        <w:rPr>
          <w:b/>
        </w:rPr>
        <w:t>137 (numéro d’homologation de type ou procès-verbal d’essai)</w:t>
      </w:r>
      <w:r w:rsidR="005E2053">
        <w:rPr>
          <w:b/>
        </w:rPr>
        <w:t> </w:t>
      </w:r>
      <w:r w:rsidRPr="00977BA8">
        <w:rPr>
          <w:b/>
        </w:rPr>
        <w:t>:</w:t>
      </w:r>
      <w:r w:rsidR="005E2053">
        <w:rPr>
          <w:b/>
        </w:rPr>
        <w:t> </w:t>
      </w:r>
      <w:r w:rsidRPr="00977BA8">
        <w:t>».</w:t>
      </w:r>
    </w:p>
    <w:p w14:paraId="3579C3EC" w14:textId="77777777" w:rsidR="00852B77" w:rsidRPr="00977BA8" w:rsidRDefault="00852B77" w:rsidP="005E2053">
      <w:pPr>
        <w:pStyle w:val="HChG"/>
      </w:pPr>
      <w:r w:rsidRPr="00977BA8">
        <w:tab/>
        <w:t>II.</w:t>
      </w:r>
      <w:r w:rsidRPr="00977BA8">
        <w:tab/>
        <w:t>Justification</w:t>
      </w:r>
    </w:p>
    <w:p w14:paraId="1B5E0F40" w14:textId="77777777" w:rsidR="00852B77" w:rsidRPr="00977BA8" w:rsidRDefault="00852B77" w:rsidP="005E2053">
      <w:pPr>
        <w:pStyle w:val="SingleTxtG"/>
        <w:rPr>
          <w:b/>
        </w:rPr>
      </w:pPr>
      <w:r w:rsidRPr="00977BA8">
        <w:t>1.</w:t>
      </w:r>
      <w:r w:rsidRPr="00977BA8">
        <w:tab/>
        <w:t>L’Union européenne est en train d’adopter la version révisée du Règlement sur la sécurité générale des véhicules à moteur, qui introduit un ensemble de nouveaux dispositifs de sécurité. Le Règlement revient cependant sur un certain nombre d’exemptions aux prescriptions de sécurité essentielles des véhicules, notamment pour les véhicules tout</w:t>
      </w:r>
      <w:r w:rsidR="005E2053">
        <w:noBreakHyphen/>
      </w:r>
      <w:r w:rsidRPr="00977BA8">
        <w:t>terrain de loisir lourds et pour les fourgons.</w:t>
      </w:r>
    </w:p>
    <w:p w14:paraId="027BCDEA" w14:textId="77777777" w:rsidR="00852B77" w:rsidRPr="00977BA8" w:rsidRDefault="00852B77" w:rsidP="005E2053">
      <w:pPr>
        <w:pStyle w:val="SingleTxtG"/>
      </w:pPr>
      <w:r w:rsidRPr="00977BA8">
        <w:lastRenderedPageBreak/>
        <w:t>2.</w:t>
      </w:r>
      <w:r w:rsidRPr="00977BA8">
        <w:tab/>
        <w:t xml:space="preserve">Ces exemptions, qui sont larges, ne peuvent plus se justifier compte tenu de l’augmentation de la masse des véhicules, due notamment à l’électrification du parc de véhicules ainsi qu’à la protection des travailleurs qui utilisent des véhicules utilitaires légers. </w:t>
      </w:r>
    </w:p>
    <w:p w14:paraId="62973E4E" w14:textId="77777777" w:rsidR="00852B77" w:rsidRPr="00977BA8" w:rsidRDefault="00852B77" w:rsidP="005E2053">
      <w:pPr>
        <w:pStyle w:val="SingleTxtG"/>
      </w:pPr>
      <w:r w:rsidRPr="00977BA8">
        <w:t>3.</w:t>
      </w:r>
      <w:r w:rsidRPr="00977BA8">
        <w:tab/>
        <w:t>Plusieurs précisions ont été apportées, qui sont conformes à la pratique courante en ce qui concerne le choix le plus défavorable pour les véhicules.</w:t>
      </w:r>
    </w:p>
    <w:p w14:paraId="5F3E2E4C" w14:textId="77777777" w:rsidR="00852B77" w:rsidRPr="00977BA8" w:rsidRDefault="00852B77" w:rsidP="005E2053">
      <w:pPr>
        <w:pStyle w:val="SingleTxtG"/>
      </w:pPr>
      <w:r w:rsidRPr="00977BA8">
        <w:t>4.</w:t>
      </w:r>
      <w:r w:rsidRPr="00977BA8">
        <w:tab/>
        <w:t>Les véhicules utilitaires de la catégorie N</w:t>
      </w:r>
      <w:r w:rsidRPr="00977BA8">
        <w:rPr>
          <w:vertAlign w:val="subscript"/>
        </w:rPr>
        <w:t>1</w:t>
      </w:r>
      <w:r w:rsidRPr="00977BA8">
        <w:t xml:space="preserve"> dont la masse maximale autorisée est relativement élevée pourraient avoir une architecture spécifique basée sur les véhicules de la catégorie N</w:t>
      </w:r>
      <w:r w:rsidRPr="00977BA8">
        <w:rPr>
          <w:vertAlign w:val="subscript"/>
        </w:rPr>
        <w:t>2</w:t>
      </w:r>
      <w:r w:rsidRPr="00977BA8">
        <w:t>, et devraient alors être soumis à des essais de choc d’une rigueur excessive. C’est pourquoi il est proposé de ne pas inclure ces véhicules dans le domaine d’application du Règlement, afin qu’ils soient plutôt mis à l’essai conformément au Règlement n</w:t>
      </w:r>
      <w:r w:rsidRPr="00977BA8">
        <w:rPr>
          <w:vertAlign w:val="superscript"/>
        </w:rPr>
        <w:t>o</w:t>
      </w:r>
      <w:r w:rsidR="005E2053">
        <w:t> </w:t>
      </w:r>
      <w:r w:rsidRPr="00977BA8">
        <w:t>137. Il est proposé que les véhicules de la catégorie M</w:t>
      </w:r>
      <w:r w:rsidRPr="00977BA8">
        <w:rPr>
          <w:vertAlign w:val="subscript"/>
        </w:rPr>
        <w:t>1</w:t>
      </w:r>
      <w:r w:rsidRPr="00977BA8">
        <w:t xml:space="preserve"> basés sur ces fourgons N</w:t>
      </w:r>
      <w:r w:rsidRPr="00977BA8">
        <w:rPr>
          <w:vertAlign w:val="subscript"/>
        </w:rPr>
        <w:t>1</w:t>
      </w:r>
      <w:r w:rsidRPr="00977BA8">
        <w:t xml:space="preserve"> reçoivent le même traitement. </w:t>
      </w:r>
    </w:p>
    <w:p w14:paraId="6F830308" w14:textId="77777777" w:rsidR="00852B77" w:rsidRPr="00977BA8" w:rsidRDefault="00852B77" w:rsidP="005E2053">
      <w:pPr>
        <w:pStyle w:val="SingleTxtG"/>
      </w:pPr>
      <w:r w:rsidRPr="00977BA8">
        <w:t>5.</w:t>
      </w:r>
      <w:r w:rsidRPr="00977BA8">
        <w:tab/>
        <w:t>Quelques-uns de ces véhicules N</w:t>
      </w:r>
      <w:r w:rsidRPr="00977BA8">
        <w:rPr>
          <w:vertAlign w:val="subscript"/>
        </w:rPr>
        <w:t>1</w:t>
      </w:r>
      <w:r w:rsidRPr="00977BA8">
        <w:t xml:space="preserve"> dont la masse totale autorisée se situe entre 2</w:t>
      </w:r>
      <w:r w:rsidR="005E2053">
        <w:t> </w:t>
      </w:r>
      <w:r w:rsidRPr="00977BA8">
        <w:t>500 et 3</w:t>
      </w:r>
      <w:r w:rsidR="005E2053">
        <w:t> </w:t>
      </w:r>
      <w:r w:rsidRPr="00977BA8">
        <w:t>500</w:t>
      </w:r>
      <w:r w:rsidR="005E2053">
        <w:t> </w:t>
      </w:r>
      <w:r w:rsidRPr="00977BA8">
        <w:t>kg sont classés parmi les véhicules M</w:t>
      </w:r>
      <w:r w:rsidRPr="00977BA8">
        <w:rPr>
          <w:vertAlign w:val="subscript"/>
        </w:rPr>
        <w:t>1</w:t>
      </w:r>
      <w:r w:rsidRPr="00977BA8">
        <w:t xml:space="preserve"> (autocaravanes, fourgons, etc.), bien qu’ils soient structurellement identiques au véhicule de base N</w:t>
      </w:r>
      <w:r w:rsidRPr="00977BA8">
        <w:rPr>
          <w:vertAlign w:val="subscript"/>
        </w:rPr>
        <w:t>1</w:t>
      </w:r>
      <w:r w:rsidRPr="00977BA8">
        <w:t>. Il est admis que ces véhicules M</w:t>
      </w:r>
      <w:r w:rsidRPr="00977BA8">
        <w:rPr>
          <w:vertAlign w:val="subscript"/>
        </w:rPr>
        <w:t>1</w:t>
      </w:r>
      <w:r w:rsidRPr="00977BA8">
        <w:t xml:space="preserve"> lourds devraient eux aussi être exclus du domaine d’application élargi ; c’est pourquoi il leur est appliqué les mêmes critères que dans le Règlement ONU n</w:t>
      </w:r>
      <w:r w:rsidRPr="00977BA8">
        <w:rPr>
          <w:vertAlign w:val="superscript"/>
        </w:rPr>
        <w:t>o</w:t>
      </w:r>
      <w:r w:rsidR="00C45B5B">
        <w:t> </w:t>
      </w:r>
      <w:r w:rsidRPr="00977BA8">
        <w:t>135. Ces critères ont été introduits initialement dans le Règlement régissant le choc latéral contre un poteau, afin de distinguer ces gros véhicules N</w:t>
      </w:r>
      <w:r w:rsidRPr="00977BA8">
        <w:rPr>
          <w:vertAlign w:val="subscript"/>
        </w:rPr>
        <w:t>1</w:t>
      </w:r>
      <w:r w:rsidRPr="00977BA8">
        <w:t xml:space="preserve"> des camionnettes plus communes. Il est plus logique d’aligner les dispositions du Règlement ONU n</w:t>
      </w:r>
      <w:r w:rsidRPr="00977BA8">
        <w:rPr>
          <w:vertAlign w:val="superscript"/>
        </w:rPr>
        <w:t>o</w:t>
      </w:r>
      <w:r w:rsidR="005E2053">
        <w:t> </w:t>
      </w:r>
      <w:r w:rsidRPr="00977BA8">
        <w:t>94 sur les exemptions prévues au titre du Règlement ONU n</w:t>
      </w:r>
      <w:r w:rsidRPr="005E2053">
        <w:rPr>
          <w:vertAlign w:val="superscript"/>
        </w:rPr>
        <w:t>o</w:t>
      </w:r>
      <w:r w:rsidR="005E2053">
        <w:t> </w:t>
      </w:r>
      <w:r w:rsidRPr="00977BA8">
        <w:t>135, plutôt que d’utiliser, par exemple, les exemptions au Règlement ONU n</w:t>
      </w:r>
      <w:r w:rsidRPr="00977BA8">
        <w:rPr>
          <w:vertAlign w:val="superscript"/>
        </w:rPr>
        <w:t>o</w:t>
      </w:r>
      <w:r w:rsidR="005E2053">
        <w:t> </w:t>
      </w:r>
      <w:r w:rsidRPr="00977BA8">
        <w:t>127 relatif à la protection des piétons.</w:t>
      </w:r>
    </w:p>
    <w:p w14:paraId="1018398D" w14:textId="77777777" w:rsidR="00852B77" w:rsidRPr="00977BA8" w:rsidRDefault="00852B77" w:rsidP="005E2053">
      <w:pPr>
        <w:pStyle w:val="SingleTxtG"/>
      </w:pPr>
      <w:r w:rsidRPr="00977BA8">
        <w:t>6.</w:t>
      </w:r>
      <w:r w:rsidRPr="00977BA8">
        <w:tab/>
        <w:t>Les véhicules utilitaires de la catégorie N</w:t>
      </w:r>
      <w:r w:rsidRPr="00977BA8">
        <w:rPr>
          <w:vertAlign w:val="subscript"/>
        </w:rPr>
        <w:t>1</w:t>
      </w:r>
      <w:r w:rsidRPr="00977BA8">
        <w:t xml:space="preserve"> dont la masse totale autorisée dépasse 2</w:t>
      </w:r>
      <w:r w:rsidR="005E2053">
        <w:t> </w:t>
      </w:r>
      <w:r w:rsidRPr="00977BA8">
        <w:t>250</w:t>
      </w:r>
      <w:r w:rsidR="005E2053">
        <w:t> </w:t>
      </w:r>
      <w:r w:rsidRPr="00977BA8">
        <w:t>kg mais ne dépasse pas 2</w:t>
      </w:r>
      <w:r w:rsidR="005E2053">
        <w:t> </w:t>
      </w:r>
      <w:r w:rsidRPr="00977BA8">
        <w:t>500</w:t>
      </w:r>
      <w:r w:rsidR="005E2053">
        <w:t> </w:t>
      </w:r>
      <w:r w:rsidRPr="00977BA8">
        <w:t>kg peuvent aussi avoir une architecture très spécifique, basée sur d’autres véhicules non admis dont la masse maximale autorisée est supérieure, et devraient alors être soumis à des essais de choc d’une rigueur excessive. Pour cette raison, il est proposé de ne pas inclure ces véhicules dans le domaine d’application du Règlement, afin qu’ils soient plutôt mis à l’essai conformément au Règlement ONU n</w:t>
      </w:r>
      <w:r w:rsidRPr="005E2053">
        <w:rPr>
          <w:vertAlign w:val="superscript"/>
        </w:rPr>
        <w:t>o</w:t>
      </w:r>
      <w:r w:rsidR="005E2053">
        <w:t> </w:t>
      </w:r>
      <w:r w:rsidRPr="00977BA8">
        <w:t>137.</w:t>
      </w:r>
    </w:p>
    <w:p w14:paraId="0C64A294" w14:textId="77777777" w:rsidR="00852B77" w:rsidRPr="00977BA8" w:rsidRDefault="00852B77" w:rsidP="005E2053">
      <w:pPr>
        <w:pStyle w:val="SingleTxtG"/>
      </w:pPr>
      <w:r w:rsidRPr="00977BA8">
        <w:t>7.</w:t>
      </w:r>
      <w:r w:rsidRPr="00977BA8">
        <w:tab/>
        <w:t>Dans les véhicules larges, il n’est pas toujours nécessaire que les sièges avant soient équipés d’un système de déplacement (conformément au Règlement ONU n</w:t>
      </w:r>
      <w:r w:rsidRPr="00977BA8">
        <w:rPr>
          <w:vertAlign w:val="superscript"/>
        </w:rPr>
        <w:t>o</w:t>
      </w:r>
      <w:r w:rsidR="005E2053">
        <w:t> </w:t>
      </w:r>
      <w:r w:rsidRPr="00977BA8">
        <w:t xml:space="preserve">17), dans la mesure où les occupants peuvent avancer entre les sièges. Il est proposé de prévoir aussi cette possibilité dans le Règlement </w:t>
      </w:r>
      <w:r w:rsidR="00C45B5B">
        <w:t>ONU</w:t>
      </w:r>
      <w:r w:rsidRPr="00977BA8">
        <w:t xml:space="preserve">, afin de permettre l’évacuation des occupants des sièges arrière par une porte avant en cas d’accident. La modification suivante du texte </w:t>
      </w:r>
      <w:r w:rsidR="005E2053">
        <w:t>− </w:t>
      </w:r>
      <w:r w:rsidRPr="00977BA8">
        <w:t>«</w:t>
      </w:r>
      <w:r w:rsidR="00C45B5B">
        <w:t> </w:t>
      </w:r>
      <w:r w:rsidRPr="00977BA8">
        <w:t>en</w:t>
      </w:r>
      <w:r w:rsidR="00C45B5B">
        <w:t xml:space="preserve"> </w:t>
      </w:r>
      <w:r w:rsidRPr="00977BA8">
        <w:t>activant le dispositif de déplacement des sièges, si nécessaire</w:t>
      </w:r>
      <w:r w:rsidR="005E2053">
        <w:t> </w:t>
      </w:r>
      <w:r w:rsidRPr="00977BA8">
        <w:t>»</w:t>
      </w:r>
      <w:r w:rsidR="005E2053">
        <w:t xml:space="preserve"> − </w:t>
      </w:r>
      <w:r w:rsidRPr="00977BA8">
        <w:t>correspond à cette possibilité.</w:t>
      </w:r>
    </w:p>
    <w:p w14:paraId="0BBDBEC4" w14:textId="77777777" w:rsidR="00852B77" w:rsidRDefault="00852B77" w:rsidP="005E2053">
      <w:pPr>
        <w:pStyle w:val="SingleTxtG"/>
      </w:pPr>
      <w:r w:rsidRPr="00977BA8">
        <w:t>8.</w:t>
      </w:r>
      <w:r w:rsidRPr="00977BA8">
        <w:tab/>
        <w:t>Pour éviter to</w:t>
      </w:r>
      <w:bookmarkStart w:id="7" w:name="_GoBack"/>
      <w:bookmarkEnd w:id="7"/>
      <w:r w:rsidRPr="00977BA8">
        <w:t>utes interprétations contradictoires de la part des services techniques et des autorités d’homologation de type, il est précisé qu’il faut vérifier au moins la configuration la plus défavorable pour les portes latérales, au cas où certaines configurations ne seraient pas soumises aux essais.</w:t>
      </w:r>
    </w:p>
    <w:p w14:paraId="094C251F" w14:textId="77777777" w:rsidR="005E2053" w:rsidRPr="005E2053" w:rsidRDefault="005E2053" w:rsidP="005E2053">
      <w:pPr>
        <w:pStyle w:val="SingleTxtG"/>
        <w:spacing w:before="240" w:after="0"/>
        <w:jc w:val="center"/>
        <w:rPr>
          <w:u w:val="single"/>
        </w:rPr>
      </w:pPr>
      <w:r>
        <w:rPr>
          <w:u w:val="single"/>
        </w:rPr>
        <w:tab/>
      </w:r>
      <w:r>
        <w:rPr>
          <w:u w:val="single"/>
        </w:rPr>
        <w:tab/>
      </w:r>
      <w:r>
        <w:rPr>
          <w:u w:val="single"/>
        </w:rPr>
        <w:tab/>
      </w:r>
    </w:p>
    <w:sectPr w:rsidR="005E2053" w:rsidRPr="005E2053" w:rsidSect="00852B7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27795" w14:textId="77777777" w:rsidR="00A36B2D" w:rsidRDefault="00A36B2D" w:rsidP="00F95C08">
      <w:pPr>
        <w:spacing w:line="240" w:lineRule="auto"/>
      </w:pPr>
    </w:p>
  </w:endnote>
  <w:endnote w:type="continuationSeparator" w:id="0">
    <w:p w14:paraId="5031D452" w14:textId="77777777" w:rsidR="00A36B2D" w:rsidRPr="00AC3823" w:rsidRDefault="00A36B2D" w:rsidP="00AC3823">
      <w:pPr>
        <w:pStyle w:val="Pieddepage"/>
      </w:pPr>
    </w:p>
  </w:endnote>
  <w:endnote w:type="continuationNotice" w:id="1">
    <w:p w14:paraId="199AEE7E" w14:textId="77777777" w:rsidR="00A36B2D" w:rsidRDefault="00A36B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98EB" w14:textId="77777777" w:rsidR="00852B77" w:rsidRPr="00852B77" w:rsidRDefault="00852B77" w:rsidP="00852B77">
    <w:pPr>
      <w:pStyle w:val="Pieddepage"/>
      <w:tabs>
        <w:tab w:val="right" w:pos="9638"/>
      </w:tabs>
    </w:pPr>
    <w:r w:rsidRPr="00852B77">
      <w:rPr>
        <w:b/>
        <w:sz w:val="18"/>
      </w:rPr>
      <w:fldChar w:fldCharType="begin"/>
    </w:r>
    <w:r w:rsidRPr="00852B77">
      <w:rPr>
        <w:b/>
        <w:sz w:val="18"/>
      </w:rPr>
      <w:instrText xml:space="preserve"> PAGE  \* MERGEFORMAT </w:instrText>
    </w:r>
    <w:r w:rsidRPr="00852B77">
      <w:rPr>
        <w:b/>
        <w:sz w:val="18"/>
      </w:rPr>
      <w:fldChar w:fldCharType="separate"/>
    </w:r>
    <w:r w:rsidRPr="00852B77">
      <w:rPr>
        <w:b/>
        <w:noProof/>
        <w:sz w:val="18"/>
      </w:rPr>
      <w:t>2</w:t>
    </w:r>
    <w:r w:rsidRPr="00852B77">
      <w:rPr>
        <w:b/>
        <w:sz w:val="18"/>
      </w:rPr>
      <w:fldChar w:fldCharType="end"/>
    </w:r>
    <w:r>
      <w:rPr>
        <w:b/>
        <w:sz w:val="18"/>
      </w:rPr>
      <w:tab/>
    </w:r>
    <w:r>
      <w:t>GE.19-16592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3E96" w14:textId="77777777" w:rsidR="00852B77" w:rsidRPr="00852B77" w:rsidRDefault="00852B77" w:rsidP="00852B77">
    <w:pPr>
      <w:pStyle w:val="Pieddepage"/>
      <w:tabs>
        <w:tab w:val="right" w:pos="9638"/>
      </w:tabs>
      <w:rPr>
        <w:b/>
        <w:sz w:val="18"/>
      </w:rPr>
    </w:pPr>
    <w:r>
      <w:t>GE.19-16592</w:t>
    </w:r>
    <w:r>
      <w:tab/>
    </w:r>
    <w:r w:rsidRPr="00852B77">
      <w:rPr>
        <w:b/>
        <w:sz w:val="18"/>
      </w:rPr>
      <w:fldChar w:fldCharType="begin"/>
    </w:r>
    <w:r w:rsidRPr="00852B77">
      <w:rPr>
        <w:b/>
        <w:sz w:val="18"/>
      </w:rPr>
      <w:instrText xml:space="preserve"> PAGE  \* MERGEFORMAT </w:instrText>
    </w:r>
    <w:r w:rsidRPr="00852B77">
      <w:rPr>
        <w:b/>
        <w:sz w:val="18"/>
      </w:rPr>
      <w:fldChar w:fldCharType="separate"/>
    </w:r>
    <w:r w:rsidRPr="00852B77">
      <w:rPr>
        <w:b/>
        <w:noProof/>
        <w:sz w:val="18"/>
      </w:rPr>
      <w:t>3</w:t>
    </w:r>
    <w:r w:rsidRPr="00852B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601C" w14:textId="77777777" w:rsidR="007F20FA" w:rsidRPr="00852B77" w:rsidRDefault="00852B77" w:rsidP="00852B7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9CC7B0F" wp14:editId="7499BC8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19-16592  (F)    221019    231019</w:t>
    </w:r>
    <w:r>
      <w:rPr>
        <w:sz w:val="20"/>
      </w:rPr>
      <w:br/>
    </w:r>
    <w:r w:rsidRPr="00852B77">
      <w:rPr>
        <w:rFonts w:ascii="C39T30Lfz" w:hAnsi="C39T30Lfz"/>
        <w:sz w:val="56"/>
      </w:rPr>
      <w:t></w:t>
    </w:r>
    <w:r w:rsidRPr="00852B77">
      <w:rPr>
        <w:rFonts w:ascii="C39T30Lfz" w:hAnsi="C39T30Lfz"/>
        <w:sz w:val="56"/>
      </w:rPr>
      <w:t></w:t>
    </w:r>
    <w:r w:rsidRPr="00852B77">
      <w:rPr>
        <w:rFonts w:ascii="C39T30Lfz" w:hAnsi="C39T30Lfz"/>
        <w:sz w:val="56"/>
      </w:rPr>
      <w:t></w:t>
    </w:r>
    <w:r w:rsidRPr="00852B77">
      <w:rPr>
        <w:rFonts w:ascii="C39T30Lfz" w:hAnsi="C39T30Lfz"/>
        <w:sz w:val="56"/>
      </w:rPr>
      <w:t></w:t>
    </w:r>
    <w:r w:rsidRPr="00852B77">
      <w:rPr>
        <w:rFonts w:ascii="C39T30Lfz" w:hAnsi="C39T30Lfz"/>
        <w:sz w:val="56"/>
      </w:rPr>
      <w:t></w:t>
    </w:r>
    <w:r w:rsidRPr="00852B77">
      <w:rPr>
        <w:rFonts w:ascii="C39T30Lfz" w:hAnsi="C39T30Lfz"/>
        <w:sz w:val="56"/>
      </w:rPr>
      <w:t></w:t>
    </w:r>
    <w:r w:rsidRPr="00852B77">
      <w:rPr>
        <w:rFonts w:ascii="C39T30Lfz" w:hAnsi="C39T30Lfz"/>
        <w:sz w:val="56"/>
      </w:rPr>
      <w:t></w:t>
    </w:r>
    <w:r w:rsidRPr="00852B77">
      <w:rPr>
        <w:rFonts w:ascii="C39T30Lfz" w:hAnsi="C39T30Lfz"/>
        <w:sz w:val="56"/>
      </w:rPr>
      <w:t></w:t>
    </w:r>
    <w:r w:rsidRPr="00852B77">
      <w:rPr>
        <w:rFonts w:ascii="C39T30Lfz" w:hAnsi="C39T30Lfz"/>
        <w:sz w:val="56"/>
      </w:rPr>
      <w:t></w:t>
    </w:r>
    <w:r>
      <w:rPr>
        <w:noProof/>
        <w:sz w:val="20"/>
      </w:rPr>
      <w:drawing>
        <wp:anchor distT="0" distB="0" distL="114300" distR="114300" simplePos="0" relativeHeight="251658240" behindDoc="0" locked="0" layoutInCell="1" allowOverlap="1" wp14:anchorId="48E244DC" wp14:editId="2B78803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9/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52B2B" w14:textId="77777777" w:rsidR="00A36B2D" w:rsidRPr="00AC3823" w:rsidRDefault="00A36B2D" w:rsidP="00AC3823">
      <w:pPr>
        <w:pStyle w:val="Pieddepage"/>
        <w:tabs>
          <w:tab w:val="right" w:pos="2155"/>
        </w:tabs>
        <w:spacing w:after="80" w:line="240" w:lineRule="atLeast"/>
        <w:ind w:left="680"/>
        <w:rPr>
          <w:u w:val="single"/>
        </w:rPr>
      </w:pPr>
      <w:r>
        <w:rPr>
          <w:u w:val="single"/>
        </w:rPr>
        <w:tab/>
      </w:r>
    </w:p>
  </w:footnote>
  <w:footnote w:type="continuationSeparator" w:id="0">
    <w:p w14:paraId="053833CD" w14:textId="77777777" w:rsidR="00A36B2D" w:rsidRPr="00AC3823" w:rsidRDefault="00A36B2D" w:rsidP="00AC3823">
      <w:pPr>
        <w:pStyle w:val="Pieddepage"/>
        <w:tabs>
          <w:tab w:val="right" w:pos="2155"/>
        </w:tabs>
        <w:spacing w:after="80" w:line="240" w:lineRule="atLeast"/>
        <w:ind w:left="680"/>
        <w:rPr>
          <w:u w:val="single"/>
        </w:rPr>
      </w:pPr>
      <w:r>
        <w:rPr>
          <w:u w:val="single"/>
        </w:rPr>
        <w:tab/>
      </w:r>
    </w:p>
  </w:footnote>
  <w:footnote w:type="continuationNotice" w:id="1">
    <w:p w14:paraId="0E24B706" w14:textId="77777777" w:rsidR="00A36B2D" w:rsidRPr="00AC3823" w:rsidRDefault="00A36B2D">
      <w:pPr>
        <w:spacing w:line="240" w:lineRule="auto"/>
        <w:rPr>
          <w:sz w:val="2"/>
          <w:szCs w:val="2"/>
        </w:rPr>
      </w:pPr>
    </w:p>
  </w:footnote>
  <w:footnote w:id="2">
    <w:p w14:paraId="48DBA515" w14:textId="77777777" w:rsidR="004B20EA" w:rsidRPr="004B20EA" w:rsidRDefault="004B20EA">
      <w:pPr>
        <w:pStyle w:val="Notedebasdepage"/>
      </w:pPr>
      <w:r>
        <w:rPr>
          <w:rStyle w:val="Appelnotedebasdep"/>
        </w:rPr>
        <w:tab/>
      </w:r>
      <w:r w:rsidRPr="004B20EA">
        <w:rPr>
          <w:rStyle w:val="Appelnotedebasdep"/>
          <w:sz w:val="20"/>
          <w:vertAlign w:val="baseline"/>
        </w:rPr>
        <w:t>*</w:t>
      </w:r>
      <w:r>
        <w:rPr>
          <w:rStyle w:val="Appelnotedebasdep"/>
          <w:sz w:val="20"/>
          <w:vertAlign w:val="baseline"/>
        </w:rPr>
        <w:tab/>
      </w:r>
      <w:r w:rsidRPr="004B20EA">
        <w:rPr>
          <w:szCs w:val="18"/>
        </w:rPr>
        <w:t>Conformément au programme de travail du Comité des transports intérieurs pour la période 2018</w:t>
      </w:r>
      <w:r>
        <w:rPr>
          <w:szCs w:val="18"/>
        </w:rPr>
        <w:noBreakHyphen/>
      </w:r>
      <w:r w:rsidRPr="004B20EA">
        <w:rPr>
          <w:szCs w:val="18"/>
        </w:rPr>
        <w:t>2019 (ECE/TRANS/274, par.</w:t>
      </w:r>
      <w:r>
        <w:rPr>
          <w:szCs w:val="18"/>
        </w:rPr>
        <w:t> </w:t>
      </w:r>
      <w:r w:rsidRPr="004B20EA">
        <w:rPr>
          <w:szCs w:val="18"/>
        </w:rPr>
        <w:t>123, et ECE/TRANS/2018/21/Add.1, module</w:t>
      </w:r>
      <w:r>
        <w:rPr>
          <w:szCs w:val="18"/>
        </w:rPr>
        <w:t> </w:t>
      </w:r>
      <w:r w:rsidRPr="004B20EA">
        <w:rPr>
          <w:szCs w:val="18"/>
        </w:rPr>
        <w:t>3.1), le Forum mondial a pour mission d’élaborer, d’harmoniser et de mettre à jour les Règlements ONU en vue d’améliorer les caractéristiques fonctionnelles des véhicules. Le présent document est soumis en vertu de ce mandat.</w:t>
      </w:r>
    </w:p>
  </w:footnote>
  <w:footnote w:id="3">
    <w:p w14:paraId="2D58EE12" w14:textId="77777777" w:rsidR="00852B77" w:rsidRPr="004C17E6" w:rsidRDefault="00852B77" w:rsidP="00852B77">
      <w:pPr>
        <w:pStyle w:val="Notedebasdepage"/>
        <w:rPr>
          <w:szCs w:val="18"/>
          <w:lang w:eastAsia="ja-JP"/>
        </w:rPr>
      </w:pPr>
      <w:r w:rsidRPr="00A9541C">
        <w:tab/>
      </w:r>
      <w:r w:rsidRPr="00977BA8">
        <w:rPr>
          <w:rStyle w:val="Appelnotedebasdep"/>
        </w:rPr>
        <w:footnoteRef/>
      </w:r>
      <w:r w:rsidRPr="00F60639">
        <w:tab/>
      </w:r>
      <w:r w:rsidRPr="004C17E6">
        <w:rPr>
          <w:szCs w:val="18"/>
        </w:rPr>
        <w:t>Telle qu’elle est définie dans la Résolution d’ensemble sur la construction des véhicules (R.E.3), document ECE/TRANS/WP.29/78/Rev.6.</w:t>
      </w:r>
      <w:r w:rsidRPr="004C17E6">
        <w:rPr>
          <w:b/>
          <w:bCs/>
          <w:szCs w:val="18"/>
        </w:rPr>
        <w:t>6, par.</w:t>
      </w:r>
      <w:r w:rsidR="004C17E6">
        <w:rPr>
          <w:b/>
          <w:bCs/>
          <w:szCs w:val="18"/>
        </w:rPr>
        <w:t> </w:t>
      </w:r>
      <w:r w:rsidRPr="004C17E6">
        <w:rPr>
          <w:b/>
          <w:bCs/>
          <w:szCs w:val="18"/>
        </w:rPr>
        <w:t>2 –</w:t>
      </w:r>
      <w:hyperlink r:id="rId1" w:history="1">
        <w:r w:rsidR="004C17E6" w:rsidRPr="004C17E6">
          <w:rPr>
            <w:rStyle w:val="Lienhypertexte"/>
            <w:b/>
            <w:bCs/>
            <w:szCs w:val="18"/>
          </w:rPr>
          <w:t>www.unece.org/trans/main/wp29/wp29wgs/wp29gen/wp29resolutions.html</w:t>
        </w:r>
      </w:hyperlink>
      <w:r w:rsidR="004C17E6">
        <w:rPr>
          <w:b/>
          <w:bCs/>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CE93" w14:textId="167B51B7" w:rsidR="00852B77" w:rsidRPr="00852B77" w:rsidRDefault="00950612">
    <w:pPr>
      <w:pStyle w:val="En-tte"/>
    </w:pPr>
    <w:r>
      <w:fldChar w:fldCharType="begin"/>
    </w:r>
    <w:r>
      <w:instrText xml:space="preserve"> TITLE  \* MERGEFORMAT </w:instrText>
    </w:r>
    <w:r>
      <w:fldChar w:fldCharType="separate"/>
    </w:r>
    <w:r>
      <w:t>ECE/TRANS/WP.29/GRSP/2019/29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DB98" w14:textId="0D01700F" w:rsidR="00852B77" w:rsidRPr="00852B77" w:rsidRDefault="00950612" w:rsidP="00852B77">
    <w:pPr>
      <w:pStyle w:val="En-tte"/>
      <w:jc w:val="right"/>
    </w:pPr>
    <w:r>
      <w:fldChar w:fldCharType="begin"/>
    </w:r>
    <w:r>
      <w:instrText xml:space="preserve"> TITLE  \* MERGEFORMAT </w:instrText>
    </w:r>
    <w:r>
      <w:fldChar w:fldCharType="separate"/>
    </w:r>
    <w:r>
      <w:t>ECE/TRANS/WP.29/GRSP/2019/29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36B2D"/>
    <w:rsid w:val="00017F94"/>
    <w:rsid w:val="00023842"/>
    <w:rsid w:val="000334F9"/>
    <w:rsid w:val="00045FEB"/>
    <w:rsid w:val="0007796D"/>
    <w:rsid w:val="000B7790"/>
    <w:rsid w:val="00111F2F"/>
    <w:rsid w:val="0014365E"/>
    <w:rsid w:val="00143C66"/>
    <w:rsid w:val="00176178"/>
    <w:rsid w:val="001F525A"/>
    <w:rsid w:val="00203AC7"/>
    <w:rsid w:val="00223272"/>
    <w:rsid w:val="0024779E"/>
    <w:rsid w:val="00257168"/>
    <w:rsid w:val="002744B8"/>
    <w:rsid w:val="002832AC"/>
    <w:rsid w:val="002D7C93"/>
    <w:rsid w:val="00305801"/>
    <w:rsid w:val="003916DE"/>
    <w:rsid w:val="00405C76"/>
    <w:rsid w:val="00421996"/>
    <w:rsid w:val="00441C3B"/>
    <w:rsid w:val="00446FE5"/>
    <w:rsid w:val="00452396"/>
    <w:rsid w:val="004837D8"/>
    <w:rsid w:val="004B20EA"/>
    <w:rsid w:val="004C17E6"/>
    <w:rsid w:val="004E2EED"/>
    <w:rsid w:val="004E468C"/>
    <w:rsid w:val="005505B7"/>
    <w:rsid w:val="00573BE5"/>
    <w:rsid w:val="00586ED3"/>
    <w:rsid w:val="00596AA9"/>
    <w:rsid w:val="005E2053"/>
    <w:rsid w:val="0071601D"/>
    <w:rsid w:val="007A62E6"/>
    <w:rsid w:val="007F20FA"/>
    <w:rsid w:val="0080684C"/>
    <w:rsid w:val="00852B77"/>
    <w:rsid w:val="00871C75"/>
    <w:rsid w:val="008776DC"/>
    <w:rsid w:val="009446C0"/>
    <w:rsid w:val="00950612"/>
    <w:rsid w:val="009705C8"/>
    <w:rsid w:val="009C1CF4"/>
    <w:rsid w:val="009C5827"/>
    <w:rsid w:val="009F6B74"/>
    <w:rsid w:val="00A3029F"/>
    <w:rsid w:val="00A30353"/>
    <w:rsid w:val="00A36B2D"/>
    <w:rsid w:val="00A478B6"/>
    <w:rsid w:val="00AC3823"/>
    <w:rsid w:val="00AE323C"/>
    <w:rsid w:val="00AF0CB5"/>
    <w:rsid w:val="00AF290A"/>
    <w:rsid w:val="00B00181"/>
    <w:rsid w:val="00B00B0D"/>
    <w:rsid w:val="00B45F2E"/>
    <w:rsid w:val="00B765F7"/>
    <w:rsid w:val="00BA0CA9"/>
    <w:rsid w:val="00C02897"/>
    <w:rsid w:val="00C45B5B"/>
    <w:rsid w:val="00C97039"/>
    <w:rsid w:val="00D3439C"/>
    <w:rsid w:val="00D72CC2"/>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5A775"/>
  <w15:docId w15:val="{3B2FA693-F769-460A-9791-6B5B377E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4C1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F873-C64D-44D4-B7AF-0862A283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4</Pages>
  <Words>1491</Words>
  <Characters>7773</Characters>
  <Application>Microsoft Office Word</Application>
  <DocSecurity>0</DocSecurity>
  <Lines>155</Lines>
  <Paragraphs>69</Paragraphs>
  <ScaleCrop>false</ScaleCrop>
  <HeadingPairs>
    <vt:vector size="2" baseType="variant">
      <vt:variant>
        <vt:lpstr>Titre</vt:lpstr>
      </vt:variant>
      <vt:variant>
        <vt:i4>1</vt:i4>
      </vt:variant>
    </vt:vector>
  </HeadingPairs>
  <TitlesOfParts>
    <vt:vector size="1" baseType="lpstr">
      <vt:lpstr>ECE/TRANS/WP.29/GRSP/2019/29</vt:lpstr>
    </vt:vector>
  </TitlesOfParts>
  <Company>DCM</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ECE/TRANS/WP.29/GRSP/2019/29</dc:title>
  <dc:subject/>
  <dc:creator>Christine CHAUTAGNAT</dc:creator>
  <cp:keywords/>
  <cp:lastModifiedBy>Christine Chautagnat</cp:lastModifiedBy>
  <cp:revision>3</cp:revision>
  <cp:lastPrinted>2019-10-23T12:16:00Z</cp:lastPrinted>
  <dcterms:created xsi:type="dcterms:W3CDTF">2019-10-23T12:15:00Z</dcterms:created>
  <dcterms:modified xsi:type="dcterms:W3CDTF">2019-10-23T12:16:00Z</dcterms:modified>
</cp:coreProperties>
</file>