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6B6D" w14:textId="6B754DE4" w:rsidR="001376EA" w:rsidRDefault="001376EA" w:rsidP="001376EA">
      <w:pPr>
        <w:pStyle w:val="HChG"/>
        <w:ind w:hanging="54"/>
        <w:jc w:val="center"/>
      </w:pPr>
      <w:bookmarkStart w:id="0" w:name="_GoBack"/>
      <w:bookmarkEnd w:id="0"/>
      <w:r>
        <w:t>Proposal for amendments to ECE/TRANS/WP29/GRSG/2019/19</w:t>
      </w:r>
    </w:p>
    <w:p w14:paraId="178CD9C1" w14:textId="0DA2EFDF" w:rsidR="00735ECE" w:rsidRPr="00EA229B" w:rsidRDefault="001376EA" w:rsidP="002C4F7B">
      <w:pPr>
        <w:pStyle w:val="HChG"/>
      </w:pPr>
      <w:r>
        <w:tab/>
      </w:r>
      <w:r w:rsidR="002C4F7B">
        <w:t>I.</w:t>
      </w:r>
      <w:r w:rsidR="002C4F7B">
        <w:tab/>
      </w:r>
      <w:r w:rsidR="00735ECE" w:rsidRPr="00EA229B">
        <w:t>Proposal</w:t>
      </w:r>
    </w:p>
    <w:p w14:paraId="118A87D9" w14:textId="77777777" w:rsidR="00631128" w:rsidRPr="001376EA" w:rsidRDefault="00735ECE" w:rsidP="00631128">
      <w:pPr>
        <w:pStyle w:val="SingleTxtG"/>
        <w:rPr>
          <w:strike/>
          <w:highlight w:val="yellow"/>
        </w:rPr>
      </w:pPr>
      <w:r>
        <w:rPr>
          <w:lang w:val="en-US"/>
        </w:rPr>
        <w:tab/>
      </w:r>
      <w:r w:rsidR="00631128" w:rsidRPr="001376EA">
        <w:rPr>
          <w:i/>
          <w:strike/>
          <w:highlight w:val="yellow"/>
        </w:rPr>
        <w:t xml:space="preserve">Paragraph 1.3., </w:t>
      </w:r>
      <w:r w:rsidR="00631128" w:rsidRPr="001376EA">
        <w:rPr>
          <w:strike/>
          <w:highlight w:val="yellow"/>
        </w:rPr>
        <w:t>amend to read:</w:t>
      </w:r>
    </w:p>
    <w:p w14:paraId="0A8A554B" w14:textId="77777777" w:rsidR="00631128" w:rsidRPr="001376EA" w:rsidRDefault="00631128" w:rsidP="00631128">
      <w:pPr>
        <w:pStyle w:val="SingleTxtG"/>
        <w:ind w:left="2268" w:hanging="1134"/>
        <w:rPr>
          <w:strike/>
        </w:rPr>
      </w:pPr>
      <w:r w:rsidRPr="001376EA">
        <w:rPr>
          <w:strike/>
          <w:highlight w:val="yellow"/>
        </w:rPr>
        <w:t>"</w:t>
      </w:r>
      <w:r w:rsidRPr="001376EA">
        <w:rPr>
          <w:b/>
          <w:strike/>
          <w:highlight w:val="yellow"/>
        </w:rPr>
        <w:t>1.3.</w:t>
      </w:r>
      <w:r w:rsidRPr="001376EA">
        <w:rPr>
          <w:b/>
          <w:strike/>
          <w:highlight w:val="yellow"/>
        </w:rPr>
        <w:tab/>
        <w:t>Vehicles where any FUP (e.g. fixed, removable, foldable, adjustable, etc.) is incompatible with their on-road use may be partly or fully exempted from this Regulation, subject to the decision of the Type Approval Authority</w:t>
      </w:r>
      <w:r w:rsidRPr="001376EA">
        <w:rPr>
          <w:strike/>
          <w:highlight w:val="yellow"/>
        </w:rPr>
        <w:t>"</w:t>
      </w:r>
    </w:p>
    <w:p w14:paraId="77F6E054" w14:textId="77777777" w:rsidR="00631128" w:rsidRPr="001376EA" w:rsidRDefault="00631128" w:rsidP="00631128">
      <w:pPr>
        <w:pStyle w:val="SingleTxtG"/>
        <w:ind w:left="567" w:firstLine="567"/>
        <w:rPr>
          <w:strike/>
          <w:lang w:eastAsia="ja-JP"/>
        </w:rPr>
      </w:pPr>
      <w:r w:rsidRPr="001376EA">
        <w:rPr>
          <w:i/>
          <w:strike/>
          <w:highlight w:val="yellow"/>
          <w:lang w:eastAsia="ja-JP"/>
        </w:rPr>
        <w:t>Paragraphs 1.3.1. and 1.3.2.</w:t>
      </w:r>
      <w:r w:rsidRPr="001376EA">
        <w:rPr>
          <w:strike/>
          <w:highlight w:val="yellow"/>
          <w:lang w:eastAsia="ja-JP"/>
        </w:rPr>
        <w:t xml:space="preserve"> </w:t>
      </w:r>
      <w:r w:rsidR="00DA2B83" w:rsidRPr="001376EA">
        <w:rPr>
          <w:strike/>
          <w:highlight w:val="yellow"/>
          <w:lang w:eastAsia="ja-JP"/>
        </w:rPr>
        <w:t>shall be</w:t>
      </w:r>
      <w:r w:rsidRPr="001376EA">
        <w:rPr>
          <w:strike/>
          <w:highlight w:val="yellow"/>
          <w:lang w:eastAsia="ja-JP"/>
        </w:rPr>
        <w:t xml:space="preserve"> deleted</w:t>
      </w:r>
    </w:p>
    <w:p w14:paraId="5508FEA9" w14:textId="77777777" w:rsidR="00631128" w:rsidRDefault="00631128" w:rsidP="00631128">
      <w:pPr>
        <w:pStyle w:val="SingleTxtG"/>
      </w:pPr>
      <w:r>
        <w:rPr>
          <w:i/>
        </w:rPr>
        <w:t xml:space="preserve">Paragraph 10.5., </w:t>
      </w:r>
      <w:r>
        <w:t>amend to read:</w:t>
      </w:r>
    </w:p>
    <w:p w14:paraId="551E74E2" w14:textId="77777777" w:rsidR="00631128" w:rsidRDefault="00631128" w:rsidP="00631128">
      <w:pPr>
        <w:pStyle w:val="SingleTxtG"/>
        <w:ind w:left="2268" w:hanging="1134"/>
      </w:pPr>
      <w:r w:rsidRPr="001376EA">
        <w:rPr>
          <w:highlight w:val="green"/>
        </w:rPr>
        <w:t>"10.5.</w:t>
      </w:r>
      <w:r w:rsidRPr="001376EA">
        <w:rPr>
          <w:highlight w:val="green"/>
        </w:rPr>
        <w:tab/>
        <w:t xml:space="preserve">The FUP shall have sufficient strength </w:t>
      </w:r>
      <w:r w:rsidRPr="001376EA">
        <w:rPr>
          <w:b/>
          <w:highlight w:val="green"/>
        </w:rPr>
        <w:t>so</w:t>
      </w:r>
      <w:r w:rsidRPr="001376EA">
        <w:rPr>
          <w:highlight w:val="green"/>
        </w:rPr>
        <w:t xml:space="preserve"> that the horizontal distance measured in the rearward direction between the foremost part of the vehicle</w:t>
      </w:r>
      <w:r w:rsidRPr="001376EA">
        <w:rPr>
          <w:b/>
          <w:highlight w:val="green"/>
        </w:rPr>
        <w:t xml:space="preserve">, as measured in the vertical plane which is parallel to the median longitudinal plane of the vehicle and which is corresponding with the geometric centre of the test ram contact surface in its initial position, </w:t>
      </w:r>
      <w:r w:rsidRPr="001376EA">
        <w:rPr>
          <w:strike/>
          <w:highlight w:val="green"/>
        </w:rPr>
        <w:t>after the application of the test forces (specified in this annex)</w:t>
      </w:r>
      <w:r w:rsidRPr="001376EA">
        <w:rPr>
          <w:highlight w:val="green"/>
        </w:rPr>
        <w:t xml:space="preserve"> and the test ram contact surface on the vehicle </w:t>
      </w:r>
      <w:r w:rsidRPr="001376EA">
        <w:rPr>
          <w:b/>
          <w:highlight w:val="green"/>
        </w:rPr>
        <w:t xml:space="preserve">after the application of the relevant test forces (as specified in Annex 5), </w:t>
      </w:r>
      <w:r w:rsidRPr="001376EA">
        <w:rPr>
          <w:highlight w:val="green"/>
        </w:rPr>
        <w:t>does not exceed 400 mm."</w:t>
      </w:r>
    </w:p>
    <w:p w14:paraId="0C76D3A1" w14:textId="77777777" w:rsidR="00631128" w:rsidRPr="001376EA" w:rsidRDefault="00631128" w:rsidP="00631128">
      <w:pPr>
        <w:pStyle w:val="SingleTxtG"/>
        <w:rPr>
          <w:strike/>
          <w:highlight w:val="yellow"/>
        </w:rPr>
      </w:pPr>
      <w:r w:rsidRPr="001376EA">
        <w:rPr>
          <w:i/>
          <w:strike/>
          <w:highlight w:val="yellow"/>
        </w:rPr>
        <w:t xml:space="preserve">Insert new paragraphs 11. to 11.4., </w:t>
      </w:r>
      <w:r w:rsidRPr="001376EA">
        <w:rPr>
          <w:strike/>
          <w:highlight w:val="yellow"/>
        </w:rPr>
        <w:t>to read:</w:t>
      </w:r>
    </w:p>
    <w:p w14:paraId="45A16C94" w14:textId="77777777" w:rsidR="00631128" w:rsidRPr="001376EA" w:rsidRDefault="00631128" w:rsidP="00631128">
      <w:pPr>
        <w:pStyle w:val="HChG"/>
        <w:rPr>
          <w:strike/>
          <w:highlight w:val="yellow"/>
        </w:rPr>
      </w:pPr>
      <w:r w:rsidRPr="001376EA">
        <w:rPr>
          <w:strike/>
          <w:highlight w:val="yellow"/>
        </w:rPr>
        <w:tab/>
      </w:r>
      <w:r w:rsidRPr="001376EA">
        <w:rPr>
          <w:strike/>
          <w:highlight w:val="yellow"/>
        </w:rPr>
        <w:tab/>
      </w:r>
      <w:r w:rsidRPr="001376EA">
        <w:rPr>
          <w:b w:val="0"/>
          <w:strike/>
          <w:sz w:val="20"/>
          <w:highlight w:val="yellow"/>
        </w:rPr>
        <w:t>"</w:t>
      </w:r>
      <w:r w:rsidRPr="001376EA">
        <w:rPr>
          <w:strike/>
          <w:highlight w:val="yellow"/>
        </w:rPr>
        <w:t>11.</w:t>
      </w:r>
      <w:r w:rsidRPr="001376EA">
        <w:rPr>
          <w:strike/>
          <w:highlight w:val="yellow"/>
        </w:rPr>
        <w:tab/>
      </w:r>
      <w:r w:rsidRPr="001376EA">
        <w:rPr>
          <w:strike/>
          <w:highlight w:val="yellow"/>
        </w:rPr>
        <w:tab/>
        <w:t>Transitional provisions</w:t>
      </w:r>
    </w:p>
    <w:p w14:paraId="5CCF403B" w14:textId="77777777" w:rsidR="00631128" w:rsidRPr="001376EA" w:rsidRDefault="00631128" w:rsidP="00631128">
      <w:pPr>
        <w:pStyle w:val="para"/>
        <w:rPr>
          <w:b/>
          <w:strike/>
          <w:highlight w:val="yellow"/>
          <w:lang w:val="en-GB"/>
        </w:rPr>
      </w:pPr>
      <w:r w:rsidRPr="001376EA">
        <w:rPr>
          <w:b/>
          <w:strike/>
          <w:highlight w:val="yellow"/>
          <w:lang w:val="en-GB"/>
        </w:rPr>
        <w:t>11.1.</w:t>
      </w:r>
      <w:r w:rsidRPr="001376EA">
        <w:rPr>
          <w:b/>
          <w:strike/>
          <w:highlight w:val="yellow"/>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15E008CE" w14:textId="77777777" w:rsidR="00631128" w:rsidRPr="001376EA" w:rsidRDefault="00631128" w:rsidP="00631128">
      <w:pPr>
        <w:pStyle w:val="para"/>
        <w:rPr>
          <w:b/>
          <w:strike/>
          <w:highlight w:val="yellow"/>
          <w:lang w:val="en-GB"/>
        </w:rPr>
      </w:pPr>
      <w:r w:rsidRPr="001376EA">
        <w:rPr>
          <w:b/>
          <w:strike/>
          <w:highlight w:val="yellow"/>
          <w:lang w:val="en-GB"/>
        </w:rPr>
        <w:t>11.2.</w:t>
      </w:r>
      <w:r w:rsidRPr="001376EA">
        <w:rPr>
          <w:b/>
          <w:strike/>
          <w:highlight w:val="yellow"/>
          <w:lang w:val="en-GB"/>
        </w:rPr>
        <w:tab/>
        <w:t>As from 1 September 2020, Contracting Parties applying this Regulation shall not be obliged to accept type approvals to the original series, first issued after 1 September 2020.</w:t>
      </w:r>
    </w:p>
    <w:p w14:paraId="4EBE737E" w14:textId="77777777" w:rsidR="00631128" w:rsidRPr="001376EA" w:rsidRDefault="00631128" w:rsidP="00631128">
      <w:pPr>
        <w:pStyle w:val="para"/>
        <w:rPr>
          <w:b/>
          <w:strike/>
          <w:highlight w:val="yellow"/>
          <w:lang w:val="en-GB"/>
        </w:rPr>
      </w:pPr>
      <w:r w:rsidRPr="001376EA">
        <w:rPr>
          <w:b/>
          <w:strike/>
          <w:highlight w:val="yellow"/>
          <w:lang w:val="en-GB"/>
        </w:rPr>
        <w:t>11.3.</w:t>
      </w:r>
      <w:r w:rsidRPr="001376EA">
        <w:rPr>
          <w:b/>
          <w:strike/>
          <w:highlight w:val="yellow"/>
          <w:lang w:val="en-GB"/>
        </w:rPr>
        <w:tab/>
        <w:t>Contracting Parties applying this Regulation shall not refuse to grant type approvals according to the original series of this Regulation or extensions thereof,</w:t>
      </w:r>
    </w:p>
    <w:p w14:paraId="7B618C80" w14:textId="77777777" w:rsidR="00631128" w:rsidRPr="001376EA" w:rsidRDefault="00631128" w:rsidP="00631128">
      <w:pPr>
        <w:pStyle w:val="SingleTxtG"/>
        <w:ind w:left="2268" w:hanging="1134"/>
        <w:rPr>
          <w:strike/>
        </w:rPr>
      </w:pPr>
      <w:r w:rsidRPr="001376EA">
        <w:rPr>
          <w:b/>
          <w:strike/>
          <w:highlight w:val="yellow"/>
        </w:rPr>
        <w:t>11.4.</w:t>
      </w:r>
      <w:r w:rsidRPr="001376EA">
        <w:rPr>
          <w:b/>
          <w:strike/>
          <w:highlight w:val="yellow"/>
        </w:rPr>
        <w:tab/>
        <w:t>Contracting Parties applying this Regulation shall continue to accept type approvals issued according to the original series of this Regulation first issued before 1 September 2020.</w:t>
      </w:r>
      <w:r w:rsidRPr="001376EA">
        <w:rPr>
          <w:strike/>
          <w:highlight w:val="yellow"/>
        </w:rPr>
        <w:t>"</w:t>
      </w:r>
    </w:p>
    <w:p w14:paraId="685801A2" w14:textId="77777777" w:rsidR="00631128" w:rsidRPr="00493CBA" w:rsidRDefault="00631128" w:rsidP="00631128">
      <w:pPr>
        <w:pStyle w:val="SingleTxtG"/>
        <w:ind w:left="567" w:firstLine="567"/>
        <w:rPr>
          <w:lang w:eastAsia="ja-JP"/>
        </w:rPr>
      </w:pPr>
      <w:r w:rsidRPr="00493CBA">
        <w:rPr>
          <w:i/>
          <w:lang w:eastAsia="ja-JP"/>
        </w:rPr>
        <w:t xml:space="preserve">Annex </w:t>
      </w:r>
      <w:r>
        <w:rPr>
          <w:i/>
          <w:lang w:eastAsia="ja-JP"/>
        </w:rPr>
        <w:t>5</w:t>
      </w:r>
      <w:r w:rsidRPr="00C832B3">
        <w:rPr>
          <w:i/>
          <w:lang w:eastAsia="ja-JP"/>
        </w:rPr>
        <w:t>, new paragraph 2.2.6.,</w:t>
      </w:r>
      <w:r w:rsidRPr="00493CBA">
        <w:rPr>
          <w:lang w:eastAsia="ja-JP"/>
        </w:rPr>
        <w:t xml:space="preserve"> </w:t>
      </w:r>
      <w:r w:rsidR="00DA2B83">
        <w:rPr>
          <w:lang w:eastAsia="ja-JP"/>
        </w:rPr>
        <w:t xml:space="preserve">insert </w:t>
      </w:r>
      <w:r w:rsidRPr="00493CBA">
        <w:rPr>
          <w:lang w:eastAsia="ja-JP"/>
        </w:rPr>
        <w:t>to read:</w:t>
      </w:r>
    </w:p>
    <w:p w14:paraId="13439CDD" w14:textId="77777777" w:rsidR="00735ECE" w:rsidRPr="00631128" w:rsidRDefault="00631128" w:rsidP="00631128">
      <w:pPr>
        <w:pStyle w:val="SingleTxtG"/>
        <w:ind w:left="2268" w:hanging="1134"/>
        <w:rPr>
          <w:lang w:val="en-US"/>
        </w:rPr>
      </w:pPr>
      <w:r w:rsidRPr="001376EA">
        <w:rPr>
          <w:highlight w:val="green"/>
        </w:rPr>
        <w:t>"</w:t>
      </w:r>
      <w:r w:rsidRPr="001376EA">
        <w:rPr>
          <w:b/>
          <w:highlight w:val="green"/>
        </w:rPr>
        <w:t>2.2.6.</w:t>
      </w:r>
      <w:r w:rsidRPr="001376EA">
        <w:rPr>
          <w:b/>
          <w:highlight w:val="green"/>
        </w:rPr>
        <w:tab/>
        <w:t>In order to avoid lateral loading on the test ram during the test, the FUP may be locally adapted to provide for an appropriately flat area for force application. Any such modification shall however not act as a reinforcement of the FUP structure itself</w:t>
      </w:r>
      <w:r w:rsidRPr="001376EA">
        <w:rPr>
          <w:highlight w:val="green"/>
        </w:rPr>
        <w:t>."</w:t>
      </w:r>
    </w:p>
    <w:p w14:paraId="23E58B2D" w14:textId="53487F18" w:rsidR="001376EA" w:rsidRPr="005A7A22" w:rsidRDefault="00534754" w:rsidP="005A7A22">
      <w:pPr>
        <w:pStyle w:val="HChG"/>
        <w:rPr>
          <w:b w:val="0"/>
          <w:bCs/>
          <w:sz w:val="20"/>
        </w:rPr>
      </w:pPr>
      <w:r>
        <w:tab/>
      </w:r>
      <w:r w:rsidR="005A7A22" w:rsidRPr="005A7A22">
        <w:rPr>
          <w:b w:val="0"/>
          <w:bCs/>
          <w:sz w:val="20"/>
        </w:rPr>
        <w:t>Note:</w:t>
      </w:r>
      <w:r w:rsidR="005A7A22" w:rsidRPr="005A7A22">
        <w:rPr>
          <w:b w:val="0"/>
          <w:bCs/>
          <w:sz w:val="20"/>
        </w:rPr>
        <w:tab/>
        <w:t>The scope and specific requirements for N</w:t>
      </w:r>
      <w:r w:rsidR="005A7A22" w:rsidRPr="005A7A22">
        <w:rPr>
          <w:b w:val="0"/>
          <w:bCs/>
          <w:sz w:val="20"/>
          <w:vertAlign w:val="subscript"/>
        </w:rPr>
        <w:t>2</w:t>
      </w:r>
      <w:r w:rsidR="005A7A22" w:rsidRPr="005A7A22">
        <w:rPr>
          <w:b w:val="0"/>
          <w:bCs/>
          <w:sz w:val="20"/>
        </w:rPr>
        <w:t>G and M</w:t>
      </w:r>
      <w:r w:rsidR="005A7A22" w:rsidRPr="005A7A22">
        <w:rPr>
          <w:b w:val="0"/>
          <w:bCs/>
          <w:sz w:val="20"/>
          <w:vertAlign w:val="subscript"/>
        </w:rPr>
        <w:t>2</w:t>
      </w:r>
      <w:r w:rsidR="005A7A22" w:rsidRPr="005A7A22">
        <w:rPr>
          <w:b w:val="0"/>
          <w:bCs/>
          <w:sz w:val="20"/>
        </w:rPr>
        <w:t>G will be reviewed at the 118th GRSG session</w:t>
      </w:r>
      <w:r w:rsidR="005A7A22">
        <w:rPr>
          <w:b w:val="0"/>
          <w:bCs/>
          <w:sz w:val="20"/>
        </w:rPr>
        <w:t>.</w:t>
      </w:r>
    </w:p>
    <w:p w14:paraId="3E375EEF" w14:textId="720274B2" w:rsidR="00735ECE" w:rsidRPr="00631128" w:rsidRDefault="00735ECE" w:rsidP="00631128">
      <w:pPr>
        <w:pStyle w:val="SingleTxtG"/>
        <w:ind w:hanging="426"/>
      </w:pPr>
    </w:p>
    <w:p w14:paraId="6D41DBAD" w14:textId="77777777" w:rsidR="00735ECE" w:rsidRPr="00DD3907" w:rsidRDefault="00735ECE" w:rsidP="00735ECE">
      <w:pPr>
        <w:pStyle w:val="Default"/>
        <w:jc w:val="center"/>
        <w:rPr>
          <w:b/>
          <w:bCs/>
          <w:sz w:val="20"/>
          <w:szCs w:val="20"/>
          <w:lang w:val="en-US"/>
        </w:rPr>
      </w:pPr>
      <w:r>
        <w:rPr>
          <w:b/>
          <w:bCs/>
          <w:sz w:val="20"/>
          <w:szCs w:val="20"/>
          <w:lang w:val="en-US"/>
        </w:rPr>
        <w:t>________________</w:t>
      </w:r>
    </w:p>
    <w:sectPr w:rsidR="00735ECE" w:rsidRPr="00DD3907" w:rsidSect="00735EC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A60E" w14:textId="77777777" w:rsidR="00E9475D" w:rsidRDefault="00E9475D"/>
  </w:endnote>
  <w:endnote w:type="continuationSeparator" w:id="0">
    <w:p w14:paraId="6E804D3B" w14:textId="77777777" w:rsidR="00E9475D" w:rsidRDefault="00E9475D"/>
  </w:endnote>
  <w:endnote w:type="continuationNotice" w:id="1">
    <w:p w14:paraId="1DFE55B0" w14:textId="77777777" w:rsidR="00E9475D" w:rsidRDefault="00E94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A72" w14:textId="7A7B6178"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1376EA">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E69"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Pr="00735ECE">
      <w:rPr>
        <w:b/>
        <w:noProof/>
        <w:sz w:val="18"/>
      </w:rPr>
      <w:t>3</w:t>
    </w:r>
    <w:r w:rsidRPr="00735E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55FF" w14:textId="77777777" w:rsidR="00E9475D" w:rsidRPr="000B175B" w:rsidRDefault="00E9475D" w:rsidP="000B175B">
      <w:pPr>
        <w:tabs>
          <w:tab w:val="right" w:pos="2155"/>
        </w:tabs>
        <w:spacing w:after="80"/>
        <w:ind w:left="680"/>
        <w:rPr>
          <w:u w:val="single"/>
        </w:rPr>
      </w:pPr>
      <w:r>
        <w:rPr>
          <w:u w:val="single"/>
        </w:rPr>
        <w:tab/>
      </w:r>
    </w:p>
  </w:footnote>
  <w:footnote w:type="continuationSeparator" w:id="0">
    <w:p w14:paraId="1A18A3B9" w14:textId="77777777" w:rsidR="00E9475D" w:rsidRPr="00FC68B7" w:rsidRDefault="00E9475D" w:rsidP="00FC68B7">
      <w:pPr>
        <w:tabs>
          <w:tab w:val="left" w:pos="2155"/>
        </w:tabs>
        <w:spacing w:after="80"/>
        <w:ind w:left="680"/>
        <w:rPr>
          <w:u w:val="single"/>
        </w:rPr>
      </w:pPr>
      <w:r>
        <w:rPr>
          <w:u w:val="single"/>
        </w:rPr>
        <w:tab/>
      </w:r>
    </w:p>
  </w:footnote>
  <w:footnote w:type="continuationNotice" w:id="1">
    <w:p w14:paraId="45536DD0" w14:textId="77777777" w:rsidR="00E9475D" w:rsidRDefault="00E94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FF7" w14:textId="77777777" w:rsidR="00735ECE" w:rsidRPr="003613CD" w:rsidRDefault="003613CD" w:rsidP="003613CD">
    <w:pPr>
      <w:pStyle w:val="Header"/>
    </w:pPr>
    <w:r>
      <w:t>ECE/TRANS/WP.29/GRSG/2019/19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E4A" w14:textId="7107A1F6" w:rsidR="00735ECE" w:rsidRPr="00735ECE" w:rsidRDefault="00FD7101" w:rsidP="00735ECE">
    <w:pPr>
      <w:pStyle w:val="Header"/>
      <w:jc w:val="right"/>
    </w:pPr>
    <w:r>
      <w:fldChar w:fldCharType="begin"/>
    </w:r>
    <w:r>
      <w:instrText xml:space="preserve"> TITLE  \* MERGEFORMAT </w:instrText>
    </w:r>
    <w:r>
      <w:fldChar w:fldCharType="separate"/>
    </w:r>
    <w:r w:rsidR="00411FD3">
      <w:t>ECE/TRANS/WP.29/GRSG/2019/19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5"/>
    </w:tblGrid>
    <w:tr w:rsidR="004225AA" w14:paraId="72B3A675" w14:textId="77777777" w:rsidTr="004225AA">
      <w:tc>
        <w:tcPr>
          <w:tcW w:w="5103" w:type="dxa"/>
        </w:tcPr>
        <w:p w14:paraId="54274BD1" w14:textId="38FD4122" w:rsidR="004225AA" w:rsidRPr="009B0F39" w:rsidRDefault="004225AA" w:rsidP="004225AA">
          <w:pPr>
            <w:pStyle w:val="Header"/>
            <w:pBdr>
              <w:bottom w:val="none" w:sz="0" w:space="0" w:color="auto"/>
            </w:pBdr>
            <w:rPr>
              <w:b w:val="0"/>
              <w:bCs/>
              <w:lang w:val="en-US"/>
            </w:rPr>
          </w:pPr>
          <w:r w:rsidRPr="009B0F39">
            <w:rPr>
              <w:b w:val="0"/>
              <w:bCs/>
              <w:lang w:val="en-US"/>
            </w:rPr>
            <w:t>Submitted by the expert from EC</w:t>
          </w:r>
          <w:r w:rsidR="00FD7101">
            <w:rPr>
              <w:b w:val="0"/>
              <w:bCs/>
              <w:lang w:val="en-US"/>
            </w:rPr>
            <w:br/>
            <w:t>(Modified in session)</w:t>
          </w:r>
        </w:p>
      </w:tc>
      <w:tc>
        <w:tcPr>
          <w:tcW w:w="4525" w:type="dxa"/>
        </w:tcPr>
        <w:p w14:paraId="02947BC7" w14:textId="77777777" w:rsidR="004225AA" w:rsidRDefault="004225AA" w:rsidP="00F0645F">
          <w:pPr>
            <w:pStyle w:val="Header"/>
            <w:pBdr>
              <w:bottom w:val="none" w:sz="0" w:space="0" w:color="auto"/>
            </w:pBdr>
            <w:tabs>
              <w:tab w:val="left" w:pos="1846"/>
            </w:tabs>
            <w:ind w:left="1988"/>
            <w:rPr>
              <w:lang w:val="en-US"/>
            </w:rPr>
          </w:pPr>
          <w:r w:rsidRPr="009B0F39">
            <w:rPr>
              <w:b w:val="0"/>
              <w:bCs/>
              <w:u w:val="single"/>
              <w:lang w:val="en-US"/>
            </w:rPr>
            <w:t>Informal document</w:t>
          </w:r>
          <w:r>
            <w:rPr>
              <w:lang w:val="en-US"/>
            </w:rPr>
            <w:t xml:space="preserve"> GRSG-117-48</w:t>
          </w:r>
        </w:p>
        <w:p w14:paraId="155D3585" w14:textId="77777777" w:rsidR="004225AA" w:rsidRPr="009B0F39" w:rsidRDefault="004225AA" w:rsidP="00F0645F">
          <w:pPr>
            <w:pStyle w:val="Header"/>
            <w:pBdr>
              <w:bottom w:val="none" w:sz="0" w:space="0" w:color="auto"/>
            </w:pBdr>
            <w:tabs>
              <w:tab w:val="left" w:pos="1846"/>
            </w:tabs>
            <w:ind w:left="1988"/>
            <w:rPr>
              <w:b w:val="0"/>
              <w:bCs/>
              <w:lang w:val="en-US"/>
            </w:rPr>
          </w:pPr>
          <w:r w:rsidRPr="009B0F39">
            <w:rPr>
              <w:b w:val="0"/>
              <w:bCs/>
              <w:lang w:val="en-US"/>
            </w:rPr>
            <w:t>117</w:t>
          </w:r>
          <w:r w:rsidRPr="009B0F39">
            <w:rPr>
              <w:b w:val="0"/>
              <w:bCs/>
              <w:vertAlign w:val="superscript"/>
              <w:lang w:val="en-US"/>
            </w:rPr>
            <w:t>th</w:t>
          </w:r>
          <w:r w:rsidRPr="009B0F39">
            <w:rPr>
              <w:b w:val="0"/>
              <w:bCs/>
              <w:lang w:val="en-US"/>
            </w:rPr>
            <w:t xml:space="preserve"> GRSG, 8-11 October 2019</w:t>
          </w:r>
        </w:p>
        <w:p w14:paraId="33DAF9F3" w14:textId="631FBBD2" w:rsidR="004225AA" w:rsidRPr="009B0F39" w:rsidRDefault="004225AA" w:rsidP="00F0645F">
          <w:pPr>
            <w:pStyle w:val="Header"/>
            <w:pBdr>
              <w:bottom w:val="none" w:sz="0" w:space="0" w:color="auto"/>
            </w:pBdr>
            <w:tabs>
              <w:tab w:val="left" w:pos="1846"/>
            </w:tabs>
            <w:ind w:left="1988"/>
            <w:rPr>
              <w:lang w:val="en-US"/>
            </w:rPr>
          </w:pPr>
          <w:r w:rsidRPr="009B0F39">
            <w:rPr>
              <w:b w:val="0"/>
              <w:bCs/>
              <w:lang w:val="en-US"/>
            </w:rPr>
            <w:t xml:space="preserve">Agenda item </w:t>
          </w:r>
          <w:r>
            <w:rPr>
              <w:b w:val="0"/>
              <w:bCs/>
              <w:lang w:val="en-US"/>
            </w:rPr>
            <w:t>12</w:t>
          </w:r>
        </w:p>
      </w:tc>
    </w:tr>
  </w:tbl>
  <w:p w14:paraId="5CA7670F" w14:textId="77777777" w:rsidR="004225AA" w:rsidRDefault="00422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2"/>
  </w:num>
  <w:num w:numId="21">
    <w:abstractNumId w:val="22"/>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CE"/>
    <w:rsid w:val="00002A7D"/>
    <w:rsid w:val="000038A8"/>
    <w:rsid w:val="00005DF3"/>
    <w:rsid w:val="00006790"/>
    <w:rsid w:val="000130BE"/>
    <w:rsid w:val="00027624"/>
    <w:rsid w:val="00050F6B"/>
    <w:rsid w:val="000678CD"/>
    <w:rsid w:val="00072C8C"/>
    <w:rsid w:val="00081CE0"/>
    <w:rsid w:val="00084D30"/>
    <w:rsid w:val="00090320"/>
    <w:rsid w:val="000931C0"/>
    <w:rsid w:val="00097003"/>
    <w:rsid w:val="000A2E09"/>
    <w:rsid w:val="000B175B"/>
    <w:rsid w:val="000B3A0F"/>
    <w:rsid w:val="000E0415"/>
    <w:rsid w:val="000E116F"/>
    <w:rsid w:val="000F7715"/>
    <w:rsid w:val="001376E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613CD"/>
    <w:rsid w:val="003A46BB"/>
    <w:rsid w:val="003A4EC7"/>
    <w:rsid w:val="003A7295"/>
    <w:rsid w:val="003B1F60"/>
    <w:rsid w:val="003C2CC4"/>
    <w:rsid w:val="003C3712"/>
    <w:rsid w:val="003D4B23"/>
    <w:rsid w:val="003E278A"/>
    <w:rsid w:val="00411FD3"/>
    <w:rsid w:val="00413520"/>
    <w:rsid w:val="004225AA"/>
    <w:rsid w:val="004325CB"/>
    <w:rsid w:val="00440A07"/>
    <w:rsid w:val="00462880"/>
    <w:rsid w:val="00476F24"/>
    <w:rsid w:val="004A5D33"/>
    <w:rsid w:val="004C55B0"/>
    <w:rsid w:val="004F6BA0"/>
    <w:rsid w:val="00503BEA"/>
    <w:rsid w:val="00533616"/>
    <w:rsid w:val="00534754"/>
    <w:rsid w:val="00535ABA"/>
    <w:rsid w:val="0053768B"/>
    <w:rsid w:val="005420F2"/>
    <w:rsid w:val="0054285C"/>
    <w:rsid w:val="00566EF2"/>
    <w:rsid w:val="00584173"/>
    <w:rsid w:val="00595520"/>
    <w:rsid w:val="005A44B9"/>
    <w:rsid w:val="005A7A22"/>
    <w:rsid w:val="005B1BA0"/>
    <w:rsid w:val="005B3DB3"/>
    <w:rsid w:val="005C0268"/>
    <w:rsid w:val="005D15CA"/>
    <w:rsid w:val="005F08DF"/>
    <w:rsid w:val="005F3066"/>
    <w:rsid w:val="005F3E61"/>
    <w:rsid w:val="00604DDD"/>
    <w:rsid w:val="006115CC"/>
    <w:rsid w:val="00611FC4"/>
    <w:rsid w:val="006176FB"/>
    <w:rsid w:val="00630FCB"/>
    <w:rsid w:val="00631128"/>
    <w:rsid w:val="00640B26"/>
    <w:rsid w:val="00647097"/>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65F2"/>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3196"/>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B83"/>
    <w:rsid w:val="00DA357F"/>
    <w:rsid w:val="00DA3E12"/>
    <w:rsid w:val="00DC18AD"/>
    <w:rsid w:val="00DD3734"/>
    <w:rsid w:val="00DF7CAE"/>
    <w:rsid w:val="00E423C0"/>
    <w:rsid w:val="00E6414C"/>
    <w:rsid w:val="00E7260F"/>
    <w:rsid w:val="00E8702D"/>
    <w:rsid w:val="00E905F4"/>
    <w:rsid w:val="00E916A9"/>
    <w:rsid w:val="00E916DE"/>
    <w:rsid w:val="00E925AD"/>
    <w:rsid w:val="00E9475D"/>
    <w:rsid w:val="00E96630"/>
    <w:rsid w:val="00ED18DC"/>
    <w:rsid w:val="00ED6201"/>
    <w:rsid w:val="00ED7A2A"/>
    <w:rsid w:val="00EF1D7F"/>
    <w:rsid w:val="00F0137E"/>
    <w:rsid w:val="00F04E44"/>
    <w:rsid w:val="00F0645F"/>
    <w:rsid w:val="00F21786"/>
    <w:rsid w:val="00F25D06"/>
    <w:rsid w:val="00F31CFF"/>
    <w:rsid w:val="00F3742B"/>
    <w:rsid w:val="00F41FDB"/>
    <w:rsid w:val="00F50597"/>
    <w:rsid w:val="00F56D63"/>
    <w:rsid w:val="00F609A9"/>
    <w:rsid w:val="00F80C99"/>
    <w:rsid w:val="00F867EC"/>
    <w:rsid w:val="00F91B2B"/>
    <w:rsid w:val="00FB611E"/>
    <w:rsid w:val="00FC03CD"/>
    <w:rsid w:val="00FC0646"/>
    <w:rsid w:val="00FC68B7"/>
    <w:rsid w:val="00FD71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55D5-EE87-432C-B259-DEE37F55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ECE/TRANS/WP.29/GRSG/2019/19</vt:lpstr>
      <vt:lpstr/>
    </vt:vector>
  </TitlesOfParts>
  <Company>CSD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1912286</dc:subject>
  <dc:creator>Marie-Claude Collet</dc:creator>
  <cp:keywords/>
  <dc:description/>
  <cp:lastModifiedBy>Francois E. Guichard</cp:lastModifiedBy>
  <cp:revision>6</cp:revision>
  <cp:lastPrinted>2019-10-10T07:05:00Z</cp:lastPrinted>
  <dcterms:created xsi:type="dcterms:W3CDTF">2019-10-09T18:19:00Z</dcterms:created>
  <dcterms:modified xsi:type="dcterms:W3CDTF">2019-10-10T07:19:00Z</dcterms:modified>
</cp:coreProperties>
</file>