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0A0F" w14:textId="1B221C61" w:rsidR="00895B68" w:rsidRDefault="00EA229B" w:rsidP="00D30C85">
      <w:pPr>
        <w:pStyle w:val="HChG"/>
        <w:tabs>
          <w:tab w:val="clear" w:pos="851"/>
        </w:tabs>
        <w:spacing w:before="120" w:after="120"/>
        <w:ind w:firstLine="0"/>
        <w:jc w:val="both"/>
        <w:rPr>
          <w:bCs/>
          <w:lang w:val="en-US"/>
        </w:rPr>
      </w:pPr>
      <w:r w:rsidRPr="000C4479">
        <w:rPr>
          <w:bCs/>
          <w:lang w:val="en-US"/>
        </w:rPr>
        <w:t xml:space="preserve">Proposal for </w:t>
      </w:r>
      <w:r>
        <w:rPr>
          <w:bCs/>
          <w:lang w:val="en-US"/>
        </w:rPr>
        <w:t>amendments to</w:t>
      </w:r>
      <w:r w:rsidRPr="000C4479">
        <w:rPr>
          <w:bCs/>
          <w:lang w:val="en-US"/>
        </w:rPr>
        <w:t xml:space="preserve"> </w:t>
      </w:r>
      <w:r>
        <w:rPr>
          <w:bCs/>
          <w:lang w:val="en-US"/>
        </w:rPr>
        <w:t xml:space="preserve">UN </w:t>
      </w:r>
      <w:r w:rsidRPr="000C4479">
        <w:rPr>
          <w:bCs/>
          <w:lang w:val="en-US"/>
        </w:rPr>
        <w:t xml:space="preserve">Regulation </w:t>
      </w:r>
      <w:r>
        <w:rPr>
          <w:bCs/>
          <w:lang w:val="en-US"/>
        </w:rPr>
        <w:t>No. 46</w:t>
      </w:r>
    </w:p>
    <w:p w14:paraId="76F5338D" w14:textId="3D08C075" w:rsidR="00EA229B" w:rsidRPr="00EF4823" w:rsidRDefault="00C40426" w:rsidP="00D30C85">
      <w:pPr>
        <w:pStyle w:val="HChG"/>
        <w:tabs>
          <w:tab w:val="clear" w:pos="851"/>
        </w:tabs>
        <w:spacing w:before="120" w:after="120"/>
        <w:ind w:firstLine="0"/>
        <w:jc w:val="both"/>
        <w:rPr>
          <w:lang w:val="en-US"/>
        </w:rPr>
      </w:pPr>
      <w:r w:rsidRPr="00B85784">
        <w:rPr>
          <w:b w:val="0"/>
          <w:bCs/>
          <w:lang w:val="en-US"/>
        </w:rPr>
        <w:t xml:space="preserve">(Uniform provisions concerning the approval of devices for indirect vision and of motor vehicles </w:t>
      </w:r>
      <w:proofErr w:type="gramStart"/>
      <w:r w:rsidRPr="00B85784">
        <w:rPr>
          <w:b w:val="0"/>
          <w:bCs/>
          <w:lang w:val="en-US"/>
        </w:rPr>
        <w:t>with regard to</w:t>
      </w:r>
      <w:proofErr w:type="gramEnd"/>
      <w:r w:rsidRPr="00B85784">
        <w:rPr>
          <w:b w:val="0"/>
          <w:bCs/>
          <w:lang w:val="en-US"/>
        </w:rPr>
        <w:t xml:space="preserve"> the installation of these devices)</w:t>
      </w:r>
    </w:p>
    <w:p w14:paraId="7A7653FF" w14:textId="77777777" w:rsidR="00B85784" w:rsidRDefault="00B85784" w:rsidP="00C4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14:paraId="11F4A1DD" w14:textId="0696768F" w:rsidR="00C40426" w:rsidRPr="00C40426" w:rsidRDefault="00C40426" w:rsidP="00C4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  <w:r w:rsidRPr="00C40426">
        <w:rPr>
          <w:rFonts w:ascii="Times New Roman" w:hAnsi="Times New Roman" w:cs="Times New Roman"/>
          <w:sz w:val="19"/>
          <w:szCs w:val="19"/>
          <w:lang w:val="en-GB"/>
        </w:rPr>
        <w:t xml:space="preserve">The text reproduced below is prepared by </w:t>
      </w:r>
      <w:r w:rsidR="00CF52F1">
        <w:rPr>
          <w:rFonts w:ascii="Times New Roman" w:hAnsi="Times New Roman" w:cs="Times New Roman"/>
          <w:sz w:val="19"/>
          <w:szCs w:val="19"/>
          <w:lang w:val="en-GB"/>
        </w:rPr>
        <w:t xml:space="preserve">the expert from </w:t>
      </w:r>
      <w:r>
        <w:rPr>
          <w:rFonts w:ascii="Times New Roman" w:hAnsi="Times New Roman" w:cs="Times New Roman"/>
          <w:sz w:val="19"/>
          <w:szCs w:val="19"/>
          <w:lang w:val="en-GB"/>
        </w:rPr>
        <w:t>Germany</w:t>
      </w:r>
      <w:r w:rsidRPr="00C40426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to amend the provisions concerning the approval of devices for indirect vision and of motor vehicles </w:t>
      </w:r>
      <w:proofErr w:type="gramStart"/>
      <w:r w:rsidRPr="00C40426">
        <w:rPr>
          <w:rFonts w:ascii="Times New Roman" w:hAnsi="Times New Roman" w:cs="Times New Roman"/>
          <w:sz w:val="20"/>
          <w:szCs w:val="20"/>
          <w:lang w:val="en-GB"/>
        </w:rPr>
        <w:t>with regard to</w:t>
      </w:r>
      <w:proofErr w:type="gramEnd"/>
      <w:r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 the installation of these devices. The modifications to the current text of UN Regulation No. </w:t>
      </w:r>
      <w:r>
        <w:rPr>
          <w:rFonts w:ascii="Times New Roman" w:hAnsi="Times New Roman" w:cs="Times New Roman"/>
          <w:sz w:val="20"/>
          <w:szCs w:val="20"/>
          <w:lang w:val="en-GB"/>
        </w:rPr>
        <w:t>46</w:t>
      </w:r>
      <w:r w:rsidRPr="00C40426">
        <w:rPr>
          <w:rFonts w:ascii="Times New Roman" w:hAnsi="Times New Roman" w:cs="Times New Roman"/>
          <w:sz w:val="20"/>
          <w:szCs w:val="20"/>
          <w:lang w:val="en-GB"/>
        </w:rPr>
        <w:t xml:space="preserve"> are marked in bold characters</w:t>
      </w:r>
      <w:r w:rsidR="00CF52F1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14:paraId="4C0F5797" w14:textId="77777777" w:rsidR="00B85784" w:rsidRDefault="00B85784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</w:p>
    <w:p w14:paraId="515F3F43" w14:textId="0E4B32FE" w:rsidR="008A3AB7" w:rsidRPr="00EA229B" w:rsidRDefault="008A3AB7" w:rsidP="00F6276B">
      <w:pPr>
        <w:pStyle w:val="Default"/>
        <w:numPr>
          <w:ilvl w:val="0"/>
          <w:numId w:val="1"/>
        </w:numPr>
        <w:ind w:hanging="1080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EA229B">
        <w:rPr>
          <w:b/>
          <w:bCs/>
          <w:sz w:val="28"/>
          <w:szCs w:val="28"/>
          <w:lang w:val="en-GB"/>
        </w:rPr>
        <w:t>Proposal</w:t>
      </w:r>
    </w:p>
    <w:p w14:paraId="4E0AD052" w14:textId="77777777" w:rsidR="008A3AB7" w:rsidRDefault="008A3AB7" w:rsidP="008A3AB7">
      <w:pPr>
        <w:pStyle w:val="Default"/>
        <w:ind w:left="993" w:hanging="993"/>
        <w:rPr>
          <w:sz w:val="20"/>
          <w:szCs w:val="20"/>
          <w:lang w:val="en-US"/>
        </w:rPr>
      </w:pPr>
    </w:p>
    <w:p w14:paraId="21F028DE" w14:textId="1887ED4F" w:rsidR="008A3AB7" w:rsidRPr="005640E9" w:rsidRDefault="008A3AB7" w:rsidP="008A3AB7">
      <w:pPr>
        <w:pStyle w:val="Default"/>
        <w:rPr>
          <w:i/>
          <w:sz w:val="20"/>
          <w:szCs w:val="20"/>
          <w:lang w:val="en-US"/>
        </w:rPr>
      </w:pPr>
      <w:r w:rsidRPr="005640E9">
        <w:rPr>
          <w:i/>
          <w:sz w:val="20"/>
          <w:szCs w:val="20"/>
          <w:lang w:val="en-US"/>
        </w:rPr>
        <w:t xml:space="preserve">Insert </w:t>
      </w:r>
      <w:r w:rsidR="005640E9">
        <w:rPr>
          <w:i/>
          <w:sz w:val="20"/>
          <w:szCs w:val="20"/>
          <w:lang w:val="en-US"/>
        </w:rPr>
        <w:t>a new p</w:t>
      </w:r>
      <w:r w:rsidRPr="005640E9">
        <w:rPr>
          <w:i/>
          <w:sz w:val="20"/>
          <w:szCs w:val="20"/>
          <w:lang w:val="en-US"/>
        </w:rPr>
        <w:t>aragraph 16.1.1.1.1.</w:t>
      </w:r>
      <w:r w:rsidR="00D30C85">
        <w:rPr>
          <w:i/>
          <w:sz w:val="20"/>
          <w:szCs w:val="20"/>
          <w:lang w:val="en-US"/>
        </w:rPr>
        <w:t>,</w:t>
      </w:r>
      <w:r w:rsidR="00D30C85" w:rsidRPr="00D30C85">
        <w:rPr>
          <w:iCs/>
          <w:sz w:val="20"/>
          <w:szCs w:val="20"/>
          <w:lang w:val="en-US"/>
        </w:rPr>
        <w:t xml:space="preserve"> to read</w:t>
      </w:r>
      <w:r w:rsidR="00D30C85">
        <w:rPr>
          <w:iCs/>
          <w:sz w:val="20"/>
          <w:szCs w:val="20"/>
          <w:lang w:val="en-US"/>
        </w:rPr>
        <w:t>:</w:t>
      </w:r>
    </w:p>
    <w:p w14:paraId="5C454630" w14:textId="31A7AECA" w:rsidR="002505C3" w:rsidRPr="00CF52F1" w:rsidRDefault="002505C3" w:rsidP="00804DC1">
      <w:pPr>
        <w:pStyle w:val="Default"/>
        <w:rPr>
          <w:b/>
          <w:color w:val="auto"/>
          <w:sz w:val="20"/>
          <w:szCs w:val="20"/>
          <w:lang w:val="en-GB"/>
        </w:rPr>
      </w:pPr>
    </w:p>
    <w:p w14:paraId="68A299A5" w14:textId="650A2DCB" w:rsidR="00153E7C" w:rsidRPr="00CF52F1" w:rsidRDefault="00CF52F1" w:rsidP="00153E7C">
      <w:pPr>
        <w:pStyle w:val="Default"/>
        <w:rPr>
          <w:b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  <w:lang w:val="en-US"/>
        </w:rPr>
        <w:t>“</w:t>
      </w:r>
      <w:r w:rsidR="00153E7C" w:rsidRPr="00CF52F1">
        <w:rPr>
          <w:b/>
          <w:color w:val="auto"/>
          <w:sz w:val="20"/>
          <w:szCs w:val="20"/>
          <w:lang w:val="en-US"/>
        </w:rPr>
        <w:t>16.1.1.1.1.</w:t>
      </w:r>
      <w:r w:rsidR="00D30C85">
        <w:rPr>
          <w:b/>
          <w:color w:val="auto"/>
          <w:sz w:val="20"/>
          <w:szCs w:val="20"/>
          <w:lang w:val="en-US"/>
        </w:rPr>
        <w:tab/>
      </w:r>
      <w:r w:rsidR="00153E7C" w:rsidRPr="00CF52F1">
        <w:rPr>
          <w:b/>
          <w:color w:val="auto"/>
          <w:sz w:val="20"/>
          <w:szCs w:val="20"/>
          <w:lang w:val="en-US"/>
        </w:rPr>
        <w:t>Temporary modified view</w:t>
      </w:r>
    </w:p>
    <w:p w14:paraId="40ED3299" w14:textId="77777777" w:rsidR="00CF39AF" w:rsidRPr="00CF52F1" w:rsidRDefault="00CF39AF" w:rsidP="00153E7C">
      <w:pPr>
        <w:pStyle w:val="Default"/>
        <w:rPr>
          <w:b/>
          <w:color w:val="auto"/>
          <w:sz w:val="20"/>
          <w:szCs w:val="20"/>
          <w:lang w:val="en-US"/>
        </w:rPr>
      </w:pPr>
    </w:p>
    <w:p w14:paraId="325CF828" w14:textId="2658BB7B" w:rsidR="00DC523D" w:rsidRPr="00CF52F1" w:rsidRDefault="00966E6F" w:rsidP="00FB6E32">
      <w:pPr>
        <w:pStyle w:val="Default"/>
        <w:ind w:left="1440" w:hanging="24"/>
        <w:rPr>
          <w:b/>
          <w:color w:val="auto"/>
          <w:sz w:val="20"/>
          <w:szCs w:val="20"/>
          <w:lang w:val="en-US"/>
        </w:rPr>
      </w:pPr>
      <w:r w:rsidRPr="00CF52F1">
        <w:rPr>
          <w:b/>
          <w:color w:val="auto"/>
          <w:sz w:val="20"/>
          <w:szCs w:val="20"/>
          <w:lang w:val="en-US"/>
        </w:rPr>
        <w:t>To</w:t>
      </w:r>
      <w:r w:rsidR="00CF39AF" w:rsidRPr="00CF52F1">
        <w:rPr>
          <w:b/>
          <w:color w:val="auto"/>
          <w:sz w:val="20"/>
          <w:szCs w:val="20"/>
          <w:lang w:val="en-US"/>
        </w:rPr>
        <w:t xml:space="preserve"> enable an improved view in special driving situations</w:t>
      </w:r>
      <w:r w:rsidR="00522DF7" w:rsidRPr="00CF52F1">
        <w:rPr>
          <w:b/>
          <w:color w:val="auto"/>
          <w:sz w:val="20"/>
          <w:szCs w:val="20"/>
          <w:lang w:val="en-US"/>
        </w:rPr>
        <w:t xml:space="preserve"> </w:t>
      </w:r>
      <w:r w:rsidR="008B5597" w:rsidRPr="00CF52F1">
        <w:rPr>
          <w:b/>
          <w:color w:val="auto"/>
          <w:sz w:val="20"/>
          <w:szCs w:val="20"/>
          <w:lang w:val="en-US"/>
        </w:rPr>
        <w:t>t</w:t>
      </w:r>
      <w:r w:rsidR="00153E7C" w:rsidRPr="00CF52F1">
        <w:rPr>
          <w:b/>
          <w:color w:val="auto"/>
          <w:sz w:val="20"/>
          <w:szCs w:val="20"/>
          <w:lang w:val="en-US"/>
        </w:rPr>
        <w:t>emporary modified view</w:t>
      </w:r>
      <w:r w:rsidR="00522DF7" w:rsidRPr="00CF52F1">
        <w:rPr>
          <w:b/>
          <w:color w:val="auto"/>
          <w:sz w:val="20"/>
          <w:szCs w:val="20"/>
          <w:lang w:val="en-US"/>
        </w:rPr>
        <w:t>s</w:t>
      </w:r>
      <w:r w:rsidR="00DC523D" w:rsidRPr="00CF52F1">
        <w:rPr>
          <w:b/>
          <w:color w:val="auto"/>
          <w:sz w:val="20"/>
          <w:szCs w:val="20"/>
          <w:lang w:val="en-US"/>
        </w:rPr>
        <w:t xml:space="preserve"> </w:t>
      </w:r>
      <w:r w:rsidR="00714FC4" w:rsidRPr="00CF52F1">
        <w:rPr>
          <w:b/>
          <w:color w:val="auto"/>
          <w:sz w:val="20"/>
          <w:szCs w:val="20"/>
          <w:lang w:val="en-US"/>
        </w:rPr>
        <w:t>different from</w:t>
      </w:r>
      <w:r w:rsidR="00153E7C" w:rsidRPr="00CF52F1">
        <w:rPr>
          <w:b/>
          <w:color w:val="auto"/>
          <w:sz w:val="20"/>
          <w:szCs w:val="20"/>
          <w:lang w:val="en-US"/>
        </w:rPr>
        <w:t xml:space="preserve"> the defa</w:t>
      </w:r>
      <w:r w:rsidR="00714FC4" w:rsidRPr="00CF52F1">
        <w:rPr>
          <w:b/>
          <w:color w:val="auto"/>
          <w:sz w:val="20"/>
          <w:szCs w:val="20"/>
          <w:lang w:val="en-US"/>
        </w:rPr>
        <w:t xml:space="preserve">ult view shall be </w:t>
      </w:r>
      <w:r w:rsidR="002505C3" w:rsidRPr="00CF52F1">
        <w:rPr>
          <w:b/>
          <w:color w:val="auto"/>
          <w:sz w:val="20"/>
          <w:szCs w:val="20"/>
          <w:lang w:val="en-US"/>
        </w:rPr>
        <w:t>permitted</w:t>
      </w:r>
      <w:r w:rsidR="00804DC1" w:rsidRPr="00CF52F1">
        <w:rPr>
          <w:b/>
          <w:color w:val="auto"/>
          <w:sz w:val="20"/>
          <w:szCs w:val="20"/>
          <w:lang w:val="en-US"/>
        </w:rPr>
        <w:t xml:space="preserve">. The </w:t>
      </w:r>
      <w:r w:rsidR="00030F44" w:rsidRPr="00CF52F1">
        <w:rPr>
          <w:b/>
          <w:color w:val="auto"/>
          <w:sz w:val="20"/>
          <w:szCs w:val="20"/>
          <w:lang w:val="en-US"/>
        </w:rPr>
        <w:t xml:space="preserve">requirements </w:t>
      </w:r>
      <w:r w:rsidR="00804DC1" w:rsidRPr="00CF52F1">
        <w:rPr>
          <w:b/>
          <w:color w:val="auto"/>
          <w:sz w:val="20"/>
          <w:szCs w:val="20"/>
          <w:lang w:val="en-US"/>
        </w:rPr>
        <w:t>laid down in</w:t>
      </w:r>
      <w:r w:rsidR="00030F44" w:rsidRPr="00CF52F1">
        <w:rPr>
          <w:b/>
          <w:color w:val="auto"/>
          <w:sz w:val="20"/>
          <w:szCs w:val="20"/>
          <w:lang w:val="en-US"/>
        </w:rPr>
        <w:t xml:space="preserve"> paragraph</w:t>
      </w:r>
      <w:r w:rsidR="00AB5E05">
        <w:rPr>
          <w:b/>
          <w:color w:val="auto"/>
          <w:sz w:val="20"/>
          <w:szCs w:val="20"/>
          <w:lang w:val="en-US"/>
        </w:rPr>
        <w:t>s</w:t>
      </w:r>
      <w:r w:rsidR="00030F44" w:rsidRPr="00CF52F1">
        <w:rPr>
          <w:b/>
          <w:color w:val="auto"/>
          <w:sz w:val="20"/>
          <w:szCs w:val="20"/>
          <w:lang w:val="en-US"/>
        </w:rPr>
        <w:t xml:space="preserve"> 15.2.4.</w:t>
      </w:r>
      <w:r w:rsidR="00FB6E32" w:rsidRPr="00CF52F1">
        <w:rPr>
          <w:b/>
          <w:color w:val="auto"/>
          <w:sz w:val="20"/>
          <w:szCs w:val="20"/>
          <w:lang w:val="en-US"/>
        </w:rPr>
        <w:t xml:space="preserve"> (field of vision) </w:t>
      </w:r>
      <w:r w:rsidR="00030F44" w:rsidRPr="00CF52F1">
        <w:rPr>
          <w:b/>
          <w:color w:val="auto"/>
          <w:sz w:val="20"/>
          <w:szCs w:val="20"/>
          <w:lang w:val="en-US"/>
        </w:rPr>
        <w:t xml:space="preserve">and 16.1.3. </w:t>
      </w:r>
      <w:r w:rsidR="00FB6E32" w:rsidRPr="00CF52F1">
        <w:rPr>
          <w:b/>
          <w:color w:val="auto"/>
          <w:sz w:val="20"/>
          <w:szCs w:val="20"/>
          <w:lang w:val="en-US"/>
        </w:rPr>
        <w:t xml:space="preserve">(magnification and resolution) </w:t>
      </w:r>
      <w:r w:rsidR="00030F44" w:rsidRPr="00CF52F1">
        <w:rPr>
          <w:b/>
          <w:color w:val="auto"/>
          <w:sz w:val="20"/>
          <w:szCs w:val="20"/>
          <w:lang w:val="en-US"/>
        </w:rPr>
        <w:t>may not be fulfilled</w:t>
      </w:r>
      <w:r w:rsidR="00DC523D" w:rsidRPr="00CF52F1">
        <w:rPr>
          <w:b/>
          <w:color w:val="auto"/>
          <w:sz w:val="20"/>
          <w:szCs w:val="20"/>
          <w:lang w:val="en-US"/>
        </w:rPr>
        <w:t xml:space="preserve"> during temporary modified view</w:t>
      </w:r>
      <w:r w:rsidR="00030F44" w:rsidRPr="00CF52F1">
        <w:rPr>
          <w:b/>
          <w:color w:val="auto"/>
          <w:sz w:val="20"/>
          <w:szCs w:val="20"/>
          <w:lang w:val="en-US"/>
        </w:rPr>
        <w:t>.</w:t>
      </w:r>
    </w:p>
    <w:p w14:paraId="5D4F29A0" w14:textId="77777777" w:rsidR="00DC523D" w:rsidRPr="00CF52F1" w:rsidRDefault="00DC523D" w:rsidP="00FB6E32">
      <w:pPr>
        <w:pStyle w:val="Default"/>
        <w:ind w:left="1440" w:hanging="24"/>
        <w:rPr>
          <w:b/>
          <w:color w:val="auto"/>
          <w:sz w:val="20"/>
          <w:szCs w:val="20"/>
          <w:lang w:val="en-US"/>
        </w:rPr>
      </w:pPr>
    </w:p>
    <w:p w14:paraId="2A656995" w14:textId="34301C45" w:rsidR="00714FC4" w:rsidRDefault="00984466" w:rsidP="00FB6E32">
      <w:pPr>
        <w:pStyle w:val="Default"/>
        <w:ind w:left="1440" w:hanging="24"/>
        <w:rPr>
          <w:b/>
          <w:color w:val="auto"/>
          <w:sz w:val="20"/>
          <w:szCs w:val="20"/>
          <w:lang w:val="en-US"/>
        </w:rPr>
      </w:pPr>
      <w:r w:rsidRPr="00B85784">
        <w:rPr>
          <w:b/>
          <w:color w:val="auto"/>
          <w:sz w:val="20"/>
          <w:szCs w:val="20"/>
          <w:lang w:val="en-US"/>
        </w:rPr>
        <w:t xml:space="preserve">The </w:t>
      </w:r>
      <w:r w:rsidR="00110524" w:rsidRPr="00B85784">
        <w:rPr>
          <w:b/>
          <w:color w:val="auto"/>
          <w:sz w:val="20"/>
          <w:szCs w:val="20"/>
          <w:lang w:val="en-US"/>
        </w:rPr>
        <w:t xml:space="preserve">vehicle </w:t>
      </w:r>
      <w:r w:rsidRPr="00B85784">
        <w:rPr>
          <w:b/>
          <w:color w:val="auto"/>
          <w:sz w:val="20"/>
          <w:szCs w:val="20"/>
          <w:lang w:val="en-US"/>
        </w:rPr>
        <w:t>manufacturer shall demonstrate t</w:t>
      </w:r>
      <w:r w:rsidR="00DC523D" w:rsidRPr="00B85784">
        <w:rPr>
          <w:b/>
          <w:color w:val="auto"/>
          <w:sz w:val="20"/>
          <w:szCs w:val="20"/>
          <w:lang w:val="en-US"/>
        </w:rPr>
        <w:t xml:space="preserve">he improvement of the view </w:t>
      </w:r>
      <w:r w:rsidR="00153E7C" w:rsidRPr="00B85784">
        <w:rPr>
          <w:b/>
          <w:color w:val="auto"/>
          <w:sz w:val="20"/>
          <w:szCs w:val="20"/>
          <w:lang w:val="en-US"/>
        </w:rPr>
        <w:t xml:space="preserve">by an analysis to the </w:t>
      </w:r>
      <w:r w:rsidR="00BE7FDB" w:rsidRPr="00B85784">
        <w:rPr>
          <w:b/>
          <w:color w:val="auto"/>
          <w:sz w:val="20"/>
          <w:szCs w:val="20"/>
          <w:lang w:val="en-US"/>
        </w:rPr>
        <w:t xml:space="preserve">satisfaction of the </w:t>
      </w:r>
      <w:r w:rsidRPr="00B85784">
        <w:rPr>
          <w:b/>
          <w:color w:val="auto"/>
          <w:sz w:val="20"/>
          <w:szCs w:val="20"/>
          <w:lang w:val="en-US"/>
        </w:rPr>
        <w:t>Technical S</w:t>
      </w:r>
      <w:r w:rsidR="00153E7C" w:rsidRPr="00B85784">
        <w:rPr>
          <w:b/>
          <w:color w:val="auto"/>
          <w:sz w:val="20"/>
          <w:szCs w:val="20"/>
          <w:lang w:val="en-US"/>
        </w:rPr>
        <w:t xml:space="preserve">ervice and the </w:t>
      </w:r>
      <w:r w:rsidRPr="00B85784">
        <w:rPr>
          <w:b/>
          <w:color w:val="auto"/>
          <w:sz w:val="20"/>
          <w:szCs w:val="20"/>
          <w:lang w:val="en-US"/>
        </w:rPr>
        <w:t>Type Approval A</w:t>
      </w:r>
      <w:r w:rsidR="00153E7C" w:rsidRPr="00B85784">
        <w:rPr>
          <w:b/>
          <w:color w:val="auto"/>
          <w:sz w:val="20"/>
          <w:szCs w:val="20"/>
          <w:lang w:val="en-US"/>
        </w:rPr>
        <w:t>uthority.</w:t>
      </w:r>
      <w:r w:rsidR="00153E7C" w:rsidRPr="00CF52F1">
        <w:rPr>
          <w:b/>
          <w:color w:val="auto"/>
          <w:sz w:val="20"/>
          <w:szCs w:val="20"/>
          <w:lang w:val="en-US"/>
        </w:rPr>
        <w:t xml:space="preserve"> </w:t>
      </w:r>
    </w:p>
    <w:p w14:paraId="26D47F72" w14:textId="77777777" w:rsidR="00984466" w:rsidRDefault="00984466" w:rsidP="00FB6E32">
      <w:pPr>
        <w:pStyle w:val="Default"/>
        <w:ind w:left="1440" w:hanging="24"/>
        <w:rPr>
          <w:b/>
          <w:color w:val="auto"/>
          <w:sz w:val="20"/>
          <w:szCs w:val="20"/>
          <w:lang w:val="en-US"/>
        </w:rPr>
      </w:pPr>
    </w:p>
    <w:p w14:paraId="2F21D2E8" w14:textId="4FAB6CD3" w:rsidR="00153E7C" w:rsidRDefault="00153E7C" w:rsidP="00D30C85">
      <w:pPr>
        <w:pStyle w:val="Default"/>
        <w:ind w:left="1440" w:hanging="24"/>
        <w:rPr>
          <w:b/>
          <w:sz w:val="20"/>
          <w:szCs w:val="20"/>
          <w:lang w:val="en-US"/>
        </w:rPr>
      </w:pPr>
      <w:r w:rsidRPr="00CF52F1">
        <w:rPr>
          <w:b/>
          <w:color w:val="auto"/>
          <w:sz w:val="20"/>
          <w:szCs w:val="20"/>
          <w:lang w:val="en-US"/>
        </w:rPr>
        <w:t xml:space="preserve">The temporary </w:t>
      </w:r>
      <w:r w:rsidR="00145BEE" w:rsidRPr="00CF52F1">
        <w:rPr>
          <w:b/>
          <w:color w:val="auto"/>
          <w:sz w:val="20"/>
          <w:szCs w:val="20"/>
          <w:lang w:val="en-US"/>
        </w:rPr>
        <w:t>modified view</w:t>
      </w:r>
      <w:r w:rsidRPr="00CF52F1">
        <w:rPr>
          <w:b/>
          <w:color w:val="auto"/>
          <w:sz w:val="20"/>
          <w:szCs w:val="20"/>
          <w:lang w:val="en-US"/>
        </w:rPr>
        <w:t xml:space="preserve"> shall be indicated to the driver. The operator’s manual shall inform the driver </w:t>
      </w:r>
      <w:r w:rsidR="00142C4F" w:rsidRPr="00CF52F1">
        <w:rPr>
          <w:b/>
          <w:color w:val="auto"/>
          <w:sz w:val="20"/>
          <w:szCs w:val="20"/>
          <w:lang w:val="en-US"/>
        </w:rPr>
        <w:t>accordingly</w:t>
      </w:r>
      <w:r w:rsidRPr="00CF52F1">
        <w:rPr>
          <w:b/>
          <w:color w:val="auto"/>
          <w:sz w:val="20"/>
          <w:szCs w:val="20"/>
          <w:lang w:val="en-US"/>
        </w:rPr>
        <w:t>.</w:t>
      </w:r>
      <w:r w:rsidR="00CF52F1">
        <w:rPr>
          <w:b/>
          <w:color w:val="auto"/>
          <w:sz w:val="20"/>
          <w:szCs w:val="20"/>
          <w:lang w:val="en-US"/>
        </w:rPr>
        <w:t>”</w:t>
      </w:r>
    </w:p>
    <w:p w14:paraId="3FA4D803" w14:textId="77777777" w:rsidR="005640E9" w:rsidRDefault="005640E9" w:rsidP="005640E9">
      <w:pPr>
        <w:pStyle w:val="Default"/>
        <w:rPr>
          <w:i/>
          <w:sz w:val="20"/>
          <w:szCs w:val="20"/>
          <w:lang w:val="en-US"/>
        </w:rPr>
      </w:pPr>
    </w:p>
    <w:p w14:paraId="31FFBABD" w14:textId="32616742" w:rsidR="005640E9" w:rsidRPr="005640E9" w:rsidRDefault="005640E9" w:rsidP="005640E9">
      <w:pPr>
        <w:pStyle w:val="Default"/>
        <w:rPr>
          <w:i/>
          <w:sz w:val="20"/>
          <w:szCs w:val="20"/>
          <w:lang w:val="en-US"/>
        </w:rPr>
      </w:pPr>
      <w:r w:rsidRPr="005640E9">
        <w:rPr>
          <w:i/>
          <w:sz w:val="20"/>
          <w:szCs w:val="20"/>
          <w:lang w:val="en-US"/>
        </w:rPr>
        <w:t>Paragraph 13.5.</w:t>
      </w:r>
      <w:r w:rsidR="00170A06">
        <w:rPr>
          <w:i/>
          <w:sz w:val="20"/>
          <w:szCs w:val="20"/>
          <w:lang w:val="en-US"/>
        </w:rPr>
        <w:t>,</w:t>
      </w:r>
      <w:r w:rsidRPr="005640E9">
        <w:rPr>
          <w:i/>
          <w:sz w:val="20"/>
          <w:szCs w:val="20"/>
          <w:lang w:val="en-US"/>
        </w:rPr>
        <w:t xml:space="preserve"> </w:t>
      </w:r>
      <w:r w:rsidRPr="00D30C85">
        <w:rPr>
          <w:iCs/>
          <w:sz w:val="20"/>
          <w:szCs w:val="20"/>
          <w:lang w:val="en-US"/>
        </w:rPr>
        <w:t>amend to read</w:t>
      </w:r>
      <w:r w:rsidR="00CF52F1" w:rsidRPr="00D30C85">
        <w:rPr>
          <w:iCs/>
          <w:sz w:val="20"/>
          <w:szCs w:val="20"/>
          <w:lang w:val="en-US"/>
        </w:rPr>
        <w:t>:</w:t>
      </w:r>
    </w:p>
    <w:p w14:paraId="3AABC1B9" w14:textId="77777777" w:rsidR="005640E9" w:rsidRPr="00A76C98" w:rsidRDefault="005640E9" w:rsidP="00D30C85">
      <w:pPr>
        <w:pStyle w:val="Default"/>
        <w:rPr>
          <w:b/>
          <w:sz w:val="20"/>
          <w:szCs w:val="20"/>
          <w:lang w:val="en-US"/>
        </w:rPr>
      </w:pPr>
    </w:p>
    <w:p w14:paraId="6A33A09C" w14:textId="4679092C" w:rsidR="006309F5" w:rsidRPr="00CF52F1" w:rsidRDefault="00CF52F1" w:rsidP="005640E9">
      <w:pPr>
        <w:pStyle w:val="Default"/>
        <w:ind w:left="1410" w:hanging="1410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“</w:t>
      </w:r>
      <w:r w:rsidR="006309F5" w:rsidRPr="005640E9">
        <w:rPr>
          <w:color w:val="auto"/>
          <w:sz w:val="20"/>
          <w:szCs w:val="20"/>
          <w:lang w:val="en-US"/>
        </w:rPr>
        <w:t xml:space="preserve">13.5. </w:t>
      </w:r>
      <w:r w:rsidR="005640E9" w:rsidRPr="005640E9">
        <w:rPr>
          <w:color w:val="auto"/>
          <w:sz w:val="20"/>
          <w:szCs w:val="20"/>
          <w:lang w:val="en-US"/>
        </w:rPr>
        <w:tab/>
      </w:r>
      <w:r w:rsidR="005640E9" w:rsidRPr="005640E9">
        <w:rPr>
          <w:color w:val="auto"/>
          <w:sz w:val="20"/>
          <w:szCs w:val="20"/>
          <w:lang w:val="en-US"/>
        </w:rPr>
        <w:tab/>
      </w:r>
      <w:r w:rsidR="006309F5" w:rsidRPr="005640E9">
        <w:rPr>
          <w:color w:val="auto"/>
          <w:sz w:val="20"/>
          <w:szCs w:val="20"/>
          <w:lang w:val="en-US"/>
        </w:rPr>
        <w:t>The CMS shall be provided by the applicant with</w:t>
      </w:r>
      <w:r w:rsidR="005A3D98" w:rsidRPr="005640E9">
        <w:rPr>
          <w:color w:val="auto"/>
          <w:sz w:val="20"/>
          <w:szCs w:val="20"/>
          <w:lang w:val="en-US"/>
        </w:rPr>
        <w:t xml:space="preserve"> the following documents:</w:t>
      </w:r>
      <w:r w:rsidR="005A3D98" w:rsidRPr="005640E9">
        <w:rPr>
          <w:color w:val="auto"/>
          <w:sz w:val="20"/>
          <w:szCs w:val="20"/>
          <w:lang w:val="en-US"/>
        </w:rPr>
        <w:br/>
        <w:t>(a</w:t>
      </w:r>
      <w:r w:rsidR="006309F5" w:rsidRPr="005640E9">
        <w:rPr>
          <w:color w:val="auto"/>
          <w:sz w:val="20"/>
          <w:szCs w:val="20"/>
          <w:lang w:val="en-US"/>
        </w:rPr>
        <w:t>) Technical</w:t>
      </w:r>
      <w:r w:rsidR="005A3D98" w:rsidRPr="005640E9">
        <w:rPr>
          <w:color w:val="auto"/>
          <w:sz w:val="20"/>
          <w:szCs w:val="20"/>
          <w:lang w:val="en-US"/>
        </w:rPr>
        <w:t xml:space="preserve"> specification of the CMS;</w:t>
      </w:r>
      <w:r w:rsidR="005A3D98" w:rsidRPr="005640E9">
        <w:rPr>
          <w:color w:val="auto"/>
          <w:sz w:val="20"/>
          <w:szCs w:val="20"/>
          <w:lang w:val="en-US"/>
        </w:rPr>
        <w:br/>
      </w:r>
      <w:r w:rsidR="005A3D98" w:rsidRPr="00CF52F1">
        <w:rPr>
          <w:color w:val="auto"/>
          <w:sz w:val="20"/>
          <w:szCs w:val="20"/>
          <w:lang w:val="en-US"/>
        </w:rPr>
        <w:t>(b</w:t>
      </w:r>
      <w:r w:rsidR="006309F5" w:rsidRPr="00CF52F1">
        <w:rPr>
          <w:color w:val="auto"/>
          <w:sz w:val="20"/>
          <w:szCs w:val="20"/>
          <w:lang w:val="en-US"/>
        </w:rPr>
        <w:t>) Operator's manual;</w:t>
      </w:r>
      <w:r w:rsidR="006309F5" w:rsidRPr="00CF52F1">
        <w:rPr>
          <w:color w:val="auto"/>
          <w:sz w:val="20"/>
          <w:szCs w:val="20"/>
          <w:lang w:val="en-US"/>
        </w:rPr>
        <w:br/>
      </w:r>
      <w:r w:rsidR="005A3D98" w:rsidRPr="00CF52F1">
        <w:rPr>
          <w:color w:val="auto"/>
          <w:sz w:val="20"/>
          <w:szCs w:val="20"/>
          <w:lang w:val="en-US"/>
        </w:rPr>
        <w:t>(c</w:t>
      </w:r>
      <w:r w:rsidR="006309F5" w:rsidRPr="00CF52F1">
        <w:rPr>
          <w:color w:val="auto"/>
          <w:sz w:val="20"/>
          <w:szCs w:val="20"/>
          <w:lang w:val="en-US"/>
        </w:rPr>
        <w:t>) Documentation referred to in Annex 12, paragraph 2.</w:t>
      </w:r>
      <w:r w:rsidR="00634B78">
        <w:rPr>
          <w:color w:val="auto"/>
          <w:sz w:val="20"/>
          <w:szCs w:val="20"/>
          <w:lang w:val="en-US"/>
        </w:rPr>
        <w:t>3.</w:t>
      </w:r>
      <w:r>
        <w:rPr>
          <w:color w:val="auto"/>
          <w:sz w:val="20"/>
          <w:szCs w:val="20"/>
          <w:lang w:val="en-US"/>
        </w:rPr>
        <w:t>;</w:t>
      </w:r>
    </w:p>
    <w:p w14:paraId="59A568AC" w14:textId="76CCE28C" w:rsidR="00A76C98" w:rsidRPr="00CF52F1" w:rsidRDefault="005A3D98" w:rsidP="005640E9">
      <w:pPr>
        <w:pStyle w:val="Default"/>
        <w:ind w:left="1440" w:hanging="24"/>
        <w:rPr>
          <w:b/>
          <w:color w:val="auto"/>
          <w:sz w:val="20"/>
          <w:szCs w:val="20"/>
          <w:lang w:val="en-US"/>
        </w:rPr>
      </w:pPr>
      <w:r w:rsidRPr="00CF52F1">
        <w:rPr>
          <w:b/>
          <w:color w:val="auto"/>
          <w:sz w:val="20"/>
          <w:szCs w:val="20"/>
          <w:lang w:val="en-US"/>
        </w:rPr>
        <w:t xml:space="preserve">(d) Documentation referred to </w:t>
      </w:r>
      <w:r w:rsidR="00AB5E05">
        <w:rPr>
          <w:b/>
          <w:color w:val="auto"/>
          <w:sz w:val="20"/>
          <w:szCs w:val="20"/>
          <w:lang w:val="en-US"/>
        </w:rPr>
        <w:t xml:space="preserve">in </w:t>
      </w:r>
      <w:r w:rsidRPr="00CF52F1">
        <w:rPr>
          <w:b/>
          <w:color w:val="auto"/>
          <w:sz w:val="20"/>
          <w:szCs w:val="20"/>
          <w:lang w:val="en-US"/>
        </w:rPr>
        <w:t>paragraph 16.1.1.1.1.</w:t>
      </w:r>
      <w:r w:rsidR="00AB5E05">
        <w:rPr>
          <w:b/>
          <w:color w:val="auto"/>
          <w:sz w:val="20"/>
          <w:szCs w:val="20"/>
          <w:lang w:val="en-US"/>
        </w:rPr>
        <w:t>,</w:t>
      </w:r>
      <w:r w:rsidRPr="00CF52F1">
        <w:rPr>
          <w:b/>
          <w:color w:val="auto"/>
          <w:sz w:val="20"/>
          <w:szCs w:val="20"/>
          <w:lang w:val="en-US"/>
        </w:rPr>
        <w:t xml:space="preserve"> if applicable</w:t>
      </w:r>
      <w:r w:rsidR="00CF52F1">
        <w:rPr>
          <w:b/>
          <w:color w:val="auto"/>
          <w:sz w:val="20"/>
          <w:szCs w:val="20"/>
          <w:lang w:val="en-US"/>
        </w:rPr>
        <w:t>.”</w:t>
      </w:r>
    </w:p>
    <w:p w14:paraId="39AD6CD2" w14:textId="77777777" w:rsidR="005A3D98" w:rsidRDefault="005A3D98" w:rsidP="005A3D98">
      <w:pPr>
        <w:pStyle w:val="Default"/>
        <w:ind w:left="1440" w:hanging="1440"/>
        <w:rPr>
          <w:b/>
          <w:sz w:val="20"/>
          <w:szCs w:val="20"/>
          <w:lang w:val="en-US"/>
        </w:rPr>
      </w:pPr>
    </w:p>
    <w:p w14:paraId="726E8E7B" w14:textId="4A6ED255" w:rsidR="005640E9" w:rsidRPr="005640E9" w:rsidRDefault="005640E9" w:rsidP="005640E9">
      <w:pPr>
        <w:pStyle w:val="Default"/>
        <w:rPr>
          <w:i/>
          <w:sz w:val="20"/>
          <w:szCs w:val="20"/>
          <w:lang w:val="en-US"/>
        </w:rPr>
      </w:pPr>
      <w:proofErr w:type="gramStart"/>
      <w:r>
        <w:rPr>
          <w:i/>
          <w:sz w:val="20"/>
          <w:szCs w:val="20"/>
          <w:lang w:val="en-US"/>
        </w:rPr>
        <w:t>Annex 2,</w:t>
      </w:r>
      <w:proofErr w:type="gramEnd"/>
      <w:r>
        <w:rPr>
          <w:i/>
          <w:sz w:val="20"/>
          <w:szCs w:val="20"/>
          <w:lang w:val="en-US"/>
        </w:rPr>
        <w:t xml:space="preserve"> i</w:t>
      </w:r>
      <w:r w:rsidRPr="005640E9">
        <w:rPr>
          <w:i/>
          <w:sz w:val="20"/>
          <w:szCs w:val="20"/>
          <w:lang w:val="en-US"/>
        </w:rPr>
        <w:t xml:space="preserve">nsert </w:t>
      </w:r>
      <w:r>
        <w:rPr>
          <w:i/>
          <w:sz w:val="20"/>
          <w:szCs w:val="20"/>
          <w:lang w:val="en-US"/>
        </w:rPr>
        <w:t>a new p</w:t>
      </w:r>
      <w:r w:rsidRPr="005640E9">
        <w:rPr>
          <w:i/>
          <w:sz w:val="20"/>
          <w:szCs w:val="20"/>
          <w:lang w:val="en-US"/>
        </w:rPr>
        <w:t xml:space="preserve">aragraph </w:t>
      </w:r>
      <w:r w:rsidR="0014149C" w:rsidRPr="00F3408E">
        <w:rPr>
          <w:i/>
          <w:sz w:val="20"/>
          <w:szCs w:val="20"/>
          <w:lang w:val="en-US"/>
        </w:rPr>
        <w:t>12.1.2.2.9</w:t>
      </w:r>
      <w:r w:rsidR="0014149C" w:rsidRPr="00D30C85">
        <w:rPr>
          <w:iCs/>
          <w:sz w:val="20"/>
          <w:szCs w:val="20"/>
          <w:lang w:val="en-US"/>
        </w:rPr>
        <w:t>.</w:t>
      </w:r>
      <w:r w:rsidR="00D30C85" w:rsidRPr="00D30C85">
        <w:rPr>
          <w:iCs/>
          <w:sz w:val="20"/>
          <w:szCs w:val="20"/>
          <w:lang w:val="en-US"/>
        </w:rPr>
        <w:t>, to read:</w:t>
      </w:r>
    </w:p>
    <w:p w14:paraId="165CE964" w14:textId="77777777" w:rsidR="005640E9" w:rsidRDefault="005640E9" w:rsidP="005A3D98">
      <w:pPr>
        <w:pStyle w:val="Default"/>
        <w:ind w:left="1440" w:hanging="1440"/>
        <w:rPr>
          <w:b/>
          <w:sz w:val="20"/>
          <w:szCs w:val="20"/>
          <w:lang w:val="en-US"/>
        </w:rPr>
      </w:pPr>
    </w:p>
    <w:p w14:paraId="0572599A" w14:textId="1D2A9B59" w:rsidR="005A3D98" w:rsidRPr="00CF52F1" w:rsidRDefault="00CF52F1" w:rsidP="005A3D98">
      <w:pPr>
        <w:pStyle w:val="Default"/>
        <w:ind w:left="1440" w:hanging="1440"/>
        <w:rPr>
          <w:b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  <w:lang w:val="en-US"/>
        </w:rPr>
        <w:t>“</w:t>
      </w:r>
      <w:r w:rsidR="005A3D98" w:rsidRPr="00CF52F1">
        <w:rPr>
          <w:b/>
          <w:color w:val="auto"/>
          <w:sz w:val="20"/>
          <w:szCs w:val="20"/>
          <w:lang w:val="en-US"/>
        </w:rPr>
        <w:t xml:space="preserve">12.1.2.2.9. </w:t>
      </w:r>
      <w:r w:rsidR="005640E9" w:rsidRPr="00CF52F1">
        <w:rPr>
          <w:b/>
          <w:color w:val="auto"/>
          <w:sz w:val="20"/>
          <w:szCs w:val="20"/>
          <w:lang w:val="en-US"/>
        </w:rPr>
        <w:tab/>
      </w:r>
      <w:r w:rsidR="005A3D98" w:rsidRPr="00CF52F1">
        <w:rPr>
          <w:b/>
          <w:color w:val="auto"/>
          <w:sz w:val="20"/>
          <w:szCs w:val="20"/>
          <w:lang w:val="en-US"/>
        </w:rPr>
        <w:t xml:space="preserve">Documentation referred to </w:t>
      </w:r>
      <w:r>
        <w:rPr>
          <w:b/>
          <w:color w:val="auto"/>
          <w:sz w:val="20"/>
          <w:szCs w:val="20"/>
          <w:lang w:val="en-US"/>
        </w:rPr>
        <w:t xml:space="preserve">in </w:t>
      </w:r>
      <w:r w:rsidR="005A3D98" w:rsidRPr="00CF52F1">
        <w:rPr>
          <w:b/>
          <w:color w:val="auto"/>
          <w:sz w:val="20"/>
          <w:szCs w:val="20"/>
          <w:lang w:val="en-US"/>
        </w:rPr>
        <w:t>paragraph 16.1.1.1.1.</w:t>
      </w:r>
      <w:r>
        <w:rPr>
          <w:b/>
          <w:color w:val="auto"/>
          <w:sz w:val="20"/>
          <w:szCs w:val="20"/>
          <w:lang w:val="en-US"/>
        </w:rPr>
        <w:t xml:space="preserve">, if </w:t>
      </w:r>
      <w:r w:rsidRPr="00CF52F1">
        <w:rPr>
          <w:b/>
          <w:color w:val="auto"/>
          <w:sz w:val="20"/>
          <w:szCs w:val="20"/>
          <w:lang w:val="en-US"/>
        </w:rPr>
        <w:t>applicable</w:t>
      </w:r>
      <w:r w:rsidRPr="00CF52F1">
        <w:rPr>
          <w:b/>
          <w:sz w:val="20"/>
          <w:szCs w:val="20"/>
          <w:lang w:val="en-GB"/>
        </w:rPr>
        <w:t>: .....................................</w:t>
      </w:r>
      <w:r w:rsidRPr="00CF52F1">
        <w:rPr>
          <w:b/>
          <w:color w:val="auto"/>
          <w:sz w:val="20"/>
          <w:szCs w:val="20"/>
          <w:lang w:val="en-US"/>
        </w:rPr>
        <w:t>”</w:t>
      </w:r>
    </w:p>
    <w:p w14:paraId="6A1079BA" w14:textId="7294747C" w:rsidR="008A3AB7" w:rsidRDefault="008A3AB7" w:rsidP="008A3AB7">
      <w:pPr>
        <w:pStyle w:val="Default"/>
        <w:rPr>
          <w:b/>
          <w:bCs/>
          <w:sz w:val="20"/>
          <w:szCs w:val="20"/>
          <w:lang w:val="en-US"/>
        </w:rPr>
      </w:pPr>
    </w:p>
    <w:p w14:paraId="4445A6BE" w14:textId="77777777" w:rsidR="00D30C85" w:rsidRDefault="00D30C85" w:rsidP="008A3AB7">
      <w:pPr>
        <w:pStyle w:val="Default"/>
        <w:rPr>
          <w:b/>
          <w:bCs/>
          <w:sz w:val="20"/>
          <w:szCs w:val="20"/>
          <w:lang w:val="en-US"/>
        </w:rPr>
      </w:pPr>
    </w:p>
    <w:p w14:paraId="151ABA40" w14:textId="77777777" w:rsidR="008A3AB7" w:rsidRDefault="008A3AB7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  <w:r w:rsidRPr="00EA229B">
        <w:rPr>
          <w:b/>
          <w:bCs/>
          <w:sz w:val="28"/>
          <w:szCs w:val="28"/>
          <w:lang w:val="en-GB"/>
        </w:rPr>
        <w:t>II.</w:t>
      </w:r>
      <w:r w:rsidRPr="00EA229B">
        <w:rPr>
          <w:b/>
          <w:bCs/>
          <w:sz w:val="28"/>
          <w:szCs w:val="28"/>
          <w:lang w:val="en-GB"/>
        </w:rPr>
        <w:tab/>
        <w:t>Justification</w:t>
      </w:r>
    </w:p>
    <w:p w14:paraId="3D67EF62" w14:textId="77777777" w:rsidR="008A3AB7" w:rsidRDefault="008A3AB7" w:rsidP="008A3AB7">
      <w:pPr>
        <w:pStyle w:val="Default"/>
        <w:ind w:left="993" w:hanging="993"/>
        <w:jc w:val="both"/>
        <w:rPr>
          <w:sz w:val="20"/>
          <w:szCs w:val="20"/>
          <w:lang w:val="en-US"/>
        </w:rPr>
      </w:pPr>
    </w:p>
    <w:p w14:paraId="49BD7B31" w14:textId="03A008A9" w:rsidR="00B34B6B" w:rsidRPr="00B85784" w:rsidRDefault="00B34B6B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5784">
        <w:rPr>
          <w:rFonts w:ascii="Times New Roman" w:hAnsi="Times New Roman" w:cs="Times New Roman"/>
          <w:sz w:val="20"/>
          <w:szCs w:val="20"/>
          <w:lang w:val="en-GB"/>
        </w:rPr>
        <w:t>The temporary modified view is clearly described in ISO 16505:2015. A new point 16.1.1.1.1. “Temporary modified view” should therefore be introduced to UN Regulation No. 46.</w:t>
      </w:r>
    </w:p>
    <w:p w14:paraId="1C4AA2C8" w14:textId="7C8D00AF" w:rsidR="00B34B6B" w:rsidRPr="00B85784" w:rsidRDefault="00B34B6B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653811C" w14:textId="545A07B4" w:rsidR="00B34B6B" w:rsidRPr="00B85784" w:rsidRDefault="00B34B6B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D30C85" w:rsidRPr="00B85784">
        <w:rPr>
          <w:rFonts w:ascii="Times New Roman" w:hAnsi="Times New Roman" w:cs="Times New Roman"/>
          <w:sz w:val="20"/>
          <w:szCs w:val="20"/>
          <w:lang w:val="en-GB"/>
        </w:rPr>
        <w:t>general,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 there are many possibilities to improve the picture for special driving situations in comparison to conventional mirrors, by e.g. showing a bigger field of view but not fulfilling the requirements of magnification in low speed situations (like reversing).</w:t>
      </w:r>
    </w:p>
    <w:p w14:paraId="73CC47E7" w14:textId="77777777" w:rsidR="00B34B6B" w:rsidRPr="00B85784" w:rsidRDefault="00B34B6B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7575D0A" w14:textId="638D95EC" w:rsidR="006F284F" w:rsidRPr="00B85784" w:rsidRDefault="006F284F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B85784">
        <w:rPr>
          <w:rFonts w:ascii="Times New Roman" w:hAnsi="Times New Roman" w:cs="Times New Roman"/>
          <w:sz w:val="20"/>
          <w:szCs w:val="20"/>
          <w:lang w:val="en-GB"/>
        </w:rPr>
        <w:t>ISO</w:t>
      </w:r>
      <w:r w:rsidR="007D516E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16505:2015 describes a possibility for a field of view </w:t>
      </w:r>
      <w:r w:rsidR="00A76C98" w:rsidRPr="00B85784">
        <w:rPr>
          <w:rFonts w:ascii="Times New Roman" w:hAnsi="Times New Roman" w:cs="Times New Roman"/>
          <w:sz w:val="20"/>
          <w:szCs w:val="20"/>
          <w:lang w:val="en-GB"/>
        </w:rPr>
        <w:t>temporar</w:t>
      </w:r>
      <w:r w:rsidR="00563D71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y modified 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>for special driving situations</w:t>
      </w:r>
      <w:r w:rsidR="00671E98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671E98" w:rsidRPr="00B85784"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>n order to</w:t>
      </w:r>
      <w:proofErr w:type="gramEnd"/>
      <w:r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 compensate the</w:t>
      </w:r>
      <w:r w:rsidR="008A3AB7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static class II field of vision </w:t>
      </w:r>
      <w:r w:rsidR="00563D71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using a CMS 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- which </w:t>
      </w:r>
      <w:r w:rsidR="00BE1787" w:rsidRPr="00B85784">
        <w:rPr>
          <w:rFonts w:ascii="Times New Roman" w:hAnsi="Times New Roman" w:cs="Times New Roman"/>
          <w:sz w:val="20"/>
          <w:szCs w:val="20"/>
          <w:lang w:val="en-GB"/>
        </w:rPr>
        <w:t>might be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r w:rsidR="008A3AB7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disadvantage of Camera-Monitor-Systems </w:t>
      </w:r>
      <w:r w:rsidR="007F58DD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BE1787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special </w:t>
      </w:r>
      <w:r w:rsidR="007F58DD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driving </w:t>
      </w:r>
      <w:r w:rsidR="00BE1787" w:rsidRPr="00B85784">
        <w:rPr>
          <w:rFonts w:ascii="Times New Roman" w:hAnsi="Times New Roman" w:cs="Times New Roman"/>
          <w:sz w:val="20"/>
          <w:szCs w:val="20"/>
          <w:lang w:val="en-GB"/>
        </w:rPr>
        <w:t xml:space="preserve">situations </w:t>
      </w:r>
      <w:r w:rsidRPr="00B85784">
        <w:rPr>
          <w:rFonts w:ascii="Times New Roman" w:hAnsi="Times New Roman" w:cs="Times New Roman"/>
          <w:sz w:val="20"/>
          <w:szCs w:val="20"/>
          <w:lang w:val="en-GB"/>
        </w:rPr>
        <w:t>compared to conventional mirror</w:t>
      </w:r>
      <w:r w:rsidR="007F58DD" w:rsidRPr="00B85784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8A3AB7" w:rsidRPr="00B8578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D992BB0" w14:textId="1CE67409" w:rsidR="008A3AB7" w:rsidRPr="00B85784" w:rsidRDefault="008A3AB7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82DDDBA" w14:textId="1F2C9367" w:rsidR="00563D71" w:rsidRDefault="008A3AB7" w:rsidP="00B85784">
      <w:pPr>
        <w:pStyle w:val="Default"/>
        <w:jc w:val="both"/>
        <w:rPr>
          <w:sz w:val="20"/>
          <w:szCs w:val="20"/>
          <w:lang w:val="en-US"/>
        </w:rPr>
      </w:pPr>
      <w:r w:rsidRPr="00C82234">
        <w:rPr>
          <w:sz w:val="20"/>
          <w:szCs w:val="20"/>
          <w:lang w:val="en-US"/>
        </w:rPr>
        <w:t>When turning, in maneuvering or in othe</w:t>
      </w:r>
      <w:r w:rsidR="006F284F">
        <w:rPr>
          <w:sz w:val="20"/>
          <w:szCs w:val="20"/>
          <w:lang w:val="en-US"/>
        </w:rPr>
        <w:t xml:space="preserve">r special driving situations </w:t>
      </w:r>
      <w:r w:rsidR="00563D71">
        <w:rPr>
          <w:sz w:val="20"/>
          <w:szCs w:val="20"/>
          <w:lang w:val="en-US"/>
        </w:rPr>
        <w:t>using</w:t>
      </w:r>
      <w:r w:rsidR="00563D71" w:rsidRPr="00C82234">
        <w:rPr>
          <w:sz w:val="20"/>
          <w:szCs w:val="20"/>
          <w:lang w:val="en-US"/>
        </w:rPr>
        <w:t xml:space="preserve"> conventional mirrors, the driver can achieve an extended field of view </w:t>
      </w:r>
      <w:r w:rsidR="00563D71">
        <w:rPr>
          <w:sz w:val="20"/>
          <w:szCs w:val="20"/>
          <w:lang w:val="en-US"/>
        </w:rPr>
        <w:t xml:space="preserve">by </w:t>
      </w:r>
      <w:r w:rsidR="00563D71" w:rsidRPr="00C82234">
        <w:rPr>
          <w:sz w:val="20"/>
          <w:szCs w:val="20"/>
          <w:lang w:val="en-US"/>
        </w:rPr>
        <w:t xml:space="preserve">head movements, which is not </w:t>
      </w:r>
      <w:r w:rsidR="00563D71">
        <w:rPr>
          <w:sz w:val="20"/>
          <w:szCs w:val="20"/>
          <w:lang w:val="en-US"/>
        </w:rPr>
        <w:t>provided</w:t>
      </w:r>
      <w:r w:rsidR="00563D71" w:rsidRPr="00C82234">
        <w:rPr>
          <w:sz w:val="20"/>
          <w:szCs w:val="20"/>
          <w:lang w:val="en-US"/>
        </w:rPr>
        <w:t xml:space="preserve"> </w:t>
      </w:r>
      <w:r w:rsidR="00563D71">
        <w:rPr>
          <w:sz w:val="20"/>
          <w:szCs w:val="20"/>
          <w:lang w:val="en-US"/>
        </w:rPr>
        <w:t>with</w:t>
      </w:r>
      <w:r w:rsidR="00563D71" w:rsidRPr="00C82234">
        <w:rPr>
          <w:sz w:val="20"/>
          <w:szCs w:val="20"/>
          <w:lang w:val="en-US"/>
        </w:rPr>
        <w:t xml:space="preserve"> CMS.</w:t>
      </w:r>
    </w:p>
    <w:p w14:paraId="28816077" w14:textId="77777777" w:rsidR="00B85784" w:rsidRPr="00C82234" w:rsidRDefault="00B85784" w:rsidP="00B85784">
      <w:pPr>
        <w:pStyle w:val="Default"/>
        <w:jc w:val="both"/>
        <w:rPr>
          <w:sz w:val="20"/>
          <w:szCs w:val="20"/>
          <w:lang w:val="en-US"/>
        </w:rPr>
      </w:pPr>
    </w:p>
    <w:p w14:paraId="788453EB" w14:textId="11F81ED3" w:rsidR="0047508A" w:rsidRDefault="00563D71" w:rsidP="0047508A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A</w:t>
      </w:r>
      <w:r w:rsidR="008A3AB7" w:rsidRPr="00C82234">
        <w:rPr>
          <w:sz w:val="20"/>
          <w:szCs w:val="20"/>
          <w:lang w:val="en-US"/>
        </w:rPr>
        <w:t xml:space="preserve"> changed field of view </w:t>
      </w:r>
      <w:r>
        <w:rPr>
          <w:sz w:val="20"/>
          <w:szCs w:val="20"/>
          <w:lang w:val="en-US"/>
        </w:rPr>
        <w:t>compensates</w:t>
      </w:r>
      <w:r w:rsidR="000279D5">
        <w:rPr>
          <w:sz w:val="20"/>
          <w:szCs w:val="20"/>
          <w:lang w:val="en-US"/>
        </w:rPr>
        <w:t xml:space="preserve"> the requirements for</w:t>
      </w:r>
      <w:r w:rsidR="000279D5" w:rsidRPr="00C82234">
        <w:rPr>
          <w:sz w:val="20"/>
          <w:szCs w:val="20"/>
          <w:lang w:val="en-US"/>
        </w:rPr>
        <w:t xml:space="preserve"> </w:t>
      </w:r>
      <w:r w:rsidR="000279D5">
        <w:rPr>
          <w:sz w:val="20"/>
          <w:szCs w:val="20"/>
          <w:lang w:val="en-US"/>
        </w:rPr>
        <w:t xml:space="preserve">head movements </w:t>
      </w:r>
      <w:r w:rsidR="006F284F">
        <w:rPr>
          <w:sz w:val="20"/>
          <w:szCs w:val="20"/>
          <w:lang w:val="en-US"/>
        </w:rPr>
        <w:t>especially in</w:t>
      </w:r>
      <w:r w:rsidR="008A3AB7" w:rsidRPr="00C82234">
        <w:rPr>
          <w:sz w:val="20"/>
          <w:szCs w:val="20"/>
          <w:lang w:val="en-US"/>
        </w:rPr>
        <w:t xml:space="preserve"> combination of motor vehicle a</w:t>
      </w:r>
      <w:r w:rsidR="007F58DD">
        <w:rPr>
          <w:sz w:val="20"/>
          <w:szCs w:val="20"/>
          <w:lang w:val="en-US"/>
        </w:rPr>
        <w:t xml:space="preserve">nd trailer. </w:t>
      </w:r>
      <w:r w:rsidR="00AB5E05">
        <w:rPr>
          <w:sz w:val="20"/>
          <w:szCs w:val="20"/>
          <w:lang w:val="en-US"/>
        </w:rPr>
        <w:t>Therefore,</w:t>
      </w:r>
      <w:r w:rsidR="007F58DD">
        <w:rPr>
          <w:sz w:val="20"/>
          <w:szCs w:val="20"/>
          <w:lang w:val="en-US"/>
        </w:rPr>
        <w:t xml:space="preserve"> a </w:t>
      </w:r>
      <w:r w:rsidR="00A76C98">
        <w:rPr>
          <w:sz w:val="20"/>
          <w:szCs w:val="20"/>
          <w:lang w:val="en-US"/>
        </w:rPr>
        <w:t>temporary</w:t>
      </w:r>
      <w:r>
        <w:rPr>
          <w:sz w:val="20"/>
          <w:szCs w:val="20"/>
          <w:lang w:val="en-US"/>
        </w:rPr>
        <w:t xml:space="preserve"> modified </w:t>
      </w:r>
      <w:r w:rsidR="006F284F">
        <w:rPr>
          <w:sz w:val="20"/>
          <w:szCs w:val="20"/>
          <w:lang w:val="en-US"/>
        </w:rPr>
        <w:t>field of</w:t>
      </w:r>
      <w:r w:rsidR="008A3AB7" w:rsidRPr="00C82234">
        <w:rPr>
          <w:sz w:val="20"/>
          <w:szCs w:val="20"/>
          <w:lang w:val="en-US"/>
        </w:rPr>
        <w:t xml:space="preserve"> </w:t>
      </w:r>
      <w:r w:rsidR="006F284F">
        <w:rPr>
          <w:sz w:val="20"/>
          <w:szCs w:val="20"/>
          <w:lang w:val="en-US"/>
        </w:rPr>
        <w:t>view</w:t>
      </w:r>
      <w:r w:rsidR="008A3AB7" w:rsidRPr="00C82234">
        <w:rPr>
          <w:sz w:val="20"/>
          <w:szCs w:val="20"/>
          <w:lang w:val="en-US"/>
        </w:rPr>
        <w:t xml:space="preserve"> allows an adaption </w:t>
      </w:r>
      <w:r w:rsidR="006F284F">
        <w:rPr>
          <w:sz w:val="20"/>
          <w:szCs w:val="20"/>
          <w:lang w:val="en-US"/>
        </w:rPr>
        <w:t xml:space="preserve">(e.g. </w:t>
      </w:r>
      <w:r w:rsidR="008A3AB7" w:rsidRPr="00C82234">
        <w:rPr>
          <w:sz w:val="20"/>
          <w:szCs w:val="20"/>
          <w:lang w:val="en-US"/>
        </w:rPr>
        <w:t>by providing an a</w:t>
      </w:r>
      <w:r w:rsidR="006F284F">
        <w:rPr>
          <w:sz w:val="20"/>
          <w:szCs w:val="20"/>
          <w:lang w:val="en-US"/>
        </w:rPr>
        <w:t xml:space="preserve">utomated panning functionality) to </w:t>
      </w:r>
      <w:r w:rsidR="00BE1787">
        <w:rPr>
          <w:sz w:val="20"/>
          <w:szCs w:val="20"/>
          <w:lang w:val="en-US"/>
        </w:rPr>
        <w:t xml:space="preserve">such </w:t>
      </w:r>
      <w:r w:rsidR="006F284F" w:rsidRPr="006F284F">
        <w:rPr>
          <w:sz w:val="20"/>
          <w:szCs w:val="20"/>
          <w:lang w:val="en-US"/>
        </w:rPr>
        <w:t>special driving situations</w:t>
      </w:r>
      <w:r w:rsidR="006F284F">
        <w:rPr>
          <w:sz w:val="20"/>
          <w:szCs w:val="20"/>
          <w:lang w:val="en-US"/>
        </w:rPr>
        <w:t>.</w:t>
      </w:r>
    </w:p>
    <w:p w14:paraId="5F8D3B49" w14:textId="77777777" w:rsidR="0047508A" w:rsidRDefault="0047508A" w:rsidP="0047508A">
      <w:pPr>
        <w:pStyle w:val="Default"/>
        <w:jc w:val="both"/>
        <w:rPr>
          <w:sz w:val="20"/>
          <w:szCs w:val="20"/>
          <w:lang w:val="en-US"/>
        </w:rPr>
      </w:pPr>
    </w:p>
    <w:p w14:paraId="5595EEDB" w14:textId="338FD03A" w:rsidR="00DC523D" w:rsidRDefault="0047508A" w:rsidP="0047508A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 show </w:t>
      </w:r>
      <w:r w:rsidRPr="0047508A">
        <w:rPr>
          <w:sz w:val="20"/>
          <w:szCs w:val="20"/>
          <w:lang w:val="en-US"/>
        </w:rPr>
        <w:t>the advantage of changed magnification and resolution within a combined field of view in maneuvering situations</w:t>
      </w:r>
      <w:r>
        <w:rPr>
          <w:sz w:val="20"/>
          <w:szCs w:val="20"/>
          <w:lang w:val="en-US"/>
        </w:rPr>
        <w:t xml:space="preserve"> Germany will prepare a separate presentation</w:t>
      </w:r>
      <w:r w:rsidRPr="0047508A">
        <w:rPr>
          <w:sz w:val="20"/>
          <w:szCs w:val="20"/>
          <w:lang w:val="en-US"/>
        </w:rPr>
        <w:t>.</w:t>
      </w:r>
    </w:p>
    <w:p w14:paraId="239F0910" w14:textId="528BA5C7" w:rsidR="00EA229B" w:rsidRDefault="00EA229B" w:rsidP="00FA0355">
      <w:pPr>
        <w:pStyle w:val="Default"/>
        <w:rPr>
          <w:b/>
          <w:bCs/>
          <w:sz w:val="20"/>
          <w:szCs w:val="20"/>
          <w:lang w:val="en-US"/>
        </w:rPr>
      </w:pPr>
    </w:p>
    <w:p w14:paraId="5263A5BF" w14:textId="2F0614E6" w:rsidR="00D30C85" w:rsidRPr="00DD3907" w:rsidRDefault="00D30C85" w:rsidP="00D30C85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________________</w:t>
      </w:r>
    </w:p>
    <w:sectPr w:rsidR="00D30C85" w:rsidRPr="00DD3907" w:rsidSect="00AA1C20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EDF0" w14:textId="77777777" w:rsidR="00D62BE2" w:rsidRDefault="00D62BE2" w:rsidP="00EA229B">
      <w:pPr>
        <w:spacing w:after="0" w:line="240" w:lineRule="auto"/>
      </w:pPr>
      <w:r>
        <w:separator/>
      </w:r>
    </w:p>
  </w:endnote>
  <w:endnote w:type="continuationSeparator" w:id="0">
    <w:p w14:paraId="72B8C015" w14:textId="77777777" w:rsidR="00D62BE2" w:rsidRDefault="00D62BE2" w:rsidP="00E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16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2E4C5" w14:textId="34E485CA" w:rsidR="00D30C85" w:rsidRDefault="00D30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B24F3" w14:textId="77777777" w:rsidR="00D30C85" w:rsidRDefault="00D3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FC2C" w14:textId="77777777" w:rsidR="00D62BE2" w:rsidRDefault="00D62BE2" w:rsidP="00EA229B">
      <w:pPr>
        <w:spacing w:after="0" w:line="240" w:lineRule="auto"/>
      </w:pPr>
      <w:r>
        <w:separator/>
      </w:r>
    </w:p>
  </w:footnote>
  <w:footnote w:type="continuationSeparator" w:id="0">
    <w:p w14:paraId="5281D49C" w14:textId="77777777" w:rsidR="00D62BE2" w:rsidRDefault="00D62BE2" w:rsidP="00E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A1C20" w:rsidRPr="00572A4F" w14:paraId="7F06541A" w14:textId="77777777" w:rsidTr="004563FC">
      <w:tc>
        <w:tcPr>
          <w:tcW w:w="4395" w:type="dxa"/>
        </w:tcPr>
        <w:p w14:paraId="2F78732F" w14:textId="77777777" w:rsidR="00AA1C20" w:rsidRPr="00572A4F" w:rsidRDefault="00AA1C20" w:rsidP="00AA1C20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Submitted by the expert from</w:t>
          </w:r>
        </w:p>
        <w:p w14:paraId="3AE79DFA" w14:textId="77777777" w:rsidR="00AA1C20" w:rsidRPr="00572A4F" w:rsidRDefault="00AA1C20" w:rsidP="00AA1C20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Germany </w:t>
          </w:r>
        </w:p>
      </w:tc>
      <w:tc>
        <w:tcPr>
          <w:tcW w:w="4961" w:type="dxa"/>
        </w:tcPr>
        <w:p w14:paraId="62A459BC" w14:textId="774487FE" w:rsidR="00AA1C20" w:rsidRPr="00572A4F" w:rsidRDefault="00AA1C20" w:rsidP="00AA1C20">
          <w:pPr>
            <w:spacing w:after="0" w:line="240" w:lineRule="auto"/>
            <w:ind w:left="743"/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u w:val="single"/>
              <w:lang w:val="en-GB"/>
            </w:rPr>
            <w:t>Informal document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GRSG-116-</w:t>
          </w:r>
          <w:r w:rsidR="00D30C85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20</w:t>
          </w:r>
        </w:p>
        <w:p w14:paraId="561359F0" w14:textId="77777777" w:rsidR="00AA1C20" w:rsidRPr="00572A4F" w:rsidRDefault="00AA1C20" w:rsidP="00AA1C20">
          <w:pPr>
            <w:tabs>
              <w:tab w:val="center" w:pos="4513"/>
              <w:tab w:val="right" w:pos="9026"/>
            </w:tabs>
            <w:spacing w:after="0" w:line="240" w:lineRule="auto"/>
            <w:ind w:left="743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(116th GRSG, 1-5 April 2019</w:t>
          </w:r>
        </w:p>
        <w:p w14:paraId="3F6E2175" w14:textId="77777777" w:rsidR="00AA1C20" w:rsidRPr="00572A4F" w:rsidRDefault="00AA1C20" w:rsidP="00AA1C20">
          <w:pPr>
            <w:tabs>
              <w:tab w:val="center" w:pos="4513"/>
              <w:tab w:val="right" w:pos="9026"/>
            </w:tabs>
            <w:spacing w:after="0" w:line="240" w:lineRule="auto"/>
            <w:ind w:left="743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Agenda item </w:t>
          </w:r>
          <w:r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7(a)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)</w:t>
          </w:r>
        </w:p>
      </w:tc>
    </w:tr>
  </w:tbl>
  <w:p w14:paraId="204C962A" w14:textId="77777777" w:rsidR="00AA1C20" w:rsidRDefault="00AA1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4"/>
    <w:rsid w:val="000012AE"/>
    <w:rsid w:val="00002876"/>
    <w:rsid w:val="000279D5"/>
    <w:rsid w:val="00030F44"/>
    <w:rsid w:val="00071040"/>
    <w:rsid w:val="00075648"/>
    <w:rsid w:val="000B5F55"/>
    <w:rsid w:val="000B6F62"/>
    <w:rsid w:val="00110524"/>
    <w:rsid w:val="0014149C"/>
    <w:rsid w:val="00142C4F"/>
    <w:rsid w:val="00145BEE"/>
    <w:rsid w:val="00153E7C"/>
    <w:rsid w:val="00165D1F"/>
    <w:rsid w:val="00170A06"/>
    <w:rsid w:val="001766B2"/>
    <w:rsid w:val="00190BA8"/>
    <w:rsid w:val="001923B6"/>
    <w:rsid w:val="00196F10"/>
    <w:rsid w:val="002505C3"/>
    <w:rsid w:val="002D1592"/>
    <w:rsid w:val="0030777D"/>
    <w:rsid w:val="00307B4C"/>
    <w:rsid w:val="003C5FB7"/>
    <w:rsid w:val="00460BB8"/>
    <w:rsid w:val="00474B15"/>
    <w:rsid w:val="0047508A"/>
    <w:rsid w:val="004E0820"/>
    <w:rsid w:val="00522DF7"/>
    <w:rsid w:val="00563D71"/>
    <w:rsid w:val="005640E9"/>
    <w:rsid w:val="005742DB"/>
    <w:rsid w:val="0058164A"/>
    <w:rsid w:val="005A3D98"/>
    <w:rsid w:val="00610C8F"/>
    <w:rsid w:val="00621578"/>
    <w:rsid w:val="006309F5"/>
    <w:rsid w:val="006337EE"/>
    <w:rsid w:val="006343EA"/>
    <w:rsid w:val="00634B78"/>
    <w:rsid w:val="00671E98"/>
    <w:rsid w:val="006B5D45"/>
    <w:rsid w:val="006E16F3"/>
    <w:rsid w:val="006E3EBF"/>
    <w:rsid w:val="006F284F"/>
    <w:rsid w:val="006F40B8"/>
    <w:rsid w:val="00714FC4"/>
    <w:rsid w:val="00780971"/>
    <w:rsid w:val="007D516E"/>
    <w:rsid w:val="007E5006"/>
    <w:rsid w:val="007F58DD"/>
    <w:rsid w:val="00804DC1"/>
    <w:rsid w:val="00846698"/>
    <w:rsid w:val="0085734B"/>
    <w:rsid w:val="00876753"/>
    <w:rsid w:val="00895B68"/>
    <w:rsid w:val="008A3AB7"/>
    <w:rsid w:val="008B5597"/>
    <w:rsid w:val="009367B7"/>
    <w:rsid w:val="00966E6F"/>
    <w:rsid w:val="00973DB5"/>
    <w:rsid w:val="00984466"/>
    <w:rsid w:val="009B61C4"/>
    <w:rsid w:val="009C5EEC"/>
    <w:rsid w:val="009D6CBB"/>
    <w:rsid w:val="00A243C8"/>
    <w:rsid w:val="00A32F46"/>
    <w:rsid w:val="00A76C98"/>
    <w:rsid w:val="00A93719"/>
    <w:rsid w:val="00AA1C20"/>
    <w:rsid w:val="00AB5E05"/>
    <w:rsid w:val="00B12FD2"/>
    <w:rsid w:val="00B34B6B"/>
    <w:rsid w:val="00B525B8"/>
    <w:rsid w:val="00B85784"/>
    <w:rsid w:val="00BB5143"/>
    <w:rsid w:val="00BE1787"/>
    <w:rsid w:val="00BE7FDB"/>
    <w:rsid w:val="00C214D1"/>
    <w:rsid w:val="00C40426"/>
    <w:rsid w:val="00C50883"/>
    <w:rsid w:val="00CF39AF"/>
    <w:rsid w:val="00CF52F1"/>
    <w:rsid w:val="00D01EC0"/>
    <w:rsid w:val="00D30C85"/>
    <w:rsid w:val="00D43B2B"/>
    <w:rsid w:val="00D62BE2"/>
    <w:rsid w:val="00DA62B4"/>
    <w:rsid w:val="00DC523D"/>
    <w:rsid w:val="00DD3907"/>
    <w:rsid w:val="00E42A69"/>
    <w:rsid w:val="00EA229B"/>
    <w:rsid w:val="00EB2893"/>
    <w:rsid w:val="00EF2434"/>
    <w:rsid w:val="00F3408E"/>
    <w:rsid w:val="00F35F2F"/>
    <w:rsid w:val="00F45282"/>
    <w:rsid w:val="00F60BE8"/>
    <w:rsid w:val="00F6276B"/>
    <w:rsid w:val="00FA0355"/>
    <w:rsid w:val="00FB6E32"/>
    <w:rsid w:val="00FC6C48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02214"/>
  <w15:chartTrackingRefBased/>
  <w15:docId w15:val="{27934F23-D837-48B9-BDBF-648E5F7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EA22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A229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uiPriority w:val="99"/>
    <w:rsid w:val="00EA229B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R,Footnote Text Char"/>
    <w:basedOn w:val="Normal"/>
    <w:link w:val="FootnoteTextChar1"/>
    <w:uiPriority w:val="99"/>
    <w:qFormat/>
    <w:rsid w:val="00EA229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1">
    <w:name w:val="Footnote Text Char1"/>
    <w:aliases w:val="5_G Char,PP Char,5_GR Char,Footnote Text Char Char"/>
    <w:basedOn w:val="DefaultParagraphFont"/>
    <w:link w:val="FootnoteText"/>
    <w:uiPriority w:val="99"/>
    <w:rsid w:val="00EA229B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SingleTxtGChar">
    <w:name w:val="_ Single Txt_G Char"/>
    <w:link w:val="SingleTxtG"/>
    <w:rsid w:val="00EA229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rsid w:val="00EA229B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E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D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4D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26"/>
  </w:style>
  <w:style w:type="paragraph" w:styleId="Footer">
    <w:name w:val="footer"/>
    <w:basedOn w:val="Normal"/>
    <w:link w:val="Foot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Gerlach</dc:creator>
  <cp:keywords/>
  <dc:description/>
  <cp:lastModifiedBy>Romain Hubert</cp:lastModifiedBy>
  <cp:revision>5</cp:revision>
  <cp:lastPrinted>2019-03-28T10:10:00Z</cp:lastPrinted>
  <dcterms:created xsi:type="dcterms:W3CDTF">2019-03-28T10:08:00Z</dcterms:created>
  <dcterms:modified xsi:type="dcterms:W3CDTF">2019-03-28T11:00:00Z</dcterms:modified>
</cp:coreProperties>
</file>