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CE4B05">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CE4B05" w:rsidP="00CE4B05">
            <w:pPr>
              <w:jc w:val="right"/>
            </w:pPr>
            <w:r w:rsidRPr="00CE4B05">
              <w:rPr>
                <w:sz w:val="40"/>
              </w:rPr>
              <w:t>ECE</w:t>
            </w:r>
            <w:r>
              <w:t>/TRANS/WP.29/GRSG/2019/6</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CE4B05" w:rsidP="00C97039">
            <w:pPr>
              <w:spacing w:before="240"/>
            </w:pPr>
            <w:r>
              <w:t xml:space="preserve">Distr. </w:t>
            </w:r>
            <w:proofErr w:type="gramStart"/>
            <w:r>
              <w:t>générale</w:t>
            </w:r>
            <w:proofErr w:type="gramEnd"/>
          </w:p>
          <w:p w:rsidR="00CE4B05" w:rsidRDefault="00CE4B05" w:rsidP="00CE4B05">
            <w:pPr>
              <w:spacing w:line="240" w:lineRule="exact"/>
            </w:pPr>
            <w:r>
              <w:t>8 janvier 2019</w:t>
            </w:r>
          </w:p>
          <w:p w:rsidR="00CE4B05" w:rsidRDefault="00CE4B05" w:rsidP="00CE4B05">
            <w:pPr>
              <w:spacing w:line="240" w:lineRule="exact"/>
            </w:pPr>
            <w:r>
              <w:t>Français</w:t>
            </w:r>
          </w:p>
          <w:p w:rsidR="00CE4B05" w:rsidRPr="00DB58B5" w:rsidRDefault="00CE4B05" w:rsidP="00CE4B05">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w:t>
      </w:r>
      <w:r w:rsidR="00CE4B05">
        <w:rPr>
          <w:b/>
          <w:sz w:val="28"/>
          <w:szCs w:val="28"/>
        </w:rPr>
        <w:t>’</w:t>
      </w:r>
      <w:r w:rsidRPr="000312C0">
        <w:rPr>
          <w:b/>
          <w:sz w:val="28"/>
          <w:szCs w:val="28"/>
        </w:rPr>
        <w:t>Europe</w:t>
      </w:r>
    </w:p>
    <w:p w:rsidR="007F20FA" w:rsidRDefault="007F20FA" w:rsidP="007F20FA">
      <w:pPr>
        <w:spacing w:before="120"/>
        <w:rPr>
          <w:sz w:val="28"/>
          <w:szCs w:val="28"/>
        </w:rPr>
      </w:pPr>
      <w:r w:rsidRPr="00685843">
        <w:rPr>
          <w:sz w:val="28"/>
          <w:szCs w:val="28"/>
        </w:rPr>
        <w:t>Comité des transports intérieurs</w:t>
      </w:r>
    </w:p>
    <w:p w:rsidR="00CE4B05" w:rsidRDefault="00CE4B05" w:rsidP="00AF0CB5">
      <w:pPr>
        <w:spacing w:before="120"/>
        <w:rPr>
          <w:b/>
          <w:sz w:val="24"/>
          <w:szCs w:val="24"/>
        </w:rPr>
      </w:pPr>
      <w:r w:rsidRPr="00685843">
        <w:rPr>
          <w:b/>
          <w:sz w:val="24"/>
          <w:szCs w:val="24"/>
        </w:rPr>
        <w:t>Forum mondial de l</w:t>
      </w:r>
      <w:r>
        <w:rPr>
          <w:b/>
          <w:sz w:val="24"/>
          <w:szCs w:val="24"/>
        </w:rPr>
        <w:t>’</w:t>
      </w:r>
      <w:r w:rsidRPr="00685843">
        <w:rPr>
          <w:b/>
          <w:sz w:val="24"/>
          <w:szCs w:val="24"/>
        </w:rPr>
        <w:t>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rsidR="00CE4B05" w:rsidRDefault="00CE4B05" w:rsidP="00257168">
      <w:pPr>
        <w:spacing w:before="120" w:after="120" w:line="240" w:lineRule="exact"/>
        <w:rPr>
          <w:b/>
        </w:rPr>
      </w:pPr>
      <w:r>
        <w:rPr>
          <w:b/>
        </w:rPr>
        <w:t>Groupe de travail des dispositions générales de sécurité</w:t>
      </w:r>
    </w:p>
    <w:p w:rsidR="00CE4B05" w:rsidRDefault="00CE4B05" w:rsidP="00257168">
      <w:pPr>
        <w:spacing w:before="120" w:line="240" w:lineRule="exact"/>
        <w:rPr>
          <w:b/>
        </w:rPr>
      </w:pPr>
      <w:r>
        <w:rPr>
          <w:b/>
        </w:rPr>
        <w:t>116</w:t>
      </w:r>
      <w:r w:rsidRPr="00CE4B05">
        <w:rPr>
          <w:b/>
          <w:vertAlign w:val="superscript"/>
        </w:rPr>
        <w:t>e</w:t>
      </w:r>
      <w:r>
        <w:rPr>
          <w:b/>
        </w:rPr>
        <w:t xml:space="preserve"> session</w:t>
      </w:r>
    </w:p>
    <w:p w:rsidR="00CE4B05" w:rsidRDefault="00CE4B05" w:rsidP="00257168">
      <w:pPr>
        <w:spacing w:line="240" w:lineRule="exact"/>
      </w:pPr>
      <w:r>
        <w:t xml:space="preserve">Genève, </w:t>
      </w:r>
      <w:r w:rsidRPr="00CE4B05">
        <w:rPr>
          <w:lang w:val="fr-FR"/>
        </w:rPr>
        <w:t>1</w:t>
      </w:r>
      <w:r w:rsidRPr="00CE4B05">
        <w:rPr>
          <w:vertAlign w:val="superscript"/>
          <w:lang w:val="fr-FR"/>
        </w:rPr>
        <w:t>er</w:t>
      </w:r>
      <w:r w:rsidRPr="00CE4B05">
        <w:rPr>
          <w:lang w:val="fr-FR"/>
        </w:rPr>
        <w:t>-5 avril 2019</w:t>
      </w:r>
    </w:p>
    <w:p w:rsidR="00CE4B05" w:rsidRDefault="00CE4B05" w:rsidP="00257168">
      <w:pPr>
        <w:spacing w:line="240" w:lineRule="exact"/>
      </w:pPr>
      <w:r>
        <w:t xml:space="preserve">Point </w:t>
      </w:r>
      <w:r w:rsidRPr="00CE4B05">
        <w:rPr>
          <w:lang w:val="fr-FR"/>
        </w:rPr>
        <w:t>8 de l</w:t>
      </w:r>
      <w:r>
        <w:rPr>
          <w:lang w:val="fr-FR"/>
        </w:rPr>
        <w:t>’</w:t>
      </w:r>
      <w:r w:rsidRPr="00CE4B05">
        <w:rPr>
          <w:lang w:val="fr-FR"/>
        </w:rPr>
        <w:t>ordre du jour provisoire</w:t>
      </w:r>
    </w:p>
    <w:p w:rsidR="00F9573C" w:rsidRDefault="00CE4B05" w:rsidP="00AF0CB5">
      <w:pPr>
        <w:rPr>
          <w:b/>
          <w:bCs/>
          <w:lang w:val="fr-FR"/>
        </w:rPr>
      </w:pPr>
      <w:r>
        <w:rPr>
          <w:b/>
          <w:bCs/>
          <w:lang w:val="fr-FR"/>
        </w:rPr>
        <w:t xml:space="preserve">Règlement ONU </w:t>
      </w:r>
      <w:r w:rsidRPr="00CE4B05">
        <w:rPr>
          <w:rFonts w:eastAsia="MS Mincho"/>
          <w:b/>
          <w:bCs/>
          <w:szCs w:val="22"/>
          <w:lang w:val="fr-FR"/>
        </w:rPr>
        <w:t>n</w:t>
      </w:r>
      <w:r w:rsidRPr="00CE4B05">
        <w:rPr>
          <w:rFonts w:eastAsia="MS Mincho"/>
          <w:b/>
          <w:bCs/>
          <w:szCs w:val="22"/>
          <w:vertAlign w:val="superscript"/>
          <w:lang w:val="fr-FR"/>
        </w:rPr>
        <w:t>o</w:t>
      </w:r>
      <w:r>
        <w:rPr>
          <w:b/>
          <w:bCs/>
          <w:lang w:val="fr-FR"/>
        </w:rPr>
        <w:t> </w:t>
      </w:r>
      <w:r w:rsidRPr="00CE4B05">
        <w:rPr>
          <w:b/>
          <w:bCs/>
          <w:lang w:val="fr-FR"/>
        </w:rPr>
        <w:t>55 (Pièces mécaniques d</w:t>
      </w:r>
      <w:r>
        <w:rPr>
          <w:b/>
          <w:bCs/>
          <w:lang w:val="fr-FR"/>
        </w:rPr>
        <w:t>’</w:t>
      </w:r>
      <w:r w:rsidRPr="00CE4B05">
        <w:rPr>
          <w:b/>
          <w:bCs/>
          <w:lang w:val="fr-FR"/>
        </w:rPr>
        <w:t>attelage)</w:t>
      </w:r>
    </w:p>
    <w:p w:rsidR="00CE4B05" w:rsidRPr="00CE4B05" w:rsidRDefault="00CE4B05" w:rsidP="00CE4B05">
      <w:pPr>
        <w:pStyle w:val="HChG"/>
      </w:pPr>
      <w:r>
        <w:rPr>
          <w:lang w:val="fr-FR"/>
        </w:rPr>
        <w:tab/>
      </w:r>
      <w:r>
        <w:rPr>
          <w:lang w:val="fr-FR"/>
        </w:rPr>
        <w:tab/>
        <w:t>Proposition de complément </w:t>
      </w:r>
      <w:r w:rsidRPr="00CE4B05">
        <w:rPr>
          <w:lang w:val="fr-FR"/>
        </w:rPr>
        <w:t>8 à la série 01 d</w:t>
      </w:r>
      <w:r>
        <w:rPr>
          <w:lang w:val="fr-FR"/>
        </w:rPr>
        <w:t>’</w:t>
      </w:r>
      <w:r w:rsidRPr="00CE4B05">
        <w:rPr>
          <w:lang w:val="fr-FR"/>
        </w:rPr>
        <w:t>amendements au Règlement ONU n</w:t>
      </w:r>
      <w:r w:rsidRPr="00CE4B05">
        <w:rPr>
          <w:vertAlign w:val="superscript"/>
          <w:lang w:val="fr-FR"/>
        </w:rPr>
        <w:t>o</w:t>
      </w:r>
      <w:r w:rsidRPr="00CE4B05">
        <w:rPr>
          <w:lang w:val="fr-FR"/>
        </w:rPr>
        <w:t> 55 (Pièces mécaniques d</w:t>
      </w:r>
      <w:r>
        <w:rPr>
          <w:lang w:val="fr-FR"/>
        </w:rPr>
        <w:t>’</w:t>
      </w:r>
      <w:r w:rsidRPr="00CE4B05">
        <w:rPr>
          <w:lang w:val="fr-FR"/>
        </w:rPr>
        <w:t>attelage)</w:t>
      </w:r>
    </w:p>
    <w:p w:rsidR="00CE4B05" w:rsidRPr="00CE4B05" w:rsidRDefault="00CE4B05" w:rsidP="00CE4B05">
      <w:pPr>
        <w:pStyle w:val="H1G"/>
        <w:rPr>
          <w:vertAlign w:val="superscript"/>
        </w:rPr>
      </w:pPr>
      <w:r>
        <w:rPr>
          <w:lang w:val="fr-FR"/>
        </w:rPr>
        <w:tab/>
      </w:r>
      <w:r>
        <w:rPr>
          <w:lang w:val="fr-FR"/>
        </w:rPr>
        <w:tab/>
      </w:r>
      <w:r w:rsidRPr="00CE4B05">
        <w:rPr>
          <w:lang w:val="fr-FR"/>
        </w:rPr>
        <w:t>Communication de l</w:t>
      </w:r>
      <w:r>
        <w:rPr>
          <w:lang w:val="fr-FR"/>
        </w:rPr>
        <w:t>’</w:t>
      </w:r>
      <w:r w:rsidRPr="00CE4B05">
        <w:rPr>
          <w:lang w:val="fr-FR"/>
        </w:rPr>
        <w:t>expert de la Commission européenne</w:t>
      </w:r>
      <w:r w:rsidRPr="00CE4B05">
        <w:rPr>
          <w:b w:val="0"/>
          <w:sz w:val="20"/>
        </w:rPr>
        <w:footnoteReference w:customMarkFollows="1" w:id="2"/>
        <w:t>*</w:t>
      </w:r>
      <w:r w:rsidRPr="00CE4B05">
        <w:rPr>
          <w:lang w:val="fr-FR"/>
        </w:rPr>
        <w:t xml:space="preserve"> </w:t>
      </w:r>
    </w:p>
    <w:p w:rsidR="00CE4B05" w:rsidRDefault="00CE4B05" w:rsidP="00CE4B05">
      <w:pPr>
        <w:pStyle w:val="SingleTxtG"/>
        <w:ind w:firstLine="567"/>
        <w:rPr>
          <w:lang w:val="fr-FR"/>
        </w:rPr>
      </w:pPr>
      <w:r w:rsidRPr="00CE4B05">
        <w:rPr>
          <w:lang w:val="fr-FR"/>
        </w:rPr>
        <w:t>Le texte reproduit ci-après, établi par l</w:t>
      </w:r>
      <w:r>
        <w:rPr>
          <w:lang w:val="fr-FR"/>
        </w:rPr>
        <w:t>’</w:t>
      </w:r>
      <w:r w:rsidRPr="00CE4B05">
        <w:rPr>
          <w:lang w:val="fr-FR"/>
        </w:rPr>
        <w:t>expert de la Commission européenne (CE), vise à mettre à jour les dispositions relatives aux attelages mécaniques amovibles équipant les véhicules automobiles, en particulier en ce qui concerne la nécessité de fournir des informations claires au conducteur. Il est fondé sur le document informel GRSG-115-34, présenté à la 115</w:t>
      </w:r>
      <w:r w:rsidRPr="00CE4B05">
        <w:rPr>
          <w:vertAlign w:val="superscript"/>
          <w:lang w:val="fr-FR"/>
        </w:rPr>
        <w:t>e</w:t>
      </w:r>
      <w:r>
        <w:rPr>
          <w:vertAlign w:val="superscript"/>
          <w:lang w:val="fr-FR"/>
        </w:rPr>
        <w:t> </w:t>
      </w:r>
      <w:r w:rsidRPr="00CE4B05">
        <w:rPr>
          <w:lang w:val="fr-FR"/>
        </w:rPr>
        <w:t>session du Groupe de travail des dispositions générales de sécurité (GRSG) (voir le rappor</w:t>
      </w:r>
      <w:r>
        <w:rPr>
          <w:lang w:val="fr-FR"/>
        </w:rPr>
        <w:t>t ECE/TRANS/WP.29/GRSG/94, par. </w:t>
      </w:r>
      <w:r w:rsidRPr="00CE4B05">
        <w:rPr>
          <w:lang w:val="fr-FR"/>
        </w:rPr>
        <w:t>30). Les modifications qu</w:t>
      </w:r>
      <w:r>
        <w:rPr>
          <w:lang w:val="fr-FR"/>
        </w:rPr>
        <w:t>’</w:t>
      </w:r>
      <w:r w:rsidRPr="00CE4B05">
        <w:rPr>
          <w:lang w:val="fr-FR"/>
        </w:rPr>
        <w:t>il est proposé d</w:t>
      </w:r>
      <w:r>
        <w:rPr>
          <w:lang w:val="fr-FR"/>
        </w:rPr>
        <w:t>’</w:t>
      </w:r>
      <w:r w:rsidRPr="00CE4B05">
        <w:rPr>
          <w:lang w:val="fr-FR"/>
        </w:rPr>
        <w:t>apporter au texte actuel du Règlement ONU n</w:t>
      </w:r>
      <w:r w:rsidRPr="00CE4B05">
        <w:rPr>
          <w:vertAlign w:val="superscript"/>
          <w:lang w:val="fr-FR"/>
        </w:rPr>
        <w:t>o</w:t>
      </w:r>
      <w:r w:rsidRPr="00CE4B05">
        <w:rPr>
          <w:lang w:val="fr-FR"/>
        </w:rPr>
        <w:t xml:space="preserve"> 55 sont signalées en caractères gras.</w:t>
      </w:r>
    </w:p>
    <w:p w:rsidR="00CE4B05" w:rsidRPr="00CE4B05" w:rsidRDefault="00CE4B05" w:rsidP="00CE4B05">
      <w:pPr>
        <w:pStyle w:val="HChG"/>
      </w:pPr>
      <w:r>
        <w:rPr>
          <w:lang w:val="fr-FR"/>
        </w:rPr>
        <w:br w:type="page"/>
      </w:r>
      <w:r>
        <w:rPr>
          <w:lang w:val="fr-FR"/>
        </w:rPr>
        <w:lastRenderedPageBreak/>
        <w:tab/>
        <w:t>I</w:t>
      </w:r>
      <w:r w:rsidRPr="00CE4B05">
        <w:rPr>
          <w:lang w:val="fr-FR"/>
        </w:rPr>
        <w:t>.</w:t>
      </w:r>
      <w:r w:rsidRPr="00CE4B05">
        <w:rPr>
          <w:lang w:val="fr-FR"/>
        </w:rPr>
        <w:tab/>
        <w:t>Proposition</w:t>
      </w:r>
    </w:p>
    <w:p w:rsidR="00CE4B05" w:rsidRPr="00CE4B05" w:rsidRDefault="00CE4B05" w:rsidP="00CE4B05">
      <w:pPr>
        <w:pStyle w:val="SingleTxtG"/>
      </w:pPr>
      <w:r>
        <w:rPr>
          <w:i/>
          <w:lang w:val="fr-FR"/>
        </w:rPr>
        <w:t>Annexe </w:t>
      </w:r>
      <w:r w:rsidRPr="00CE4B05">
        <w:rPr>
          <w:i/>
          <w:lang w:val="fr-FR"/>
        </w:rPr>
        <w:t>7, paragraphe 1.1.4</w:t>
      </w:r>
      <w:r w:rsidRPr="00CE4B05">
        <w:rPr>
          <w:lang w:val="fr-FR"/>
        </w:rPr>
        <w:t>, lire</w:t>
      </w:r>
      <w:r>
        <w:rPr>
          <w:lang w:val="fr-FR"/>
        </w:rPr>
        <w:t> :</w:t>
      </w:r>
    </w:p>
    <w:p w:rsidR="00CE4B05" w:rsidRPr="00CE4B05" w:rsidRDefault="00CE4B05" w:rsidP="00CE4B05">
      <w:pPr>
        <w:pStyle w:val="SingleTxtG"/>
        <w:ind w:left="2268" w:hanging="1134"/>
      </w:pPr>
      <w:r>
        <w:rPr>
          <w:lang w:val="fr-FR"/>
        </w:rPr>
        <w:t>« </w:t>
      </w:r>
      <w:r w:rsidRPr="00CE4B05">
        <w:rPr>
          <w:lang w:val="fr-FR"/>
        </w:rPr>
        <w:t>1.1.4</w:t>
      </w:r>
      <w:r w:rsidRPr="00CE4B05">
        <w:rPr>
          <w:lang w:val="fr-FR"/>
        </w:rPr>
        <w:tab/>
        <w:t xml:space="preserve">Lorsque la remorque … … sur le véhicule. </w:t>
      </w:r>
      <w:r w:rsidRPr="00CE4B05">
        <w:rPr>
          <w:b/>
          <w:bCs/>
          <w:lang w:val="fr-FR"/>
        </w:rPr>
        <w:t>Dans ce cas, les instructions d</w:t>
      </w:r>
      <w:r>
        <w:rPr>
          <w:b/>
          <w:bCs/>
          <w:lang w:val="fr-FR"/>
        </w:rPr>
        <w:t>’</w:t>
      </w:r>
      <w:r w:rsidRPr="00CE4B05">
        <w:rPr>
          <w:b/>
          <w:bCs/>
          <w:lang w:val="fr-FR"/>
        </w:rPr>
        <w:t>utilisation du véhicule (par exemple le manuel de l</w:t>
      </w:r>
      <w:r>
        <w:rPr>
          <w:b/>
          <w:bCs/>
          <w:lang w:val="fr-FR"/>
        </w:rPr>
        <w:t>’</w:t>
      </w:r>
      <w:r w:rsidRPr="00CE4B05">
        <w:rPr>
          <w:b/>
          <w:bCs/>
          <w:lang w:val="fr-FR"/>
        </w:rPr>
        <w:t>utilisateur ou le manuel du véhicule) doivent clairement préciser que le dispositif mécanique</w:t>
      </w:r>
      <w:r w:rsidRPr="00CE4B05">
        <w:rPr>
          <w:lang w:val="fr-FR"/>
        </w:rPr>
        <w:t xml:space="preserve"> </w:t>
      </w:r>
      <w:r w:rsidRPr="00CE4B05">
        <w:rPr>
          <w:b/>
          <w:bCs/>
          <w:lang w:val="fr-FR"/>
        </w:rPr>
        <w:t>d</w:t>
      </w:r>
      <w:r>
        <w:rPr>
          <w:b/>
          <w:bCs/>
          <w:lang w:val="fr-FR"/>
        </w:rPr>
        <w:t>’</w:t>
      </w:r>
      <w:r w:rsidRPr="00CE4B05">
        <w:rPr>
          <w:b/>
          <w:bCs/>
          <w:lang w:val="fr-FR"/>
        </w:rPr>
        <w:t>attelage démontable ou déplaçable doit toujours être démonté ou déplacé lorsqu</w:t>
      </w:r>
      <w:r>
        <w:rPr>
          <w:b/>
          <w:bCs/>
          <w:lang w:val="fr-FR"/>
        </w:rPr>
        <w:t>’</w:t>
      </w:r>
      <w:r w:rsidRPr="00CE4B05">
        <w:rPr>
          <w:b/>
          <w:bCs/>
          <w:lang w:val="fr-FR"/>
        </w:rPr>
        <w:t>il n</w:t>
      </w:r>
      <w:r>
        <w:rPr>
          <w:b/>
          <w:bCs/>
          <w:lang w:val="fr-FR"/>
        </w:rPr>
        <w:t>’</w:t>
      </w:r>
      <w:r w:rsidRPr="00CE4B05">
        <w:rPr>
          <w:b/>
          <w:bCs/>
          <w:lang w:val="fr-FR"/>
        </w:rPr>
        <w:t>est pas utilisé.</w:t>
      </w:r>
    </w:p>
    <w:p w:rsidR="00CE4B05" w:rsidRPr="00CE4B05" w:rsidRDefault="00CE4B05" w:rsidP="00CE4B05">
      <w:pPr>
        <w:pStyle w:val="SingleTxtG"/>
      </w:pPr>
      <w:r w:rsidRPr="00CE4B05">
        <w:rPr>
          <w:lang w:val="fr-FR"/>
        </w:rPr>
        <w:tab/>
      </w:r>
      <w:r>
        <w:rPr>
          <w:lang w:val="fr-FR"/>
        </w:rPr>
        <w:tab/>
      </w:r>
      <w:r w:rsidRPr="00CE4B05">
        <w:rPr>
          <w:lang w:val="fr-FR"/>
        </w:rPr>
        <w:t>Si le…</w:t>
      </w:r>
      <w:r>
        <w:rPr>
          <w:lang w:val="fr-FR"/>
        </w:rPr>
        <w:t> »</w:t>
      </w:r>
    </w:p>
    <w:p w:rsidR="00CE4B05" w:rsidRPr="00CE4B05" w:rsidRDefault="00CE4B05" w:rsidP="00CE4B05">
      <w:pPr>
        <w:pStyle w:val="HChG"/>
      </w:pPr>
      <w:r w:rsidRPr="00CE4B05">
        <w:rPr>
          <w:lang w:val="fr-FR"/>
        </w:rPr>
        <w:tab/>
        <w:t>II.</w:t>
      </w:r>
      <w:r w:rsidRPr="00CE4B05">
        <w:rPr>
          <w:lang w:val="fr-FR"/>
        </w:rPr>
        <w:tab/>
        <w:t>Justification</w:t>
      </w:r>
    </w:p>
    <w:p w:rsidR="00CE4B05" w:rsidRPr="00CE4B05" w:rsidRDefault="00CE4B05" w:rsidP="00CE4B05">
      <w:pPr>
        <w:pStyle w:val="SingleTxtG"/>
      </w:pPr>
      <w:r w:rsidRPr="00CE4B05">
        <w:rPr>
          <w:lang w:val="fr-FR"/>
        </w:rPr>
        <w:t>1.</w:t>
      </w:r>
      <w:r w:rsidRPr="00CE4B05">
        <w:rPr>
          <w:lang w:val="fr-FR"/>
        </w:rPr>
        <w:tab/>
        <w:t>Depuis l</w:t>
      </w:r>
      <w:r>
        <w:rPr>
          <w:lang w:val="fr-FR"/>
        </w:rPr>
        <w:t>’</w:t>
      </w:r>
      <w:r w:rsidRPr="00CE4B05">
        <w:rPr>
          <w:lang w:val="fr-FR"/>
        </w:rPr>
        <w:t>insertion d</w:t>
      </w:r>
      <w:r>
        <w:rPr>
          <w:lang w:val="fr-FR"/>
        </w:rPr>
        <w:t>’</w:t>
      </w:r>
      <w:r w:rsidRPr="00CE4B05">
        <w:rPr>
          <w:lang w:val="fr-FR"/>
        </w:rPr>
        <w:t xml:space="preserve">une note de bas de page au point </w:t>
      </w:r>
      <w:r>
        <w:rPr>
          <w:lang w:val="fr-FR"/>
        </w:rPr>
        <w:t>« </w:t>
      </w:r>
      <w:r w:rsidRPr="00CE4B05">
        <w:rPr>
          <w:lang w:val="fr-FR"/>
        </w:rPr>
        <w:t xml:space="preserve">Règlement </w:t>
      </w:r>
      <w:r w:rsidRPr="00CE4B05">
        <w:rPr>
          <w:rFonts w:eastAsia="MS Mincho"/>
          <w:szCs w:val="22"/>
          <w:lang w:val="fr-FR"/>
        </w:rPr>
        <w:t>n</w:t>
      </w:r>
      <w:r w:rsidRPr="00CE4B05">
        <w:rPr>
          <w:rFonts w:eastAsia="MS Mincho"/>
          <w:szCs w:val="22"/>
          <w:vertAlign w:val="superscript"/>
          <w:lang w:val="fr-FR"/>
        </w:rPr>
        <w:t>o</w:t>
      </w:r>
      <w:r>
        <w:rPr>
          <w:lang w:val="fr-FR"/>
        </w:rPr>
        <w:t> </w:t>
      </w:r>
      <w:r w:rsidRPr="00CE4B05">
        <w:rPr>
          <w:lang w:val="fr-FR"/>
        </w:rPr>
        <w:t>55</w:t>
      </w:r>
      <w:r>
        <w:rPr>
          <w:lang w:val="fr-FR"/>
        </w:rPr>
        <w:t> »</w:t>
      </w:r>
      <w:r w:rsidRPr="00CE4B05">
        <w:rPr>
          <w:lang w:val="fr-FR"/>
        </w:rPr>
        <w:t xml:space="preserve"> de l</w:t>
      </w:r>
      <w:r>
        <w:rPr>
          <w:lang w:val="fr-FR"/>
        </w:rPr>
        <w:t>’annexe </w:t>
      </w:r>
      <w:r w:rsidRPr="00CE4B05">
        <w:rPr>
          <w:lang w:val="fr-FR"/>
        </w:rPr>
        <w:t xml:space="preserve">IV du Règlement (CE) </w:t>
      </w:r>
      <w:r w:rsidRPr="00CE4B05">
        <w:rPr>
          <w:rFonts w:eastAsia="MS Mincho"/>
          <w:szCs w:val="22"/>
          <w:lang w:val="fr-FR"/>
        </w:rPr>
        <w:t>n</w:t>
      </w:r>
      <w:r w:rsidRPr="00CE4B05">
        <w:rPr>
          <w:rFonts w:eastAsia="MS Mincho"/>
          <w:szCs w:val="22"/>
          <w:vertAlign w:val="superscript"/>
          <w:lang w:val="fr-FR"/>
        </w:rPr>
        <w:t>o</w:t>
      </w:r>
      <w:r>
        <w:rPr>
          <w:lang w:val="fr-FR"/>
        </w:rPr>
        <w:t> </w:t>
      </w:r>
      <w:r w:rsidRPr="00CE4B05">
        <w:rPr>
          <w:lang w:val="fr-FR"/>
        </w:rPr>
        <w:t xml:space="preserve">661/2009 relatif à la sécurité générale, les homologations de véhicules ne sont plus conformes au Règlement si des éléments non </w:t>
      </w:r>
      <w:r w:rsidRPr="00CE4B05">
        <w:rPr>
          <w:bCs/>
          <w:lang w:val="fr-FR"/>
        </w:rPr>
        <w:t>démontable</w:t>
      </w:r>
      <w:r w:rsidRPr="00CE4B05">
        <w:rPr>
          <w:lang w:val="fr-FR"/>
        </w:rPr>
        <w:t xml:space="preserve">s ou non </w:t>
      </w:r>
      <w:r w:rsidRPr="00CE4B05">
        <w:rPr>
          <w:bCs/>
          <w:lang w:val="fr-FR"/>
        </w:rPr>
        <w:t>déplaçable</w:t>
      </w:r>
      <w:r w:rsidRPr="00CE4B05">
        <w:rPr>
          <w:lang w:val="fr-FR"/>
        </w:rPr>
        <w:t>s sont installés sur un véhicule et s</w:t>
      </w:r>
      <w:r>
        <w:rPr>
          <w:lang w:val="fr-FR"/>
        </w:rPr>
        <w:t>’</w:t>
      </w:r>
      <w:r w:rsidRPr="00CE4B05">
        <w:rPr>
          <w:lang w:val="fr-FR"/>
        </w:rPr>
        <w:t>ils masquent (partiellement) des éléments d</w:t>
      </w:r>
      <w:r>
        <w:rPr>
          <w:lang w:val="fr-FR"/>
        </w:rPr>
        <w:t>’</w:t>
      </w:r>
      <w:r w:rsidRPr="00CE4B05">
        <w:rPr>
          <w:lang w:val="fr-FR"/>
        </w:rPr>
        <w:t>éclairage ou l</w:t>
      </w:r>
      <w:r>
        <w:rPr>
          <w:lang w:val="fr-FR"/>
        </w:rPr>
        <w:t>’</w:t>
      </w:r>
      <w:r w:rsidRPr="00CE4B05">
        <w:rPr>
          <w:lang w:val="fr-FR"/>
        </w:rPr>
        <w:t>emplacement de la plaque d</w:t>
      </w:r>
      <w:r>
        <w:rPr>
          <w:lang w:val="fr-FR"/>
        </w:rPr>
        <w:t>’</w:t>
      </w:r>
      <w:r w:rsidRPr="00CE4B05">
        <w:rPr>
          <w:lang w:val="fr-FR"/>
        </w:rPr>
        <w:t xml:space="preserve">immatriculation arrière </w:t>
      </w:r>
      <w:r>
        <w:rPr>
          <w:lang w:val="fr-FR"/>
        </w:rPr>
        <w:t>(référence </w:t>
      </w:r>
      <w:r w:rsidRPr="00CE4B05">
        <w:rPr>
          <w:lang w:val="fr-FR"/>
        </w:rPr>
        <w:t>: Règlement de l</w:t>
      </w:r>
      <w:r>
        <w:rPr>
          <w:lang w:val="fr-FR"/>
        </w:rPr>
        <w:t>’</w:t>
      </w:r>
      <w:r w:rsidRPr="00CE4B05">
        <w:rPr>
          <w:lang w:val="fr-FR"/>
        </w:rPr>
        <w:t xml:space="preserve">Union européenne (UE) </w:t>
      </w:r>
      <w:r w:rsidRPr="00CE4B05">
        <w:rPr>
          <w:rFonts w:eastAsia="MS Mincho"/>
          <w:szCs w:val="22"/>
          <w:lang w:val="fr-FR"/>
        </w:rPr>
        <w:t>n</w:t>
      </w:r>
      <w:r w:rsidRPr="00CE4B05">
        <w:rPr>
          <w:rFonts w:eastAsia="MS Mincho"/>
          <w:szCs w:val="22"/>
          <w:vertAlign w:val="superscript"/>
          <w:lang w:val="fr-FR"/>
        </w:rPr>
        <w:t>o</w:t>
      </w:r>
      <w:r>
        <w:rPr>
          <w:lang w:val="fr-FR"/>
        </w:rPr>
        <w:t> </w:t>
      </w:r>
      <w:r w:rsidRPr="00CE4B05">
        <w:rPr>
          <w:lang w:val="fr-FR"/>
        </w:rPr>
        <w:t>523/2012 du 20</w:t>
      </w:r>
      <w:r>
        <w:rPr>
          <w:lang w:val="fr-FR"/>
        </w:rPr>
        <w:t> </w:t>
      </w:r>
      <w:r w:rsidRPr="00CE4B05">
        <w:rPr>
          <w:lang w:val="fr-FR"/>
        </w:rPr>
        <w:t>juin 2012).</w:t>
      </w:r>
    </w:p>
    <w:p w:rsidR="00CE4B05" w:rsidRPr="00CE4B05" w:rsidRDefault="00CE4B05" w:rsidP="00CE4B05">
      <w:pPr>
        <w:pStyle w:val="SingleTxtG"/>
      </w:pPr>
      <w:r w:rsidRPr="00CE4B05">
        <w:rPr>
          <w:lang w:val="fr-FR"/>
        </w:rPr>
        <w:t>2.</w:t>
      </w:r>
      <w:r w:rsidRPr="00CE4B05">
        <w:rPr>
          <w:lang w:val="fr-FR"/>
        </w:rPr>
        <w:tab/>
        <w:t xml:space="preserve">Le Règlement </w:t>
      </w:r>
      <w:r w:rsidR="00183515">
        <w:rPr>
          <w:lang w:val="fr-FR"/>
        </w:rPr>
        <w:t xml:space="preserve">ONU </w:t>
      </w:r>
      <w:r w:rsidRPr="00CE4B05">
        <w:rPr>
          <w:rFonts w:eastAsia="MS Mincho"/>
          <w:szCs w:val="22"/>
          <w:lang w:val="fr-FR"/>
        </w:rPr>
        <w:t>n</w:t>
      </w:r>
      <w:r w:rsidRPr="00CE4B05">
        <w:rPr>
          <w:rFonts w:eastAsia="MS Mincho"/>
          <w:szCs w:val="22"/>
          <w:vertAlign w:val="superscript"/>
          <w:lang w:val="fr-FR"/>
        </w:rPr>
        <w:t>o</w:t>
      </w:r>
      <w:r>
        <w:rPr>
          <w:lang w:val="fr-FR"/>
        </w:rPr>
        <w:t xml:space="preserve"> 55 </w:t>
      </w:r>
      <w:r w:rsidRPr="00CE4B05">
        <w:rPr>
          <w:lang w:val="fr-FR"/>
        </w:rPr>
        <w:t>autorise toujours le blocage de l</w:t>
      </w:r>
      <w:r>
        <w:rPr>
          <w:lang w:val="fr-FR"/>
        </w:rPr>
        <w:t>’</w:t>
      </w:r>
      <w:r w:rsidRPr="00CE4B05">
        <w:rPr>
          <w:lang w:val="fr-FR"/>
        </w:rPr>
        <w:t>attelage démontable à l</w:t>
      </w:r>
      <w:r>
        <w:rPr>
          <w:lang w:val="fr-FR"/>
        </w:rPr>
        <w:t>’</w:t>
      </w:r>
      <w:r w:rsidRPr="00CE4B05">
        <w:rPr>
          <w:lang w:val="fr-FR"/>
        </w:rPr>
        <w:t>aide d</w:t>
      </w:r>
      <w:r>
        <w:rPr>
          <w:lang w:val="fr-FR"/>
        </w:rPr>
        <w:t>’</w:t>
      </w:r>
      <w:r w:rsidRPr="00CE4B05">
        <w:rPr>
          <w:lang w:val="fr-FR"/>
        </w:rPr>
        <w:t>une cl</w:t>
      </w:r>
      <w:r>
        <w:rPr>
          <w:lang w:val="fr-FR"/>
        </w:rPr>
        <w:t>ef</w:t>
      </w:r>
      <w:r w:rsidRPr="00CE4B05">
        <w:rPr>
          <w:lang w:val="fr-FR"/>
        </w:rPr>
        <w:t xml:space="preserve">, ce qui ne permet pas de </w:t>
      </w:r>
      <w:r w:rsidRPr="00CE4B05">
        <w:rPr>
          <w:bCs/>
          <w:lang w:val="fr-FR"/>
        </w:rPr>
        <w:t xml:space="preserve">démonter ou de déplacer </w:t>
      </w:r>
      <w:r w:rsidRPr="00CE4B05">
        <w:rPr>
          <w:lang w:val="fr-FR"/>
        </w:rPr>
        <w:t>en toute sécurité les pièces mécaniques d</w:t>
      </w:r>
      <w:r>
        <w:rPr>
          <w:lang w:val="fr-FR"/>
        </w:rPr>
        <w:t>’</w:t>
      </w:r>
      <w:r w:rsidRPr="00CE4B05">
        <w:rPr>
          <w:lang w:val="fr-FR"/>
        </w:rPr>
        <w:t>attelage lorsqu</w:t>
      </w:r>
      <w:r>
        <w:rPr>
          <w:lang w:val="fr-FR"/>
        </w:rPr>
        <w:t>’</w:t>
      </w:r>
      <w:r w:rsidRPr="00CE4B05">
        <w:rPr>
          <w:lang w:val="fr-FR"/>
        </w:rPr>
        <w:t>elles ne sont pas utilisées.</w:t>
      </w:r>
    </w:p>
    <w:p w:rsidR="00CE4B05" w:rsidRDefault="00CE4B05" w:rsidP="00CE4B05">
      <w:pPr>
        <w:pStyle w:val="SingleTxtG"/>
        <w:rPr>
          <w:lang w:val="fr-FR"/>
        </w:rPr>
      </w:pPr>
      <w:r w:rsidRPr="00CE4B05">
        <w:rPr>
          <w:lang w:val="fr-FR"/>
        </w:rPr>
        <w:t>3.</w:t>
      </w:r>
      <w:r w:rsidRPr="00CE4B05">
        <w:rPr>
          <w:lang w:val="fr-FR"/>
        </w:rPr>
        <w:tab/>
        <w:t>Afin de mieux mettre en garde les utilisateurs, il est nécessaire de faire figurer des instructions claires dans le manuel.</w:t>
      </w:r>
    </w:p>
    <w:tbl>
      <w:tblPr>
        <w:tblStyle w:val="Grilledutableau1"/>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tblGrid>
      <w:tr w:rsidR="00CE4B05" w:rsidRPr="00201F7D" w:rsidTr="00BA1A53">
        <w:tc>
          <w:tcPr>
            <w:tcW w:w="7513" w:type="dxa"/>
          </w:tcPr>
          <w:p w:rsidR="00CE4B05" w:rsidRPr="001578F7" w:rsidRDefault="00CE4B05" w:rsidP="00BA1A53">
            <w:pPr>
              <w:kinsoku/>
              <w:overflowPunct/>
              <w:autoSpaceDE/>
              <w:autoSpaceDN/>
              <w:adjustRightInd/>
              <w:snapToGrid/>
              <w:spacing w:before="120" w:line="240" w:lineRule="auto"/>
              <w:ind w:right="828"/>
              <w:jc w:val="center"/>
              <w:rPr>
                <w:position w:val="-1"/>
              </w:rPr>
            </w:pPr>
          </w:p>
        </w:tc>
      </w:tr>
      <w:tr w:rsidR="00CE4B05" w:rsidRPr="00201F7D" w:rsidTr="00BA1A53">
        <w:tc>
          <w:tcPr>
            <w:tcW w:w="7513" w:type="dxa"/>
          </w:tcPr>
          <w:p w:rsidR="00CE4B05" w:rsidRPr="00201F7D" w:rsidRDefault="00CE4B05" w:rsidP="00BA1A53">
            <w:pPr>
              <w:kinsoku/>
              <w:overflowPunct/>
              <w:autoSpaceDE/>
              <w:autoSpaceDN/>
              <w:adjustRightInd/>
              <w:snapToGrid/>
              <w:spacing w:before="120" w:line="240" w:lineRule="auto"/>
              <w:ind w:right="828"/>
              <w:jc w:val="center"/>
              <w:rPr>
                <w:position w:val="-1"/>
                <w:lang w:val="en-GB"/>
              </w:rPr>
            </w:pPr>
            <w:r w:rsidRPr="001578F7">
              <w:rPr>
                <w:noProof/>
                <w:lang w:eastAsia="fr-CH"/>
              </w:rPr>
              <w:drawing>
                <wp:inline distT="0" distB="0" distL="0" distR="0" wp14:anchorId="2E730F98" wp14:editId="0F29F651">
                  <wp:extent cx="2911449" cy="2184668"/>
                  <wp:effectExtent l="0" t="0" r="3810" b="63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31847" cy="2199974"/>
                          </a:xfrm>
                          <a:prstGeom prst="rect">
                            <a:avLst/>
                          </a:prstGeom>
                        </pic:spPr>
                      </pic:pic>
                    </a:graphicData>
                  </a:graphic>
                </wp:inline>
              </w:drawing>
            </w:r>
          </w:p>
        </w:tc>
      </w:tr>
      <w:tr w:rsidR="00CE4B05" w:rsidRPr="00201F7D" w:rsidTr="00BA1A53">
        <w:tc>
          <w:tcPr>
            <w:tcW w:w="7513" w:type="dxa"/>
          </w:tcPr>
          <w:p w:rsidR="00CE4B05" w:rsidRPr="00201F7D" w:rsidRDefault="00CE4B05" w:rsidP="00BA1A53">
            <w:pPr>
              <w:kinsoku/>
              <w:overflowPunct/>
              <w:autoSpaceDE/>
              <w:autoSpaceDN/>
              <w:adjustRightInd/>
              <w:snapToGrid/>
              <w:spacing w:before="120" w:line="240" w:lineRule="auto"/>
              <w:ind w:right="828"/>
              <w:jc w:val="center"/>
              <w:rPr>
                <w:noProof/>
                <w:lang w:val="en-GB" w:eastAsia="en-GB"/>
              </w:rPr>
            </w:pPr>
            <w:r w:rsidRPr="001578F7">
              <w:rPr>
                <w:noProof/>
                <w:lang w:eastAsia="fr-CH"/>
              </w:rPr>
              <w:drawing>
                <wp:inline distT="0" distB="0" distL="0" distR="0" wp14:anchorId="57DB2876" wp14:editId="0DAC2910">
                  <wp:extent cx="2904134" cy="122895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7295"/>
                          <a:stretch/>
                        </pic:blipFill>
                        <pic:spPr bwMode="auto">
                          <a:xfrm>
                            <a:off x="0" y="0"/>
                            <a:ext cx="2965572" cy="1254953"/>
                          </a:xfrm>
                          <a:prstGeom prst="rect">
                            <a:avLst/>
                          </a:prstGeom>
                          <a:ln>
                            <a:noFill/>
                          </a:ln>
                          <a:extLst>
                            <a:ext uri="{53640926-AAD7-44D8-BBD7-CCE9431645EC}">
                              <a14:shadowObscured xmlns:a14="http://schemas.microsoft.com/office/drawing/2010/main"/>
                            </a:ext>
                          </a:extLst>
                        </pic:spPr>
                      </pic:pic>
                    </a:graphicData>
                  </a:graphic>
                </wp:inline>
              </w:drawing>
            </w:r>
          </w:p>
        </w:tc>
      </w:tr>
    </w:tbl>
    <w:p w:rsidR="00CE4B05" w:rsidRPr="00CE4B05" w:rsidRDefault="00CE4B05" w:rsidP="00CE4B05">
      <w:pPr>
        <w:pStyle w:val="SingleTxtG"/>
        <w:spacing w:before="240" w:after="0"/>
        <w:jc w:val="center"/>
        <w:rPr>
          <w:u w:val="single"/>
        </w:rPr>
      </w:pPr>
      <w:r>
        <w:rPr>
          <w:u w:val="single"/>
        </w:rPr>
        <w:tab/>
      </w:r>
      <w:r>
        <w:rPr>
          <w:u w:val="single"/>
        </w:rPr>
        <w:tab/>
      </w:r>
      <w:r>
        <w:rPr>
          <w:u w:val="single"/>
        </w:rPr>
        <w:tab/>
      </w:r>
    </w:p>
    <w:sectPr w:rsidR="00CE4B05" w:rsidRPr="00CE4B05" w:rsidSect="00CE4B05">
      <w:headerReference w:type="even" r:id="rId10"/>
      <w:headerReference w:type="default" r:id="rId11"/>
      <w:footerReference w:type="even" r:id="rId12"/>
      <w:footerReference w:type="default" r:id="rId13"/>
      <w:footerReference w:type="first" r:id="rId14"/>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30A6" w:rsidRDefault="008230A6" w:rsidP="00F95C08">
      <w:pPr>
        <w:spacing w:line="240" w:lineRule="auto"/>
      </w:pPr>
    </w:p>
  </w:endnote>
  <w:endnote w:type="continuationSeparator" w:id="0">
    <w:p w:rsidR="008230A6" w:rsidRPr="00AC3823" w:rsidRDefault="008230A6" w:rsidP="00AC3823">
      <w:pPr>
        <w:pStyle w:val="Footer"/>
      </w:pPr>
    </w:p>
  </w:endnote>
  <w:endnote w:type="continuationNotice" w:id="1">
    <w:p w:rsidR="008230A6" w:rsidRDefault="008230A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B05" w:rsidRPr="00CE4B05" w:rsidRDefault="00CE4B05" w:rsidP="00CE4B05">
    <w:pPr>
      <w:pStyle w:val="Footer"/>
      <w:tabs>
        <w:tab w:val="right" w:pos="9638"/>
      </w:tabs>
    </w:pPr>
    <w:r w:rsidRPr="00CE4B05">
      <w:rPr>
        <w:b/>
        <w:sz w:val="18"/>
      </w:rPr>
      <w:fldChar w:fldCharType="begin"/>
    </w:r>
    <w:r w:rsidRPr="00CE4B05">
      <w:rPr>
        <w:b/>
        <w:sz w:val="18"/>
      </w:rPr>
      <w:instrText xml:space="preserve"> PAGE  \* MERGEFORMAT </w:instrText>
    </w:r>
    <w:r w:rsidRPr="00CE4B05">
      <w:rPr>
        <w:b/>
        <w:sz w:val="18"/>
      </w:rPr>
      <w:fldChar w:fldCharType="separate"/>
    </w:r>
    <w:r w:rsidR="006037BC">
      <w:rPr>
        <w:b/>
        <w:noProof/>
        <w:sz w:val="18"/>
      </w:rPr>
      <w:t>2</w:t>
    </w:r>
    <w:r w:rsidRPr="00CE4B05">
      <w:rPr>
        <w:b/>
        <w:sz w:val="18"/>
      </w:rPr>
      <w:fldChar w:fldCharType="end"/>
    </w:r>
    <w:r>
      <w:rPr>
        <w:b/>
        <w:sz w:val="18"/>
      </w:rPr>
      <w:tab/>
    </w:r>
    <w:r>
      <w:t>GE.19-00236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B05" w:rsidRPr="00CE4B05" w:rsidRDefault="00CE4B05" w:rsidP="00CE4B05">
    <w:pPr>
      <w:pStyle w:val="Footer"/>
      <w:tabs>
        <w:tab w:val="right" w:pos="9638"/>
      </w:tabs>
      <w:rPr>
        <w:b/>
        <w:sz w:val="18"/>
      </w:rPr>
    </w:pPr>
    <w:r>
      <w:t>GE.19-00236</w:t>
    </w:r>
    <w:r>
      <w:tab/>
    </w:r>
    <w:r w:rsidRPr="00CE4B05">
      <w:rPr>
        <w:b/>
        <w:sz w:val="18"/>
      </w:rPr>
      <w:fldChar w:fldCharType="begin"/>
    </w:r>
    <w:r w:rsidRPr="00CE4B05">
      <w:rPr>
        <w:b/>
        <w:sz w:val="18"/>
      </w:rPr>
      <w:instrText xml:space="preserve"> PAGE  \* MERGEFORMAT </w:instrText>
    </w:r>
    <w:r w:rsidRPr="00CE4B05">
      <w:rPr>
        <w:b/>
        <w:sz w:val="18"/>
      </w:rPr>
      <w:fldChar w:fldCharType="separate"/>
    </w:r>
    <w:r>
      <w:rPr>
        <w:b/>
        <w:noProof/>
        <w:sz w:val="18"/>
      </w:rPr>
      <w:t>3</w:t>
    </w:r>
    <w:r w:rsidRPr="00CE4B05">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20FA" w:rsidRPr="00CE4B05" w:rsidRDefault="00CE4B05" w:rsidP="00CE4B05">
    <w:pPr>
      <w:pStyle w:val="Footer"/>
      <w:spacing w:before="120"/>
      <w:rPr>
        <w:sz w:val="20"/>
      </w:rPr>
    </w:pPr>
    <w:r>
      <w:rPr>
        <w:sz w:val="20"/>
      </w:rPr>
      <w:t>GE.</w:t>
    </w:r>
    <w:r w:rsidR="007F20FA">
      <w:rPr>
        <w:noProof/>
        <w:lang w:eastAsia="fr-CH"/>
      </w:rPr>
      <w:drawing>
        <wp:anchor distT="0" distB="0" distL="114300" distR="114300" simplePos="0" relativeHeight="251660288"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19-</w:t>
    </w:r>
    <w:proofErr w:type="gramStart"/>
    <w:r>
      <w:rPr>
        <w:sz w:val="20"/>
      </w:rPr>
      <w:t>00236  (</w:t>
    </w:r>
    <w:proofErr w:type="gramEnd"/>
    <w:r>
      <w:rPr>
        <w:sz w:val="20"/>
      </w:rPr>
      <w:t xml:space="preserve">F)    110219    </w:t>
    </w:r>
    <w:r w:rsidR="00DD3405">
      <w:rPr>
        <w:sz w:val="20"/>
      </w:rPr>
      <w:t>14</w:t>
    </w:r>
    <w:r>
      <w:rPr>
        <w:sz w:val="20"/>
      </w:rPr>
      <w:t>0219</w:t>
    </w:r>
    <w:r>
      <w:rPr>
        <w:sz w:val="20"/>
      </w:rPr>
      <w:br/>
    </w:r>
    <w:r w:rsidRPr="00CE4B05">
      <w:rPr>
        <w:rFonts w:ascii="C39T30Lfz" w:hAnsi="C39T30Lfz"/>
        <w:sz w:val="56"/>
      </w:rPr>
      <w:t></w:t>
    </w:r>
    <w:r w:rsidRPr="00CE4B05">
      <w:rPr>
        <w:rFonts w:ascii="C39T30Lfz" w:hAnsi="C39T30Lfz"/>
        <w:sz w:val="56"/>
      </w:rPr>
      <w:t></w:t>
    </w:r>
    <w:r w:rsidRPr="00CE4B05">
      <w:rPr>
        <w:rFonts w:ascii="C39T30Lfz" w:hAnsi="C39T30Lfz"/>
        <w:sz w:val="56"/>
      </w:rPr>
      <w:t></w:t>
    </w:r>
    <w:r w:rsidRPr="00CE4B05">
      <w:rPr>
        <w:rFonts w:ascii="C39T30Lfz" w:hAnsi="C39T30Lfz"/>
        <w:sz w:val="56"/>
      </w:rPr>
      <w:t></w:t>
    </w:r>
    <w:r w:rsidRPr="00CE4B05">
      <w:rPr>
        <w:rFonts w:ascii="C39T30Lfz" w:hAnsi="C39T30Lfz"/>
        <w:sz w:val="56"/>
      </w:rPr>
      <w:t></w:t>
    </w:r>
    <w:r w:rsidRPr="00CE4B05">
      <w:rPr>
        <w:rFonts w:ascii="C39T30Lfz" w:hAnsi="C39T30Lfz"/>
        <w:sz w:val="56"/>
      </w:rPr>
      <w:t></w:t>
    </w:r>
    <w:r w:rsidRPr="00CE4B05">
      <w:rPr>
        <w:rFonts w:ascii="C39T30Lfz" w:hAnsi="C39T30Lfz"/>
        <w:sz w:val="56"/>
      </w:rPr>
      <w:t></w:t>
    </w:r>
    <w:r w:rsidRPr="00CE4B05">
      <w:rPr>
        <w:rFonts w:ascii="C39T30Lfz" w:hAnsi="C39T30Lfz"/>
        <w:sz w:val="56"/>
      </w:rPr>
      <w:t></w:t>
    </w:r>
    <w:r w:rsidRPr="00CE4B05">
      <w:rPr>
        <w:rFonts w:ascii="C39T30Lfz" w:hAnsi="C39T30Lfz"/>
        <w:sz w:val="56"/>
      </w:rPr>
      <w:t></w:t>
    </w:r>
    <w:r>
      <w:rPr>
        <w:noProof/>
        <w:sz w:val="20"/>
        <w:lang w:eastAsia="fr-CH"/>
      </w:rPr>
      <w:drawing>
        <wp:anchor distT="0" distB="0" distL="114300" distR="114300" simplePos="0" relativeHeight="251658240" behindDoc="0" locked="0" layoutInCell="1" allowOverlap="1">
          <wp:simplePos x="0" y="0"/>
          <wp:positionH relativeFrom="margin">
            <wp:posOffset>5489575</wp:posOffset>
          </wp:positionH>
          <wp:positionV relativeFrom="margin">
            <wp:posOffset>8891905</wp:posOffset>
          </wp:positionV>
          <wp:extent cx="628650" cy="628650"/>
          <wp:effectExtent l="0" t="0" r="0" b="0"/>
          <wp:wrapNone/>
          <wp:docPr id="3" name="Image 1" descr="https://api.qrserver.com/v1/create-qr-code/?size=66x66&amp;data=https://undocs.org/fr/ECE/TRANS/WP.29/GRSG/2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qrserver.com/v1/create-qr-code/?size=66x66&amp;data=https://undocs.org/fr/ECE/TRANS/WP.29/GRSG/2019/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30A6" w:rsidRPr="00AC3823" w:rsidRDefault="008230A6" w:rsidP="00AC3823">
      <w:pPr>
        <w:pStyle w:val="Footer"/>
        <w:tabs>
          <w:tab w:val="right" w:pos="2155"/>
        </w:tabs>
        <w:spacing w:after="80" w:line="240" w:lineRule="atLeast"/>
        <w:ind w:left="680"/>
        <w:rPr>
          <w:u w:val="single"/>
        </w:rPr>
      </w:pPr>
      <w:r>
        <w:rPr>
          <w:u w:val="single"/>
        </w:rPr>
        <w:tab/>
      </w:r>
    </w:p>
  </w:footnote>
  <w:footnote w:type="continuationSeparator" w:id="0">
    <w:p w:rsidR="008230A6" w:rsidRPr="00AC3823" w:rsidRDefault="008230A6" w:rsidP="00AC3823">
      <w:pPr>
        <w:pStyle w:val="Footer"/>
        <w:tabs>
          <w:tab w:val="right" w:pos="2155"/>
        </w:tabs>
        <w:spacing w:after="80" w:line="240" w:lineRule="atLeast"/>
        <w:ind w:left="680"/>
        <w:rPr>
          <w:u w:val="single"/>
        </w:rPr>
      </w:pPr>
      <w:r>
        <w:rPr>
          <w:u w:val="single"/>
        </w:rPr>
        <w:tab/>
      </w:r>
    </w:p>
  </w:footnote>
  <w:footnote w:type="continuationNotice" w:id="1">
    <w:p w:rsidR="008230A6" w:rsidRPr="00AC3823" w:rsidRDefault="008230A6">
      <w:pPr>
        <w:spacing w:line="240" w:lineRule="auto"/>
        <w:rPr>
          <w:sz w:val="2"/>
          <w:szCs w:val="2"/>
        </w:rPr>
      </w:pPr>
    </w:p>
  </w:footnote>
  <w:footnote w:id="2">
    <w:p w:rsidR="00CE4B05" w:rsidRPr="00201F7D" w:rsidRDefault="00CE4B05" w:rsidP="00CE4B05">
      <w:pPr>
        <w:pStyle w:val="FootnoteText"/>
        <w:tabs>
          <w:tab w:val="clear" w:pos="1021"/>
        </w:tabs>
        <w:ind w:hanging="283"/>
      </w:pPr>
      <w:r>
        <w:rPr>
          <w:vertAlign w:val="superscript"/>
          <w:lang w:val="fr-FR"/>
        </w:rPr>
        <w:t>*</w:t>
      </w:r>
      <w:r>
        <w:rPr>
          <w:lang w:val="fr-FR"/>
        </w:rPr>
        <w:tab/>
        <w:t>Conformément au programme de travail du Comité des transports intérieurs pour la période 2018</w:t>
      </w:r>
      <w:r>
        <w:rPr>
          <w:lang w:val="fr-FR"/>
        </w:rPr>
        <w:noBreakHyphen/>
        <w:t>2019 (ECE/TRANS/274, par. 123, et ECE/TRANS/2018/21/Add.1</w:t>
      </w:r>
      <w:r w:rsidRPr="00CE4B05">
        <w:rPr>
          <w:lang w:val="fr-FR"/>
        </w:rPr>
        <w:t>, module 3.</w:t>
      </w:r>
      <w:r>
        <w:rPr>
          <w:lang w:val="fr-FR"/>
        </w:rPr>
        <w:t>1), le Forum mondial a pour mission d’élaborer, d’harmoniser et de mettre à jour les Règlements ONU en vue d’améliorer les caractéristiques fonctionnelles des véhicules. Le présent document est soumis en vertu de ce mandat.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B05" w:rsidRPr="00CE4B05" w:rsidRDefault="00312D7A">
    <w:pPr>
      <w:pStyle w:val="Header"/>
    </w:pPr>
    <w:r>
      <w:fldChar w:fldCharType="begin"/>
    </w:r>
    <w:r>
      <w:instrText xml:space="preserve"> TITLE  \* MERGEFORMAT </w:instrText>
    </w:r>
    <w:r>
      <w:fldChar w:fldCharType="separate"/>
    </w:r>
    <w:r w:rsidR="00CE4B05">
      <w:t>ECE/TRANS/WP.29/GRSG/2019/6</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B05" w:rsidRPr="00CE4B05" w:rsidRDefault="00312D7A" w:rsidP="00CE4B05">
    <w:pPr>
      <w:pStyle w:val="Header"/>
      <w:jc w:val="right"/>
    </w:pPr>
    <w:r>
      <w:fldChar w:fldCharType="begin"/>
    </w:r>
    <w:r>
      <w:instrText xml:space="preserve"> TITLE  \* MERGEFORMAT </w:instrText>
    </w:r>
    <w:r>
      <w:fldChar w:fldCharType="separate"/>
    </w:r>
    <w:r w:rsidR="00CE4B05">
      <w:t>ECE/TRANS/WP.29/GRSG/2019/6</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evenAndOddHeaders/>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0A6"/>
    <w:rsid w:val="00017F94"/>
    <w:rsid w:val="00023842"/>
    <w:rsid w:val="000334F9"/>
    <w:rsid w:val="00045FEB"/>
    <w:rsid w:val="0007796D"/>
    <w:rsid w:val="000B7790"/>
    <w:rsid w:val="00111F2F"/>
    <w:rsid w:val="0014365E"/>
    <w:rsid w:val="00143C66"/>
    <w:rsid w:val="00176178"/>
    <w:rsid w:val="00183515"/>
    <w:rsid w:val="001F525A"/>
    <w:rsid w:val="00223272"/>
    <w:rsid w:val="0024779E"/>
    <w:rsid w:val="00257168"/>
    <w:rsid w:val="002744B8"/>
    <w:rsid w:val="002832AC"/>
    <w:rsid w:val="002D7C93"/>
    <w:rsid w:val="00305801"/>
    <w:rsid w:val="00312D7A"/>
    <w:rsid w:val="003916DE"/>
    <w:rsid w:val="00421996"/>
    <w:rsid w:val="00441C3B"/>
    <w:rsid w:val="00446FE5"/>
    <w:rsid w:val="00452396"/>
    <w:rsid w:val="004837D8"/>
    <w:rsid w:val="004E2EED"/>
    <w:rsid w:val="004E468C"/>
    <w:rsid w:val="005505B7"/>
    <w:rsid w:val="00573BE5"/>
    <w:rsid w:val="00586ED3"/>
    <w:rsid w:val="00596AA9"/>
    <w:rsid w:val="006037BC"/>
    <w:rsid w:val="0071601D"/>
    <w:rsid w:val="007A62E6"/>
    <w:rsid w:val="007F20FA"/>
    <w:rsid w:val="0080684C"/>
    <w:rsid w:val="008230A6"/>
    <w:rsid w:val="00871C75"/>
    <w:rsid w:val="008776DC"/>
    <w:rsid w:val="009446C0"/>
    <w:rsid w:val="009705C8"/>
    <w:rsid w:val="009C1CF4"/>
    <w:rsid w:val="009F6B74"/>
    <w:rsid w:val="00A3029F"/>
    <w:rsid w:val="00A30353"/>
    <w:rsid w:val="00AC3823"/>
    <w:rsid w:val="00AE323C"/>
    <w:rsid w:val="00AF0CB5"/>
    <w:rsid w:val="00B00181"/>
    <w:rsid w:val="00B00B0D"/>
    <w:rsid w:val="00B45F2E"/>
    <w:rsid w:val="00B765F7"/>
    <w:rsid w:val="00BA0CA9"/>
    <w:rsid w:val="00C02897"/>
    <w:rsid w:val="00C97039"/>
    <w:rsid w:val="00CE4B05"/>
    <w:rsid w:val="00D3439C"/>
    <w:rsid w:val="00DB1831"/>
    <w:rsid w:val="00DD3405"/>
    <w:rsid w:val="00DD3BFD"/>
    <w:rsid w:val="00DF6678"/>
    <w:rsid w:val="00E0299A"/>
    <w:rsid w:val="00E85C74"/>
    <w:rsid w:val="00EA6547"/>
    <w:rsid w:val="00EF2E22"/>
    <w:rsid w:val="00F35BAF"/>
    <w:rsid w:val="00F660DF"/>
    <w:rsid w:val="00F94664"/>
    <w:rsid w:val="00F9573C"/>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1D9CC8D-167B-4A08-B00B-4157035E5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table" w:customStyle="1" w:styleId="Grilledutableau1">
    <w:name w:val="Grille du tableau1"/>
    <w:basedOn w:val="TableNormal"/>
    <w:next w:val="TableGrid"/>
    <w:semiHidden/>
    <w:rsid w:val="00CE4B05"/>
    <w:pPr>
      <w:suppressAutoHyphens/>
      <w:spacing w:after="0" w:line="240" w:lineRule="atLeast"/>
    </w:pPr>
    <w:rPr>
      <w:rFonts w:ascii="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2156</Characters>
  <Application>Microsoft Office Word</Application>
  <DocSecurity>0</DocSecurity>
  <Lines>17</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ECE/TRANS/WP.29/GRSG/2019/6</vt:lpstr>
      <vt:lpstr>ECE/TRANS/WP.29/GRSG/2019/6</vt:lpstr>
    </vt:vector>
  </TitlesOfParts>
  <Company>DCM</Company>
  <LinksUpToDate>false</LinksUpToDate>
  <CharactersWithSpaces>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ECE/TRANS/WP.29/GRSG/2019/6</dc:title>
  <dc:subject/>
  <dc:creator>Edith BOURION</dc:creator>
  <cp:keywords/>
  <cp:lastModifiedBy>Benedicte Boudol</cp:lastModifiedBy>
  <cp:revision>2</cp:revision>
  <cp:lastPrinted>2019-02-14T15:36:00Z</cp:lastPrinted>
  <dcterms:created xsi:type="dcterms:W3CDTF">2019-02-14T16:16:00Z</dcterms:created>
  <dcterms:modified xsi:type="dcterms:W3CDTF">2019-02-14T16:16:00Z</dcterms:modified>
</cp:coreProperties>
</file>