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3325" w14:textId="0D549CB1" w:rsidR="00C23129" w:rsidRDefault="00C23129" w:rsidP="00C23129"/>
    <w:p w14:paraId="34FFF035" w14:textId="32727D69" w:rsidR="008C2478" w:rsidRPr="00EC22F1" w:rsidRDefault="008C2478" w:rsidP="008C2478">
      <w:pPr>
        <w:ind w:left="1134" w:right="567"/>
        <w:jc w:val="both"/>
        <w:rPr>
          <w:b/>
          <w:sz w:val="28"/>
          <w:szCs w:val="28"/>
          <w:lang w:val="en-US" w:eastAsia="ja-JP"/>
        </w:rPr>
      </w:pPr>
      <w:r w:rsidRPr="00EC22F1">
        <w:rPr>
          <w:rFonts w:eastAsia="Times New Roman"/>
          <w:b/>
          <w:sz w:val="28"/>
          <w:szCs w:val="28"/>
          <w:lang w:val="en-US"/>
        </w:rPr>
        <w:t xml:space="preserve">Proposal for </w:t>
      </w:r>
      <w:r w:rsidRPr="00EC22F1">
        <w:rPr>
          <w:b/>
          <w:sz w:val="28"/>
          <w:szCs w:val="28"/>
          <w:lang w:val="en-US" w:eastAsia="ja-JP"/>
        </w:rPr>
        <w:t>the</w:t>
      </w:r>
      <w:r w:rsidRPr="00EC22F1">
        <w:rPr>
          <w:rFonts w:eastAsia="Times New Roman"/>
          <w:b/>
          <w:sz w:val="28"/>
          <w:szCs w:val="28"/>
          <w:lang w:val="en-US"/>
        </w:rPr>
        <w:t xml:space="preserve"> technical report on the development of </w:t>
      </w:r>
      <w:r w:rsidRPr="00EC22F1">
        <w:rPr>
          <w:b/>
          <w:sz w:val="28"/>
          <w:szCs w:val="28"/>
          <w:lang w:val="en-US" w:eastAsia="ja-JP"/>
        </w:rPr>
        <w:t xml:space="preserve">Amendment 2 to </w:t>
      </w:r>
      <w:r w:rsidR="00A55D8E">
        <w:rPr>
          <w:rFonts w:eastAsia="Times New Roman"/>
          <w:b/>
          <w:sz w:val="28"/>
          <w:szCs w:val="28"/>
          <w:lang w:val="en-US"/>
        </w:rPr>
        <w:t>UN GTR</w:t>
      </w:r>
      <w:bookmarkStart w:id="0" w:name="_GoBack"/>
      <w:bookmarkEnd w:id="0"/>
      <w:r>
        <w:rPr>
          <w:rFonts w:eastAsia="Times New Roman"/>
          <w:b/>
          <w:sz w:val="28"/>
          <w:szCs w:val="28"/>
          <w:lang w:val="en-US"/>
        </w:rPr>
        <w:t xml:space="preserve"> </w:t>
      </w:r>
      <w:r>
        <w:rPr>
          <w:b/>
          <w:sz w:val="28"/>
          <w:szCs w:val="28"/>
          <w:lang w:val="en-US" w:eastAsia="ja-JP"/>
        </w:rPr>
        <w:t>No. 19</w:t>
      </w:r>
      <w:r w:rsidRPr="00EC22F1">
        <w:rPr>
          <w:rFonts w:eastAsia="Times New Roman"/>
          <w:b/>
          <w:sz w:val="28"/>
          <w:szCs w:val="28"/>
          <w:lang w:val="en-US"/>
        </w:rPr>
        <w:t xml:space="preserve"> on Evaporative emission test procedure for the Worldwide</w:t>
      </w:r>
      <w:r w:rsidRPr="00657054">
        <w:rPr>
          <w:rFonts w:eastAsia="Times New Roman"/>
          <w:b/>
          <w:sz w:val="28"/>
          <w:szCs w:val="28"/>
          <w:lang w:val="en-GB"/>
        </w:rPr>
        <w:t xml:space="preserve"> harmoni</w:t>
      </w:r>
      <w:r w:rsidRPr="00657054">
        <w:rPr>
          <w:b/>
          <w:sz w:val="28"/>
          <w:szCs w:val="28"/>
          <w:lang w:val="en-GB" w:eastAsia="ja-JP"/>
        </w:rPr>
        <w:t>s</w:t>
      </w:r>
      <w:r w:rsidRPr="00657054">
        <w:rPr>
          <w:rFonts w:eastAsia="Times New Roman"/>
          <w:b/>
          <w:sz w:val="28"/>
          <w:szCs w:val="28"/>
          <w:lang w:val="en-GB"/>
        </w:rPr>
        <w:t>ed</w:t>
      </w:r>
      <w:r w:rsidRPr="00EC22F1">
        <w:rPr>
          <w:rFonts w:eastAsia="Times New Roman"/>
          <w:b/>
          <w:sz w:val="28"/>
          <w:szCs w:val="28"/>
          <w:lang w:val="en-US"/>
        </w:rPr>
        <w:t xml:space="preserve"> Light </w:t>
      </w:r>
      <w:proofErr w:type="gramStart"/>
      <w:r w:rsidRPr="00EC22F1">
        <w:rPr>
          <w:rFonts w:eastAsia="Times New Roman"/>
          <w:b/>
          <w:sz w:val="28"/>
          <w:szCs w:val="28"/>
          <w:lang w:val="en-US"/>
        </w:rPr>
        <w:t>vehicles</w:t>
      </w:r>
      <w:proofErr w:type="gramEnd"/>
      <w:r w:rsidRPr="00EC22F1">
        <w:rPr>
          <w:rFonts w:eastAsia="Times New Roman"/>
          <w:b/>
          <w:sz w:val="28"/>
          <w:szCs w:val="28"/>
          <w:lang w:val="en-US"/>
        </w:rPr>
        <w:t xml:space="preserve"> Test Procedure </w:t>
      </w:r>
      <w:r w:rsidRPr="00EC22F1">
        <w:rPr>
          <w:b/>
          <w:sz w:val="28"/>
          <w:szCs w:val="28"/>
          <w:lang w:val="en-US" w:eastAsia="ja-JP"/>
        </w:rPr>
        <w:t>(WLTP)</w:t>
      </w:r>
    </w:p>
    <w:p w14:paraId="2C018F01" w14:textId="2C018E58" w:rsidR="00D847F9" w:rsidRPr="006B1144" w:rsidRDefault="00D847F9" w:rsidP="008C2478">
      <w:pPr>
        <w:pStyle w:val="HChG"/>
        <w:rPr>
          <w:highlight w:val="yellow"/>
          <w:lang w:val="en-US"/>
        </w:rPr>
        <w:sectPr w:rsidR="00D847F9" w:rsidRPr="006B1144" w:rsidSect="00CB29C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D3AE394" w14:textId="5882B328" w:rsidR="00D847F9" w:rsidRPr="00657054" w:rsidRDefault="00D847F9" w:rsidP="00B14E48">
      <w:pPr>
        <w:pStyle w:val="HChG"/>
        <w:rPr>
          <w:lang w:val="en-US"/>
        </w:rPr>
      </w:pPr>
      <w:r w:rsidRPr="00F421B1">
        <w:rPr>
          <w:lang w:val="en-US"/>
        </w:rPr>
        <w:lastRenderedPageBreak/>
        <w:tab/>
      </w:r>
      <w:r w:rsidRPr="00657054">
        <w:rPr>
          <w:lang w:val="en-US"/>
        </w:rPr>
        <w:tab/>
      </w:r>
      <w:r w:rsidR="00F9688C" w:rsidRPr="00657054">
        <w:rPr>
          <w:bCs/>
          <w:lang w:val="en-US" w:eastAsia="ja-JP"/>
        </w:rPr>
        <w:t>Technical</w:t>
      </w:r>
      <w:r w:rsidR="00B14E48" w:rsidRPr="00657054">
        <w:rPr>
          <w:bCs/>
          <w:lang w:val="en-US"/>
        </w:rPr>
        <w:t xml:space="preserve"> report on the development of Amendment </w:t>
      </w:r>
      <w:r w:rsidR="008C2478" w:rsidRPr="00657054">
        <w:rPr>
          <w:rFonts w:hint="eastAsia"/>
          <w:bCs/>
          <w:lang w:val="en-US" w:eastAsia="ja-JP"/>
        </w:rPr>
        <w:t>2</w:t>
      </w:r>
      <w:r w:rsidR="00B14E48" w:rsidRPr="00657054">
        <w:rPr>
          <w:bCs/>
          <w:lang w:val="en-US"/>
        </w:rPr>
        <w:t xml:space="preserve"> to UN GTR No. 19 on the Evaporative emission test procedure for the Worldwide </w:t>
      </w:r>
      <w:proofErr w:type="gramStart"/>
      <w:r w:rsidR="00B14E48" w:rsidRPr="00657054">
        <w:rPr>
          <w:bCs/>
          <w:lang w:val="en-US"/>
        </w:rPr>
        <w:t>harmonized</w:t>
      </w:r>
      <w:proofErr w:type="gramEnd"/>
      <w:r w:rsidR="00B14E48" w:rsidRPr="00657054">
        <w:rPr>
          <w:bCs/>
          <w:lang w:val="en-US"/>
        </w:rPr>
        <w:t xml:space="preserve"> Light vehicles Test Procedure (WLTP EVAP)</w:t>
      </w:r>
    </w:p>
    <w:p w14:paraId="27396581" w14:textId="77777777" w:rsidR="00DA093C" w:rsidRPr="00657054" w:rsidRDefault="00DA093C" w:rsidP="00DA093C">
      <w:pPr>
        <w:pStyle w:val="HChG"/>
        <w:rPr>
          <w:lang w:val="en-GB"/>
        </w:rPr>
      </w:pPr>
      <w:r w:rsidRPr="00657054">
        <w:rPr>
          <w:lang w:val="en-GB"/>
        </w:rPr>
        <w:tab/>
        <w:t>I.</w:t>
      </w:r>
      <w:r w:rsidRPr="00657054">
        <w:rPr>
          <w:lang w:val="en-GB"/>
        </w:rPr>
        <w:tab/>
      </w:r>
      <w:r w:rsidRPr="00657054">
        <w:rPr>
          <w:lang w:val="en-US"/>
        </w:rPr>
        <w:t>Introduction</w:t>
      </w:r>
    </w:p>
    <w:p w14:paraId="5FF7DD4E" w14:textId="77777777" w:rsidR="007A5ACA" w:rsidRPr="00657054" w:rsidRDefault="007A5ACA" w:rsidP="007A5ACA">
      <w:pPr>
        <w:pStyle w:val="SingleTxtG"/>
        <w:tabs>
          <w:tab w:val="left" w:pos="1701"/>
        </w:tabs>
        <w:rPr>
          <w:lang w:val="en-GB" w:eastAsia="ja-JP"/>
        </w:rPr>
      </w:pPr>
      <w:r w:rsidRPr="00657054">
        <w:rPr>
          <w:lang w:val="en-GB"/>
        </w:rPr>
        <w:t>1.</w:t>
      </w:r>
      <w:r w:rsidRPr="00657054">
        <w:rPr>
          <w:lang w:val="en-GB"/>
        </w:rPr>
        <w:tab/>
        <w:t xml:space="preserve">During the seventy-fourth session of the Working Party on Pollution and Energy (GRPE) in January 2017, the Evaporative emission test procedure for the Worldwide </w:t>
      </w:r>
      <w:proofErr w:type="gramStart"/>
      <w:r w:rsidRPr="00657054">
        <w:rPr>
          <w:lang w:val="en-GB"/>
        </w:rPr>
        <w:t>harmoni</w:t>
      </w:r>
      <w:r w:rsidRPr="00657054">
        <w:rPr>
          <w:lang w:val="en-GB" w:eastAsia="ja-JP"/>
        </w:rPr>
        <w:t>s</w:t>
      </w:r>
      <w:r w:rsidRPr="00657054">
        <w:rPr>
          <w:lang w:val="en-GB"/>
        </w:rPr>
        <w:t>ed</w:t>
      </w:r>
      <w:proofErr w:type="gramEnd"/>
      <w:r w:rsidRPr="00657054">
        <w:rPr>
          <w:lang w:val="en-GB"/>
        </w:rPr>
        <w:t xml:space="preserve"> Light vehicles Test Procedure</w:t>
      </w:r>
      <w:r w:rsidRPr="00657054">
        <w:rPr>
          <w:lang w:val="en-US"/>
        </w:rPr>
        <w:t>s</w:t>
      </w:r>
      <w:r w:rsidRPr="00657054">
        <w:rPr>
          <w:lang w:val="en-GB"/>
        </w:rPr>
        <w:t xml:space="preserve"> (WLTP EVAP) Task Force (TF) submitted a working document and an informal document for the consideration of GRPE.</w:t>
      </w:r>
    </w:p>
    <w:p w14:paraId="42F1D233" w14:textId="77777777" w:rsidR="007A5ACA" w:rsidRPr="00657054" w:rsidRDefault="007A5ACA" w:rsidP="007A5ACA">
      <w:pPr>
        <w:pStyle w:val="SingleTxtG"/>
        <w:tabs>
          <w:tab w:val="left" w:pos="1701"/>
        </w:tabs>
        <w:rPr>
          <w:lang w:val="en-GB" w:eastAsia="ja-JP"/>
        </w:rPr>
      </w:pPr>
      <w:r w:rsidRPr="00657054">
        <w:rPr>
          <w:lang w:val="en-GB"/>
        </w:rPr>
        <w:t>2.</w:t>
      </w:r>
      <w:r w:rsidRPr="00657054">
        <w:rPr>
          <w:lang w:val="en-GB"/>
        </w:rPr>
        <w:tab/>
        <w:t xml:space="preserve">The working document ECE/TRANS/WP.29/GRPE/2017/3 (Proposal for a new UN Global Technical Regulation on Evaporative emission test procedure for the Worldwide </w:t>
      </w:r>
      <w:proofErr w:type="gramStart"/>
      <w:r w:rsidRPr="00657054">
        <w:rPr>
          <w:lang w:val="en-GB"/>
        </w:rPr>
        <w:t>harmonized</w:t>
      </w:r>
      <w:proofErr w:type="gramEnd"/>
      <w:r w:rsidRPr="00657054">
        <w:rPr>
          <w:lang w:val="en-GB"/>
        </w:rPr>
        <w:t xml:space="preserve"> Light vehicles Test Procedures)</w:t>
      </w:r>
      <w:r w:rsidRPr="00657054">
        <w:rPr>
          <w:lang w:val="en-GB" w:eastAsia="ja-JP"/>
        </w:rPr>
        <w:t>, UN GTR No. 19,</w:t>
      </w:r>
      <w:r w:rsidRPr="00657054">
        <w:rPr>
          <w:lang w:val="en-GB"/>
        </w:rPr>
        <w:t xml:space="preserve"> contained the new proposed test procedure to measure evaporative emission</w:t>
      </w:r>
      <w:r w:rsidRPr="00657054">
        <w:rPr>
          <w:lang w:val="en-GB" w:eastAsia="ja-JP"/>
        </w:rPr>
        <w:t xml:space="preserve"> </w:t>
      </w:r>
      <w:r w:rsidRPr="00657054">
        <w:rPr>
          <w:lang w:val="en-GB"/>
        </w:rPr>
        <w:t xml:space="preserve">from </w:t>
      </w:r>
      <w:r w:rsidRPr="00657054">
        <w:rPr>
          <w:lang w:val="en-GB" w:eastAsia="ja-JP"/>
        </w:rPr>
        <w:t>non-sealed fuel tank systems</w:t>
      </w:r>
      <w:r w:rsidRPr="00657054">
        <w:rPr>
          <w:lang w:val="en-GB"/>
        </w:rPr>
        <w:t>.</w:t>
      </w:r>
    </w:p>
    <w:p w14:paraId="5219D8B3" w14:textId="71452C48" w:rsidR="007A5ACA" w:rsidRPr="00657054" w:rsidRDefault="007A5ACA" w:rsidP="007A5ACA">
      <w:pPr>
        <w:pStyle w:val="SingleTxtG"/>
        <w:tabs>
          <w:tab w:val="left" w:pos="1701"/>
        </w:tabs>
        <w:rPr>
          <w:lang w:val="en-GB" w:eastAsia="ja-JP"/>
        </w:rPr>
      </w:pPr>
      <w:r w:rsidRPr="00657054">
        <w:rPr>
          <w:lang w:val="en-GB" w:eastAsia="ja-JP"/>
        </w:rPr>
        <w:t>3.</w:t>
      </w:r>
      <w:r w:rsidRPr="00657054">
        <w:rPr>
          <w:lang w:val="en-GB" w:eastAsia="ja-JP"/>
        </w:rPr>
        <w:tab/>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449B33A1" w14:textId="217D28BA" w:rsidR="007A5ACA" w:rsidRPr="00657054" w:rsidRDefault="007A5ACA" w:rsidP="007A5ACA">
      <w:pPr>
        <w:pStyle w:val="SingleTxtG"/>
        <w:tabs>
          <w:tab w:val="left" w:pos="1701"/>
        </w:tabs>
        <w:rPr>
          <w:lang w:val="en-GB" w:eastAsia="ja-JP"/>
        </w:rPr>
      </w:pPr>
      <w:r w:rsidRPr="00657054">
        <w:rPr>
          <w:lang w:val="en-GB" w:eastAsia="ja-JP"/>
        </w:rPr>
        <w:t>4.</w:t>
      </w:r>
      <w:r w:rsidRPr="00657054">
        <w:rPr>
          <w:lang w:val="en-GB" w:eastAsia="ja-JP"/>
        </w:rPr>
        <w:tab/>
        <w:t>From late 2016 to</w:t>
      </w:r>
      <w:r w:rsidRPr="00657054">
        <w:rPr>
          <w:lang w:val="en-GB"/>
        </w:rPr>
        <w:t xml:space="preserve"> </w:t>
      </w:r>
      <w:r w:rsidRPr="00657054">
        <w:rPr>
          <w:lang w:val="en-GB" w:eastAsia="ja-JP"/>
        </w:rPr>
        <w:t>September</w:t>
      </w:r>
      <w:r w:rsidRPr="00657054">
        <w:rPr>
          <w:lang w:val="en-GB"/>
        </w:rPr>
        <w:t xml:space="preserve"> 2017</w:t>
      </w:r>
      <w:r w:rsidRPr="00657054">
        <w:rPr>
          <w:lang w:val="en-GB" w:eastAsia="ja-JP"/>
        </w:rPr>
        <w:t>, thirteen meetings (including three face-to-face meetings and two drafting meetings) were held and</w:t>
      </w:r>
      <w:r w:rsidRPr="00657054">
        <w:rPr>
          <w:lang w:val="en-GB"/>
        </w:rPr>
        <w:t xml:space="preserve"> the WLTP EVAP task force worked to include a test procedure covering </w:t>
      </w:r>
      <w:r w:rsidRPr="00657054">
        <w:rPr>
          <w:lang w:val="en-GB" w:eastAsia="ja-JP"/>
        </w:rPr>
        <w:t xml:space="preserve">the </w:t>
      </w:r>
      <w:r w:rsidRPr="00657054">
        <w:rPr>
          <w:lang w:val="en-GB"/>
        </w:rPr>
        <w:t>sealed</w:t>
      </w:r>
      <w:r w:rsidRPr="00657054">
        <w:rPr>
          <w:lang w:val="en-GB" w:eastAsia="ja-JP"/>
        </w:rPr>
        <w:t xml:space="preserve"> fuel</w:t>
      </w:r>
      <w:r w:rsidRPr="00657054">
        <w:rPr>
          <w:lang w:val="en-GB"/>
        </w:rPr>
        <w:t xml:space="preserve"> tank</w:t>
      </w:r>
      <w:r w:rsidRPr="00657054">
        <w:rPr>
          <w:lang w:val="en-GB" w:eastAsia="ja-JP"/>
        </w:rPr>
        <w:t xml:space="preserve"> system</w:t>
      </w:r>
      <w:r w:rsidRPr="00657054">
        <w:rPr>
          <w:lang w:val="en-GB"/>
        </w:rPr>
        <w:t>s</w:t>
      </w:r>
      <w:r w:rsidRPr="00657054">
        <w:rPr>
          <w:lang w:val="en-GB" w:eastAsia="ja-JP"/>
        </w:rPr>
        <w:t xml:space="preserve"> </w:t>
      </w:r>
      <w:r w:rsidRPr="00657054">
        <w:rPr>
          <w:lang w:val="en-GB"/>
        </w:rPr>
        <w:t xml:space="preserve">in UN GTR No. 19. </w:t>
      </w:r>
      <w:r w:rsidRPr="00657054">
        <w:rPr>
          <w:lang w:val="en-GB" w:eastAsia="ja-JP"/>
        </w:rPr>
        <w:t>These systems are expected to be used in the hybrid electric vehicles driven mainly by electric engines and in the future conventional vehicles.</w:t>
      </w:r>
    </w:p>
    <w:p w14:paraId="111870D9" w14:textId="77777777" w:rsidR="007A5ACA" w:rsidRPr="00657054" w:rsidRDefault="007A5ACA" w:rsidP="007A5ACA">
      <w:pPr>
        <w:pStyle w:val="SingleTxtG"/>
        <w:tabs>
          <w:tab w:val="left" w:pos="1701"/>
        </w:tabs>
        <w:rPr>
          <w:lang w:val="en-GB" w:eastAsia="ja-JP"/>
        </w:rPr>
      </w:pPr>
      <w:r w:rsidRPr="00657054">
        <w:rPr>
          <w:lang w:val="en-GB" w:eastAsia="ja-JP"/>
        </w:rPr>
        <w:t>5.</w:t>
      </w:r>
      <w:r w:rsidRPr="00657054">
        <w:rPr>
          <w:lang w:val="en-GB" w:eastAsia="ja-JP"/>
        </w:rPr>
        <w:tab/>
        <w:t>Amendment 1 to UN GTR No. 19 complements the text of the UN GTR</w:t>
      </w:r>
      <w:r w:rsidRPr="00657054">
        <w:rPr>
          <w:lang w:val="en-GB"/>
        </w:rPr>
        <w:t xml:space="preserve"> </w:t>
      </w:r>
      <w:r w:rsidRPr="00657054">
        <w:rPr>
          <w:lang w:val="en-GB" w:eastAsia="ja-JP"/>
        </w:rPr>
        <w:t xml:space="preserve">not only </w:t>
      </w:r>
      <w:r w:rsidRPr="00657054">
        <w:rPr>
          <w:lang w:val="en-GB"/>
        </w:rPr>
        <w:t>by adding description</w:t>
      </w:r>
      <w:r w:rsidRPr="00657054">
        <w:rPr>
          <w:lang w:val="en-GB" w:eastAsia="ja-JP"/>
        </w:rPr>
        <w:t>s</w:t>
      </w:r>
      <w:r w:rsidRPr="00657054">
        <w:rPr>
          <w:lang w:val="en-GB"/>
        </w:rPr>
        <w:t xml:space="preserve"> of the test procedure for sealed </w:t>
      </w:r>
      <w:r w:rsidRPr="00657054">
        <w:rPr>
          <w:lang w:val="en-GB" w:eastAsia="ja-JP"/>
        </w:rPr>
        <w:t xml:space="preserve">fuel </w:t>
      </w:r>
      <w:r w:rsidRPr="00657054">
        <w:rPr>
          <w:lang w:val="en-GB"/>
        </w:rPr>
        <w:t>tank</w:t>
      </w:r>
      <w:r w:rsidRPr="00657054">
        <w:rPr>
          <w:lang w:val="en-GB" w:eastAsia="ja-JP"/>
        </w:rPr>
        <w:t xml:space="preserve"> system</w:t>
      </w:r>
      <w:r w:rsidRPr="00657054">
        <w:rPr>
          <w:lang w:val="en-GB"/>
        </w:rPr>
        <w:t>s</w:t>
      </w:r>
      <w:r w:rsidRPr="00657054">
        <w:rPr>
          <w:lang w:val="en-GB" w:eastAsia="ja-JP"/>
        </w:rPr>
        <w:t xml:space="preserve"> but also by adding other provisions related to non-sealed fuel tank systems which were raised along the discussions on sealed fuel tank systems</w:t>
      </w:r>
      <w:r w:rsidRPr="00657054">
        <w:rPr>
          <w:lang w:val="en-GB"/>
        </w:rPr>
        <w:t>.</w:t>
      </w:r>
    </w:p>
    <w:p w14:paraId="27E5F6CF" w14:textId="71D96743" w:rsidR="000B5EEE" w:rsidRDefault="007A5ACA" w:rsidP="007C25A3">
      <w:pPr>
        <w:pStyle w:val="SingleTxtG"/>
        <w:rPr>
          <w:lang w:val="en-GB" w:eastAsia="ja-JP"/>
        </w:rPr>
      </w:pPr>
      <w:r w:rsidRPr="007A5ACA">
        <w:rPr>
          <w:lang w:val="en-GB" w:eastAsia="ja-JP"/>
        </w:rPr>
        <w:t>6.</w:t>
      </w:r>
      <w:r w:rsidRPr="007A5ACA">
        <w:rPr>
          <w:lang w:val="en-GB" w:eastAsia="ja-JP"/>
        </w:rPr>
        <w:tab/>
      </w:r>
      <w:r w:rsidR="000B5EEE">
        <w:rPr>
          <w:rFonts w:hint="eastAsia"/>
          <w:lang w:val="en-GB" w:eastAsia="ja-JP"/>
        </w:rPr>
        <w:t xml:space="preserve">From April to September 2018, four meetings (including one drafting meeting) were held and the WLTP EVAP task force worked to include </w:t>
      </w:r>
      <w:r w:rsidR="0018731B">
        <w:rPr>
          <w:rFonts w:hint="eastAsia"/>
          <w:lang w:val="en-GB" w:eastAsia="ja-JP"/>
        </w:rPr>
        <w:t>the calibration requirements and intervals for test equipment, and the equation for the</w:t>
      </w:r>
      <w:r w:rsidR="000B5EEE">
        <w:rPr>
          <w:rFonts w:hint="eastAsia"/>
          <w:lang w:val="en-GB" w:eastAsia="ja-JP"/>
        </w:rPr>
        <w:t xml:space="preserve"> variable-volume </w:t>
      </w:r>
      <w:r w:rsidR="0018731B">
        <w:rPr>
          <w:rFonts w:hint="eastAsia"/>
          <w:lang w:val="en-GB" w:eastAsia="ja-JP"/>
        </w:rPr>
        <w:t>enclosures</w:t>
      </w:r>
      <w:r w:rsidR="00C257E1">
        <w:rPr>
          <w:rFonts w:hint="eastAsia"/>
          <w:lang w:val="en-GB" w:eastAsia="ja-JP"/>
        </w:rPr>
        <w:t xml:space="preserve"> in UN</w:t>
      </w:r>
      <w:r w:rsidR="00C257E1">
        <w:rPr>
          <w:lang w:val="en-US" w:eastAsia="ja-JP"/>
        </w:rPr>
        <w:t> </w:t>
      </w:r>
      <w:r w:rsidR="00C257E1">
        <w:rPr>
          <w:rFonts w:hint="eastAsia"/>
          <w:lang w:val="en-GB" w:eastAsia="ja-JP"/>
        </w:rPr>
        <w:t>GTR No. 19</w:t>
      </w:r>
      <w:r w:rsidR="0018731B">
        <w:rPr>
          <w:rFonts w:hint="eastAsia"/>
          <w:lang w:val="en-GB" w:eastAsia="ja-JP"/>
        </w:rPr>
        <w:t>. Also, improvements to clarify the requirements were made.</w:t>
      </w:r>
    </w:p>
    <w:p w14:paraId="71ADE1A3" w14:textId="05C0B667" w:rsidR="007A5ACA" w:rsidRPr="007A5ACA" w:rsidRDefault="000B5EEE" w:rsidP="007C25A3">
      <w:pPr>
        <w:pStyle w:val="SingleTxtG"/>
        <w:rPr>
          <w:lang w:val="en-GB" w:eastAsia="ja-JP"/>
        </w:rPr>
      </w:pPr>
      <w:r>
        <w:rPr>
          <w:rFonts w:hint="eastAsia"/>
          <w:lang w:val="en-GB" w:eastAsia="ja-JP"/>
        </w:rPr>
        <w:t>7.</w:t>
      </w:r>
      <w:r>
        <w:rPr>
          <w:rFonts w:hint="eastAsia"/>
          <w:lang w:val="en-GB" w:eastAsia="ja-JP"/>
        </w:rPr>
        <w:tab/>
      </w:r>
      <w:r w:rsidR="007A5ACA" w:rsidRPr="007A5ACA">
        <w:rPr>
          <w:lang w:val="en-GB" w:eastAsia="ja-JP"/>
        </w:rPr>
        <w:t xml:space="preserve">The discussions of Amendment </w:t>
      </w:r>
      <w:r>
        <w:rPr>
          <w:rFonts w:hint="eastAsia"/>
          <w:lang w:val="en-GB" w:eastAsia="ja-JP"/>
        </w:rPr>
        <w:t>2</w:t>
      </w:r>
      <w:r w:rsidR="007A5ACA" w:rsidRPr="007A5ACA">
        <w:rPr>
          <w:lang w:val="en-GB" w:eastAsia="ja-JP"/>
        </w:rPr>
        <w:t xml:space="preserve"> were led by experts from Japan (Ms. Mayumi "Sophie" Morimoto) and the European Commission's Joint Research </w:t>
      </w:r>
      <w:r w:rsidR="00EC22F1" w:rsidRPr="007A5ACA">
        <w:rPr>
          <w:lang w:val="en-GB" w:eastAsia="ja-JP"/>
        </w:rPr>
        <w:t>Centre</w:t>
      </w:r>
      <w:r w:rsidR="007A5ACA" w:rsidRPr="007A5ACA">
        <w:rPr>
          <w:lang w:val="en-GB" w:eastAsia="ja-JP"/>
        </w:rPr>
        <w:t xml:space="preserve"> (Giorgio Martini). The drafting of the text was led by the expert</w:t>
      </w:r>
      <w:r w:rsidR="009C6048">
        <w:rPr>
          <w:rFonts w:hint="eastAsia"/>
          <w:lang w:val="en-GB" w:eastAsia="ja-JP"/>
        </w:rPr>
        <w:t>s</w:t>
      </w:r>
      <w:r w:rsidR="007A5ACA" w:rsidRPr="007A5ACA">
        <w:rPr>
          <w:lang w:val="en-GB" w:eastAsia="ja-JP"/>
        </w:rPr>
        <w:t xml:space="preserve"> from the European Commission (Serge Dubuc</w:t>
      </w:r>
      <w:r>
        <w:rPr>
          <w:rFonts w:hint="eastAsia"/>
          <w:lang w:val="en-GB" w:eastAsia="ja-JP"/>
        </w:rPr>
        <w:t xml:space="preserve"> and Rob Gardner</w:t>
      </w:r>
      <w:r w:rsidR="007A5ACA" w:rsidRPr="007A5ACA">
        <w:rPr>
          <w:lang w:val="en-GB" w:eastAsia="ja-JP"/>
        </w:rPr>
        <w:t>).</w:t>
      </w:r>
    </w:p>
    <w:p w14:paraId="36B61BE2" w14:textId="77777777" w:rsidR="007A5ACA" w:rsidRPr="007A5ACA" w:rsidRDefault="007A5ACA" w:rsidP="007A5ACA">
      <w:pPr>
        <w:ind w:right="567" w:hanging="3261"/>
        <w:rPr>
          <w:lang w:val="en-GB" w:eastAsia="ja-JP"/>
        </w:rPr>
      </w:pPr>
      <w:r w:rsidRPr="007A5ACA">
        <w:rPr>
          <w:lang w:val="en-GB"/>
        </w:rPr>
        <w:t xml:space="preserve">  </w:t>
      </w:r>
      <w:bookmarkStart w:id="1" w:name="_Toc375478000"/>
      <w:bookmarkStart w:id="2" w:name="_Toc375478481"/>
      <w:bookmarkStart w:id="3" w:name="_Toc375478001"/>
      <w:bookmarkStart w:id="4" w:name="_Toc375478482"/>
      <w:bookmarkStart w:id="5" w:name="_Toc375478002"/>
      <w:bookmarkStart w:id="6" w:name="_Toc375478483"/>
      <w:bookmarkStart w:id="7" w:name="_Toc465622101"/>
      <w:bookmarkStart w:id="8" w:name="_Toc465622249"/>
      <w:bookmarkStart w:id="9" w:name="_Toc465622103"/>
      <w:bookmarkStart w:id="10" w:name="_Toc465622251"/>
      <w:bookmarkStart w:id="11" w:name="_Toc465622104"/>
      <w:bookmarkStart w:id="12" w:name="_Toc465622252"/>
      <w:bookmarkStart w:id="13" w:name="_Toc465622105"/>
      <w:bookmarkStart w:id="14" w:name="_Toc465622253"/>
      <w:bookmarkStart w:id="15" w:name="_Toc465622106"/>
      <w:bookmarkStart w:id="16" w:name="_Toc465622254"/>
      <w:bookmarkStart w:id="17" w:name="_Toc465622107"/>
      <w:bookmarkStart w:id="18" w:name="_Toc465622255"/>
      <w:bookmarkStart w:id="19" w:name="_Toc465622108"/>
      <w:bookmarkStart w:id="20" w:name="_Toc465622256"/>
      <w:bookmarkStart w:id="21" w:name="_Toc465622109"/>
      <w:bookmarkStart w:id="22" w:name="_Toc465622257"/>
      <w:bookmarkStart w:id="23" w:name="_Toc465622110"/>
      <w:bookmarkStart w:id="24" w:name="_Toc465622258"/>
      <w:bookmarkStart w:id="25" w:name="_Toc465622111"/>
      <w:bookmarkStart w:id="26" w:name="_Toc465622259"/>
      <w:bookmarkStart w:id="27" w:name="_Toc465622112"/>
      <w:bookmarkStart w:id="28" w:name="_Toc465622260"/>
      <w:bookmarkStart w:id="29" w:name="_Toc465622113"/>
      <w:bookmarkStart w:id="30" w:name="_Toc465622261"/>
      <w:bookmarkStart w:id="31" w:name="_Toc465622114"/>
      <w:bookmarkStart w:id="32" w:name="_Toc465622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35875B6" w14:textId="6A02F0A2" w:rsidR="007A5ACA" w:rsidRPr="000E5588" w:rsidRDefault="007A5ACA" w:rsidP="007C25A3">
      <w:pPr>
        <w:pStyle w:val="HChG"/>
        <w:rPr>
          <w:lang w:val="en-GB" w:eastAsia="ja-JP"/>
        </w:rPr>
      </w:pPr>
      <w:bookmarkStart w:id="33" w:name="_Toc353452936"/>
      <w:bookmarkStart w:id="34" w:name="_Toc435001998"/>
      <w:bookmarkStart w:id="35" w:name="_Toc465622265"/>
      <w:r>
        <w:rPr>
          <w:rFonts w:eastAsiaTheme="minorEastAsia"/>
          <w:lang w:val="en-US"/>
        </w:rPr>
        <w:tab/>
      </w:r>
      <w:r w:rsidRPr="007A5ACA">
        <w:rPr>
          <w:rFonts w:eastAsiaTheme="minorEastAsia"/>
          <w:lang w:val="en-GB"/>
        </w:rPr>
        <w:t>II.</w:t>
      </w:r>
      <w:r>
        <w:rPr>
          <w:rFonts w:eastAsiaTheme="minorEastAsia"/>
          <w:lang w:val="en-US"/>
        </w:rPr>
        <w:tab/>
      </w:r>
      <w:bookmarkEnd w:id="33"/>
      <w:bookmarkEnd w:id="34"/>
      <w:bookmarkEnd w:id="35"/>
      <w:r w:rsidR="000E5588">
        <w:rPr>
          <w:rFonts w:hint="eastAsia"/>
          <w:lang w:val="en-GB" w:eastAsia="ja-JP"/>
        </w:rPr>
        <w:t>Text improvements</w:t>
      </w:r>
    </w:p>
    <w:p w14:paraId="73A87AF7" w14:textId="77777777" w:rsidR="007A5ACA" w:rsidRPr="007A5ACA" w:rsidRDefault="007A5ACA" w:rsidP="007A5ACA">
      <w:pPr>
        <w:pStyle w:val="H1G"/>
        <w:rPr>
          <w:i/>
          <w:lang w:val="en-GB"/>
        </w:rPr>
      </w:pPr>
      <w:bookmarkStart w:id="36" w:name="_Toc375478034"/>
      <w:bookmarkStart w:id="37" w:name="_Toc375478504"/>
      <w:bookmarkStart w:id="38" w:name="_Toc435001999"/>
      <w:bookmarkStart w:id="39" w:name="_Toc465622266"/>
      <w:bookmarkEnd w:id="36"/>
      <w:bookmarkEnd w:id="37"/>
      <w:r w:rsidRPr="007A5ACA">
        <w:rPr>
          <w:lang w:val="en-GB"/>
        </w:rPr>
        <w:tab/>
        <w:t>A.</w:t>
      </w:r>
      <w:bookmarkEnd w:id="38"/>
      <w:bookmarkEnd w:id="39"/>
      <w:r w:rsidRPr="007A5ACA">
        <w:rPr>
          <w:lang w:val="en-GB"/>
        </w:rPr>
        <w:tab/>
        <w:t>Objectives</w:t>
      </w:r>
    </w:p>
    <w:p w14:paraId="449E2B87" w14:textId="52594668" w:rsidR="007A5ACA" w:rsidRDefault="000E5588" w:rsidP="000E5588">
      <w:pPr>
        <w:pStyle w:val="SingleTxtG"/>
        <w:tabs>
          <w:tab w:val="left" w:pos="1701"/>
        </w:tabs>
        <w:rPr>
          <w:lang w:val="en-GB" w:eastAsia="ja-JP"/>
        </w:rPr>
      </w:pPr>
      <w:r>
        <w:rPr>
          <w:rFonts w:hint="eastAsia"/>
          <w:lang w:val="en-GB" w:eastAsia="ja-JP"/>
        </w:rPr>
        <w:t>8</w:t>
      </w:r>
      <w:r w:rsidR="007A5ACA" w:rsidRPr="007A5ACA">
        <w:rPr>
          <w:lang w:val="en-GB"/>
        </w:rPr>
        <w:t>.</w:t>
      </w:r>
      <w:r w:rsidR="007A5ACA" w:rsidRPr="007A5ACA">
        <w:rPr>
          <w:lang w:val="en-GB"/>
        </w:rPr>
        <w:tab/>
      </w:r>
      <w:r>
        <w:rPr>
          <w:rFonts w:hint="eastAsia"/>
          <w:lang w:val="en-GB" w:eastAsia="ja-JP"/>
        </w:rPr>
        <w:t>After</w:t>
      </w:r>
      <w:r w:rsidR="009C6048">
        <w:rPr>
          <w:rFonts w:hint="eastAsia"/>
          <w:lang w:val="en-GB" w:eastAsia="ja-JP"/>
        </w:rPr>
        <w:t xml:space="preserve"> the issuance </w:t>
      </w:r>
      <w:r w:rsidR="007540CF">
        <w:rPr>
          <w:lang w:val="en-GB" w:eastAsia="ja-JP"/>
        </w:rPr>
        <w:t xml:space="preserve">of the </w:t>
      </w:r>
      <w:r w:rsidR="009C6048">
        <w:rPr>
          <w:rFonts w:hint="eastAsia"/>
          <w:lang w:val="en-GB" w:eastAsia="ja-JP"/>
        </w:rPr>
        <w:t xml:space="preserve">original </w:t>
      </w:r>
      <w:r w:rsidR="007540CF">
        <w:rPr>
          <w:rFonts w:hint="eastAsia"/>
          <w:lang w:val="en-GB" w:eastAsia="ja-JP"/>
        </w:rPr>
        <w:t>UN GTR No. 19</w:t>
      </w:r>
      <w:r w:rsidR="007540CF">
        <w:rPr>
          <w:lang w:val="en-GB" w:eastAsia="ja-JP"/>
        </w:rPr>
        <w:t xml:space="preserve"> </w:t>
      </w:r>
      <w:r w:rsidR="009C6048">
        <w:rPr>
          <w:rFonts w:hint="eastAsia"/>
          <w:lang w:val="en-GB" w:eastAsia="ja-JP"/>
        </w:rPr>
        <w:t>and Amendment 1 to</w:t>
      </w:r>
      <w:r w:rsidR="007540CF">
        <w:rPr>
          <w:lang w:val="en-GB" w:eastAsia="ja-JP"/>
        </w:rPr>
        <w:t xml:space="preserve"> it</w:t>
      </w:r>
      <w:r w:rsidR="009C6048">
        <w:rPr>
          <w:rFonts w:hint="eastAsia"/>
          <w:lang w:val="en-GB" w:eastAsia="ja-JP"/>
        </w:rPr>
        <w:t>, certification tests started in Europe. During those certification tests using</w:t>
      </w:r>
      <w:r>
        <w:rPr>
          <w:rFonts w:hint="eastAsia"/>
          <w:lang w:val="en-GB" w:eastAsia="ja-JP"/>
        </w:rPr>
        <w:t xml:space="preserve"> </w:t>
      </w:r>
      <w:r w:rsidR="009C6048">
        <w:rPr>
          <w:rFonts w:hint="eastAsia"/>
          <w:lang w:val="en-GB" w:eastAsia="ja-JP"/>
        </w:rPr>
        <w:t xml:space="preserve">this </w:t>
      </w:r>
      <w:r w:rsidR="007540CF">
        <w:rPr>
          <w:rFonts w:hint="eastAsia"/>
          <w:lang w:val="en-GB" w:eastAsia="ja-JP"/>
        </w:rPr>
        <w:t>new GTR</w:t>
      </w:r>
      <w:r w:rsidR="007540CF">
        <w:rPr>
          <w:lang w:val="en-GB" w:eastAsia="ja-JP"/>
        </w:rPr>
        <w:t>-</w:t>
      </w:r>
      <w:r w:rsidR="009C6048">
        <w:rPr>
          <w:rFonts w:hint="eastAsia"/>
          <w:lang w:val="en-GB" w:eastAsia="ja-JP"/>
        </w:rPr>
        <w:t xml:space="preserve">based </w:t>
      </w:r>
      <w:r>
        <w:rPr>
          <w:rFonts w:hint="eastAsia"/>
          <w:lang w:val="en-GB" w:eastAsia="ja-JP"/>
        </w:rPr>
        <w:t>procedures, several issues which need</w:t>
      </w:r>
      <w:r w:rsidR="007540CF">
        <w:rPr>
          <w:lang w:val="en-GB" w:eastAsia="ja-JP"/>
        </w:rPr>
        <w:t>ed</w:t>
      </w:r>
      <w:r>
        <w:rPr>
          <w:rFonts w:hint="eastAsia"/>
          <w:lang w:val="en-GB" w:eastAsia="ja-JP"/>
        </w:rPr>
        <w:t xml:space="preserve"> improvements of the GTR text were </w:t>
      </w:r>
      <w:r>
        <w:rPr>
          <w:rFonts w:hint="eastAsia"/>
          <w:lang w:val="en-GB" w:eastAsia="ja-JP"/>
        </w:rPr>
        <w:lastRenderedPageBreak/>
        <w:t xml:space="preserve">identified. These issues were </w:t>
      </w:r>
      <w:r w:rsidR="00431DFD">
        <w:rPr>
          <w:rFonts w:hint="eastAsia"/>
          <w:lang w:val="en-GB" w:eastAsia="ja-JP"/>
        </w:rPr>
        <w:t xml:space="preserve">mostly </w:t>
      </w:r>
      <w:r>
        <w:rPr>
          <w:rFonts w:hint="eastAsia"/>
          <w:lang w:val="en-GB" w:eastAsia="ja-JP"/>
        </w:rPr>
        <w:t xml:space="preserve">caused by </w:t>
      </w:r>
      <w:r w:rsidR="00431DFD">
        <w:rPr>
          <w:lang w:val="en-GB" w:eastAsia="ja-JP"/>
        </w:rPr>
        <w:t>misinterpretation</w:t>
      </w:r>
      <w:r w:rsidR="00431DFD">
        <w:rPr>
          <w:rFonts w:hint="eastAsia"/>
          <w:lang w:val="en-GB" w:eastAsia="ja-JP"/>
        </w:rPr>
        <w:t xml:space="preserve"> from </w:t>
      </w:r>
      <w:r>
        <w:rPr>
          <w:rFonts w:hint="eastAsia"/>
          <w:lang w:val="en-GB" w:eastAsia="ja-JP"/>
        </w:rPr>
        <w:t>mis</w:t>
      </w:r>
      <w:r w:rsidR="00431DFD">
        <w:rPr>
          <w:rFonts w:hint="eastAsia"/>
          <w:lang w:val="en-GB" w:eastAsia="ja-JP"/>
        </w:rPr>
        <w:t>sing equation and explanation</w:t>
      </w:r>
      <w:r w:rsidR="007540CF">
        <w:rPr>
          <w:lang w:val="en-GB" w:eastAsia="ja-JP"/>
        </w:rPr>
        <w:t>s</w:t>
      </w:r>
      <w:r w:rsidR="00431DFD">
        <w:rPr>
          <w:rFonts w:hint="eastAsia"/>
          <w:lang w:val="en-GB" w:eastAsia="ja-JP"/>
        </w:rPr>
        <w:t xml:space="preserve"> in the text.</w:t>
      </w:r>
    </w:p>
    <w:p w14:paraId="1C8C97D4" w14:textId="7944C4B5" w:rsidR="00431DFD" w:rsidRPr="007A5ACA" w:rsidRDefault="00431DFD" w:rsidP="000E5588">
      <w:pPr>
        <w:pStyle w:val="SingleTxtG"/>
        <w:tabs>
          <w:tab w:val="left" w:pos="1701"/>
        </w:tabs>
        <w:rPr>
          <w:lang w:val="en-GB" w:eastAsia="ja-JP"/>
        </w:rPr>
      </w:pPr>
      <w:r>
        <w:rPr>
          <w:rFonts w:hint="eastAsia"/>
          <w:lang w:val="en-GB" w:eastAsia="ja-JP"/>
        </w:rPr>
        <w:t>9.</w:t>
      </w:r>
      <w:r>
        <w:rPr>
          <w:rFonts w:hint="eastAsia"/>
          <w:lang w:val="en-GB" w:eastAsia="ja-JP"/>
        </w:rPr>
        <w:tab/>
        <w:t xml:space="preserve">Therefore, </w:t>
      </w:r>
      <w:r w:rsidR="003F67BB">
        <w:rPr>
          <w:rFonts w:hint="eastAsia"/>
          <w:lang w:val="en-US" w:eastAsia="ja-JP"/>
        </w:rPr>
        <w:t>WLTP IWG decided to keep EVAP task force active to solve those issues</w:t>
      </w:r>
      <w:r>
        <w:rPr>
          <w:rFonts w:hint="eastAsia"/>
          <w:lang w:val="en-GB" w:eastAsia="ja-JP"/>
        </w:rPr>
        <w:t>.</w:t>
      </w:r>
    </w:p>
    <w:p w14:paraId="02F8B28A" w14:textId="09AB0408" w:rsidR="007A5ACA" w:rsidRPr="007A5ACA" w:rsidRDefault="007A5ACA" w:rsidP="007A5ACA">
      <w:pPr>
        <w:pStyle w:val="H1G"/>
        <w:rPr>
          <w:lang w:val="en-GB" w:eastAsia="ja-JP"/>
        </w:rPr>
      </w:pPr>
      <w:bookmarkStart w:id="40" w:name="_Toc435002000"/>
      <w:bookmarkStart w:id="41" w:name="_Toc465622267"/>
      <w:r w:rsidRPr="007A5ACA">
        <w:rPr>
          <w:lang w:val="en-GB"/>
        </w:rPr>
        <w:tab/>
        <w:t>B.</w:t>
      </w:r>
      <w:r w:rsidRPr="007A5ACA">
        <w:rPr>
          <w:lang w:val="en-GB"/>
        </w:rPr>
        <w:tab/>
      </w:r>
      <w:bookmarkEnd w:id="40"/>
      <w:bookmarkEnd w:id="41"/>
      <w:r w:rsidR="000E5588">
        <w:rPr>
          <w:rFonts w:hint="eastAsia"/>
          <w:lang w:val="en-GB" w:eastAsia="ja-JP"/>
        </w:rPr>
        <w:t>Topics discussed</w:t>
      </w:r>
    </w:p>
    <w:p w14:paraId="19E5F91B" w14:textId="0CA1CD78" w:rsidR="007A5ACA" w:rsidRPr="007A5ACA" w:rsidRDefault="007A5ACA" w:rsidP="007A5ACA">
      <w:pPr>
        <w:tabs>
          <w:tab w:val="left" w:pos="1701"/>
        </w:tabs>
        <w:spacing w:after="120"/>
        <w:ind w:left="1134" w:right="1134"/>
        <w:jc w:val="both"/>
        <w:rPr>
          <w:lang w:val="en-GB" w:eastAsia="ja-JP"/>
        </w:rPr>
      </w:pPr>
      <w:r w:rsidRPr="007A5ACA">
        <w:rPr>
          <w:lang w:val="en-GB" w:eastAsia="ja-JP"/>
        </w:rPr>
        <w:t>1</w:t>
      </w:r>
      <w:r w:rsidR="0018731B">
        <w:rPr>
          <w:rFonts w:hint="eastAsia"/>
          <w:lang w:val="en-GB" w:eastAsia="ja-JP"/>
        </w:rPr>
        <w:t>0</w:t>
      </w:r>
      <w:r w:rsidRPr="007A5ACA">
        <w:rPr>
          <w:lang w:val="en-GB" w:eastAsia="ja-JP"/>
        </w:rPr>
        <w:t>.</w:t>
      </w:r>
      <w:r w:rsidRPr="007A5ACA">
        <w:rPr>
          <w:lang w:val="en-GB" w:eastAsia="ja-JP"/>
        </w:rPr>
        <w:tab/>
        <w:t>The following points were discussed during WLTP EVAP task force meetings:</w:t>
      </w:r>
    </w:p>
    <w:p w14:paraId="2692314B" w14:textId="0623FE95" w:rsidR="007A5ACA" w:rsidRPr="0018731B" w:rsidRDefault="007A5ACA" w:rsidP="007A5ACA">
      <w:pPr>
        <w:pStyle w:val="Bullet1G"/>
        <w:numPr>
          <w:ilvl w:val="0"/>
          <w:numId w:val="0"/>
        </w:numPr>
        <w:ind w:left="1701"/>
        <w:rPr>
          <w:lang w:val="en-GB"/>
        </w:rPr>
      </w:pPr>
      <w:r w:rsidRPr="007A5ACA">
        <w:rPr>
          <w:rFonts w:eastAsiaTheme="minorEastAsia"/>
          <w:lang w:val="en-GB" w:eastAsia="ja-JP"/>
        </w:rPr>
        <w:t>(a)</w:t>
      </w:r>
      <w:r w:rsidRPr="007A5ACA">
        <w:rPr>
          <w:rFonts w:eastAsiaTheme="minorEastAsia"/>
          <w:lang w:val="en-GB" w:eastAsia="ja-JP"/>
        </w:rPr>
        <w:tab/>
      </w:r>
      <w:r w:rsidR="0018731B">
        <w:rPr>
          <w:rFonts w:hint="eastAsia"/>
          <w:lang w:val="en-GB" w:eastAsia="ja-JP"/>
        </w:rPr>
        <w:t>Calibration requirements and intervals for test equipment</w:t>
      </w:r>
    </w:p>
    <w:p w14:paraId="45C4B5D0" w14:textId="101EBC21" w:rsidR="007A5ACA" w:rsidRDefault="007A5ACA" w:rsidP="007A5ACA">
      <w:pPr>
        <w:pStyle w:val="Bullet1G"/>
        <w:numPr>
          <w:ilvl w:val="0"/>
          <w:numId w:val="0"/>
        </w:numPr>
        <w:ind w:left="1701"/>
        <w:rPr>
          <w:lang w:val="en-GB" w:eastAsia="ja-JP"/>
        </w:rPr>
      </w:pPr>
      <w:r w:rsidRPr="007A5ACA">
        <w:rPr>
          <w:rFonts w:eastAsiaTheme="minorEastAsia"/>
          <w:lang w:val="en-GB" w:eastAsia="ja-JP"/>
        </w:rPr>
        <w:t>(b)</w:t>
      </w:r>
      <w:r w:rsidRPr="007A5ACA">
        <w:rPr>
          <w:rFonts w:eastAsiaTheme="minorEastAsia"/>
          <w:lang w:val="en-GB" w:eastAsia="ja-JP"/>
        </w:rPr>
        <w:tab/>
      </w:r>
      <w:r w:rsidR="0018731B">
        <w:rPr>
          <w:rFonts w:hint="eastAsia"/>
          <w:lang w:val="en-GB" w:eastAsia="ja-JP"/>
        </w:rPr>
        <w:t>Equation for the variable-volume enclosures</w:t>
      </w:r>
    </w:p>
    <w:p w14:paraId="41F54A56" w14:textId="64832501" w:rsidR="0006251D" w:rsidRDefault="0018731B" w:rsidP="007A5ACA">
      <w:pPr>
        <w:pStyle w:val="Bullet1G"/>
        <w:numPr>
          <w:ilvl w:val="0"/>
          <w:numId w:val="0"/>
        </w:numPr>
        <w:ind w:left="1701"/>
        <w:rPr>
          <w:lang w:val="en-GB" w:eastAsia="ja-JP"/>
        </w:rPr>
      </w:pPr>
      <w:r>
        <w:rPr>
          <w:rFonts w:hint="eastAsia"/>
          <w:lang w:val="en-GB" w:eastAsia="ja-JP"/>
        </w:rPr>
        <w:t>(c)</w:t>
      </w:r>
      <w:r>
        <w:rPr>
          <w:rFonts w:hint="eastAsia"/>
          <w:lang w:val="en-GB" w:eastAsia="ja-JP"/>
        </w:rPr>
        <w:tab/>
      </w:r>
      <w:r w:rsidR="0006251D">
        <w:rPr>
          <w:rFonts w:hint="eastAsia"/>
          <w:lang w:val="en-GB" w:eastAsia="ja-JP"/>
        </w:rPr>
        <w:t>Improvements of the texts</w:t>
      </w:r>
    </w:p>
    <w:p w14:paraId="724AAA73" w14:textId="7060D26E" w:rsidR="0006251D" w:rsidRDefault="0006251D" w:rsidP="004367AE">
      <w:pPr>
        <w:pStyle w:val="Bullet1G"/>
        <w:numPr>
          <w:ilvl w:val="0"/>
          <w:numId w:val="0"/>
        </w:numPr>
        <w:ind w:left="3000" w:hanging="732"/>
        <w:rPr>
          <w:lang w:val="en-GB" w:eastAsia="ja-JP"/>
        </w:rPr>
      </w:pPr>
      <w:r>
        <w:rPr>
          <w:rFonts w:hint="eastAsia"/>
          <w:lang w:val="en-GB" w:eastAsia="ja-JP"/>
        </w:rPr>
        <w:t>(i)</w:t>
      </w:r>
      <w:r>
        <w:rPr>
          <w:rFonts w:hint="eastAsia"/>
          <w:lang w:val="en-GB" w:eastAsia="ja-JP"/>
        </w:rPr>
        <w:tab/>
        <w:t>Clarification of aged carbon canister</w:t>
      </w:r>
      <w:r w:rsidR="00C85BD6">
        <w:rPr>
          <w:rFonts w:hint="eastAsia"/>
          <w:lang w:val="en-GB" w:eastAsia="ja-JP"/>
        </w:rPr>
        <w:t xml:space="preserve"> and when to install</w:t>
      </w:r>
    </w:p>
    <w:p w14:paraId="4DD4192C" w14:textId="3021C2BC" w:rsidR="0006251D" w:rsidRDefault="0006251D" w:rsidP="004367AE">
      <w:pPr>
        <w:pStyle w:val="Bullet1G"/>
        <w:numPr>
          <w:ilvl w:val="0"/>
          <w:numId w:val="0"/>
        </w:numPr>
        <w:ind w:left="3000" w:hanging="732"/>
        <w:rPr>
          <w:lang w:val="en-GB" w:eastAsia="ja-JP"/>
        </w:rPr>
      </w:pPr>
      <w:r>
        <w:rPr>
          <w:rFonts w:hint="eastAsia"/>
          <w:lang w:val="en-GB" w:eastAsia="ja-JP"/>
        </w:rPr>
        <w:t>(ii)</w:t>
      </w:r>
      <w:r>
        <w:rPr>
          <w:rFonts w:hint="eastAsia"/>
          <w:lang w:val="en-GB" w:eastAsia="ja-JP"/>
        </w:rPr>
        <w:tab/>
        <w:t>Clarification</w:t>
      </w:r>
      <w:r w:rsidR="00C85BD6">
        <w:rPr>
          <w:rFonts w:hint="eastAsia"/>
          <w:lang w:val="en-GB" w:eastAsia="ja-JP"/>
        </w:rPr>
        <w:t xml:space="preserve"> and review </w:t>
      </w:r>
      <w:r>
        <w:rPr>
          <w:rFonts w:hint="eastAsia"/>
          <w:lang w:val="en-GB" w:eastAsia="ja-JP"/>
        </w:rPr>
        <w:t>of test equipment</w:t>
      </w:r>
    </w:p>
    <w:p w14:paraId="57C5D535" w14:textId="1320F21C" w:rsidR="0006251D" w:rsidRDefault="0006251D" w:rsidP="004367AE">
      <w:pPr>
        <w:pStyle w:val="Bullet1G"/>
        <w:numPr>
          <w:ilvl w:val="0"/>
          <w:numId w:val="0"/>
        </w:numPr>
        <w:ind w:left="3000" w:hanging="732"/>
        <w:rPr>
          <w:lang w:val="en-GB" w:eastAsia="ja-JP"/>
        </w:rPr>
      </w:pPr>
      <w:r>
        <w:rPr>
          <w:rFonts w:hint="eastAsia"/>
          <w:lang w:val="en-GB" w:eastAsia="ja-JP"/>
        </w:rPr>
        <w:t>(iii)</w:t>
      </w:r>
      <w:r>
        <w:rPr>
          <w:rFonts w:hint="eastAsia"/>
          <w:lang w:val="en-GB" w:eastAsia="ja-JP"/>
        </w:rPr>
        <w:tab/>
        <w:t xml:space="preserve">Clarification </w:t>
      </w:r>
      <w:r w:rsidR="004367AE">
        <w:rPr>
          <w:rFonts w:hint="eastAsia"/>
          <w:lang w:val="en-GB" w:eastAsia="ja-JP"/>
        </w:rPr>
        <w:t xml:space="preserve">and review </w:t>
      </w:r>
      <w:r>
        <w:rPr>
          <w:rFonts w:hint="eastAsia"/>
          <w:lang w:val="en-GB" w:eastAsia="ja-JP"/>
        </w:rPr>
        <w:t xml:space="preserve">of requirements of </w:t>
      </w:r>
      <w:r w:rsidR="007540CF">
        <w:rPr>
          <w:lang w:val="en-GB" w:eastAsia="ja-JP"/>
        </w:rPr>
        <w:t xml:space="preserve">an </w:t>
      </w:r>
      <w:r>
        <w:rPr>
          <w:rFonts w:hint="eastAsia"/>
          <w:lang w:val="en-GB" w:eastAsia="ja-JP"/>
        </w:rPr>
        <w:t>evaporative emission family</w:t>
      </w:r>
    </w:p>
    <w:p w14:paraId="162F8D3A" w14:textId="41DCBF0D" w:rsidR="0006251D" w:rsidRDefault="0006251D" w:rsidP="004367AE">
      <w:pPr>
        <w:pStyle w:val="Bullet1G"/>
        <w:numPr>
          <w:ilvl w:val="0"/>
          <w:numId w:val="0"/>
        </w:numPr>
        <w:ind w:left="3000" w:hanging="732"/>
        <w:rPr>
          <w:lang w:val="en-GB" w:eastAsia="ja-JP"/>
        </w:rPr>
      </w:pPr>
      <w:r>
        <w:rPr>
          <w:rFonts w:hint="eastAsia"/>
          <w:lang w:val="en-GB" w:eastAsia="ja-JP"/>
        </w:rPr>
        <w:t>(iv)</w:t>
      </w:r>
      <w:r>
        <w:rPr>
          <w:rFonts w:hint="eastAsia"/>
          <w:lang w:val="en-GB" w:eastAsia="ja-JP"/>
        </w:rPr>
        <w:tab/>
      </w:r>
      <w:r w:rsidR="001148C5">
        <w:rPr>
          <w:rFonts w:hint="eastAsia"/>
          <w:lang w:val="en-GB" w:eastAsia="ja-JP"/>
        </w:rPr>
        <w:t>Clarification of "carbon canister"</w:t>
      </w:r>
    </w:p>
    <w:p w14:paraId="28CFC2D1" w14:textId="6764FE89" w:rsidR="003F67BB" w:rsidRPr="0018731B" w:rsidRDefault="003F67BB" w:rsidP="004367AE">
      <w:pPr>
        <w:pStyle w:val="Bullet1G"/>
        <w:numPr>
          <w:ilvl w:val="0"/>
          <w:numId w:val="0"/>
        </w:numPr>
        <w:ind w:left="3000" w:hanging="732"/>
        <w:rPr>
          <w:lang w:val="en-GB"/>
        </w:rPr>
      </w:pPr>
      <w:r>
        <w:rPr>
          <w:rFonts w:hint="eastAsia"/>
          <w:lang w:val="en-GB" w:eastAsia="ja-JP"/>
        </w:rPr>
        <w:t>(v)</w:t>
      </w:r>
      <w:r>
        <w:rPr>
          <w:rFonts w:hint="eastAsia"/>
          <w:lang w:val="en-GB" w:eastAsia="ja-JP"/>
        </w:rPr>
        <w:tab/>
        <w:t xml:space="preserve">Change </w:t>
      </w:r>
      <w:r w:rsidR="009E4AA2">
        <w:rPr>
          <w:rFonts w:hint="eastAsia"/>
          <w:lang w:val="en-GB" w:eastAsia="ja-JP"/>
        </w:rPr>
        <w:t>the term</w:t>
      </w:r>
      <w:r>
        <w:rPr>
          <w:rFonts w:hint="eastAsia"/>
          <w:lang w:val="en-GB" w:eastAsia="ja-JP"/>
        </w:rPr>
        <w:t xml:space="preserve"> </w:t>
      </w:r>
      <w:r w:rsidR="009E4AA2">
        <w:rPr>
          <w:rFonts w:hint="eastAsia"/>
          <w:lang w:val="en-GB" w:eastAsia="ja-JP"/>
        </w:rPr>
        <w:t>"</w:t>
      </w:r>
      <w:r>
        <w:rPr>
          <w:rFonts w:hint="eastAsia"/>
          <w:lang w:val="en-GB" w:eastAsia="ja-JP"/>
        </w:rPr>
        <w:t>carbon canister</w:t>
      </w:r>
      <w:r w:rsidR="009E4AA2">
        <w:rPr>
          <w:rFonts w:hint="eastAsia"/>
          <w:lang w:val="en-GB" w:eastAsia="ja-JP"/>
        </w:rPr>
        <w:t>"</w:t>
      </w:r>
      <w:r>
        <w:rPr>
          <w:rFonts w:hint="eastAsia"/>
          <w:lang w:val="en-GB" w:eastAsia="ja-JP"/>
        </w:rPr>
        <w:t xml:space="preserve"> used to catch depressurisation puff loss overflow</w:t>
      </w:r>
    </w:p>
    <w:p w14:paraId="51979BC2" w14:textId="77777777" w:rsidR="007A5ACA" w:rsidRDefault="007A5ACA" w:rsidP="007A5ACA">
      <w:pPr>
        <w:pStyle w:val="H1G"/>
        <w:rPr>
          <w:lang w:val="en-US"/>
        </w:rPr>
      </w:pPr>
      <w:bookmarkStart w:id="42" w:name="_Toc435002001"/>
      <w:bookmarkStart w:id="43" w:name="_Toc465622268"/>
      <w:bookmarkStart w:id="44" w:name="_Toc353452938"/>
      <w:r w:rsidRPr="007A5ACA">
        <w:rPr>
          <w:lang w:val="en-GB"/>
        </w:rPr>
        <w:tab/>
        <w:t>C.</w:t>
      </w:r>
      <w:r w:rsidRPr="007A5ACA">
        <w:rPr>
          <w:lang w:val="en-GB"/>
        </w:rPr>
        <w:tab/>
      </w:r>
      <w:r>
        <w:rPr>
          <w:lang w:val="en-US"/>
        </w:rPr>
        <w:t xml:space="preserve">Amendments introduced in UN </w:t>
      </w:r>
      <w:r w:rsidRPr="007A5ACA">
        <w:rPr>
          <w:lang w:val="en-GB"/>
        </w:rPr>
        <w:t>GTR</w:t>
      </w:r>
      <w:bookmarkEnd w:id="42"/>
      <w:bookmarkEnd w:id="43"/>
      <w:r>
        <w:rPr>
          <w:lang w:val="en-US"/>
        </w:rPr>
        <w:t xml:space="preserve"> No. 19</w:t>
      </w:r>
    </w:p>
    <w:p w14:paraId="403F4CD9" w14:textId="3C6357D3" w:rsidR="007A5ACA" w:rsidRDefault="007A5ACA" w:rsidP="007A5ACA">
      <w:pPr>
        <w:pStyle w:val="H23G"/>
        <w:rPr>
          <w:lang w:val="en-GB" w:eastAsia="ja-JP"/>
        </w:rPr>
      </w:pPr>
      <w:r>
        <w:rPr>
          <w:lang w:val="en-US" w:eastAsia="ja-JP"/>
        </w:rPr>
        <w:tab/>
      </w:r>
      <w:r w:rsidRPr="007A5ACA">
        <w:rPr>
          <w:lang w:val="en-GB" w:eastAsia="ja-JP"/>
        </w:rPr>
        <w:t>1.</w:t>
      </w:r>
      <w:r w:rsidRPr="007A5ACA">
        <w:rPr>
          <w:lang w:val="en-GB" w:eastAsia="ja-JP"/>
        </w:rPr>
        <w:tab/>
      </w:r>
      <w:r w:rsidR="001148C5">
        <w:rPr>
          <w:rFonts w:hint="eastAsia"/>
          <w:lang w:val="en-GB" w:eastAsia="ja-JP"/>
        </w:rPr>
        <w:t>Calibration requirements and intervals for test equipment</w:t>
      </w:r>
    </w:p>
    <w:p w14:paraId="6EAE7452" w14:textId="2F98CB0E" w:rsidR="00404B4A" w:rsidRDefault="001148C5" w:rsidP="001148C5">
      <w:pPr>
        <w:pStyle w:val="H4G"/>
        <w:ind w:firstLine="0"/>
        <w:rPr>
          <w:i w:val="0"/>
          <w:lang w:val="en-US" w:eastAsia="ja-JP"/>
        </w:rPr>
      </w:pPr>
      <w:r>
        <w:rPr>
          <w:rFonts w:hint="eastAsia"/>
          <w:i w:val="0"/>
          <w:lang w:val="en-US" w:eastAsia="ja-JP"/>
        </w:rPr>
        <w:t>11.</w:t>
      </w:r>
      <w:r>
        <w:rPr>
          <w:rFonts w:hint="eastAsia"/>
          <w:i w:val="0"/>
          <w:lang w:val="en-US" w:eastAsia="ja-JP"/>
        </w:rPr>
        <w:tab/>
      </w:r>
      <w:r w:rsidR="005F5520">
        <w:rPr>
          <w:rFonts w:hint="eastAsia"/>
          <w:i w:val="0"/>
          <w:lang w:val="en-US" w:eastAsia="ja-JP"/>
        </w:rPr>
        <w:t>During the 22</w:t>
      </w:r>
      <w:r w:rsidR="005F5520" w:rsidRPr="005F5520">
        <w:rPr>
          <w:rFonts w:hint="eastAsia"/>
          <w:i w:val="0"/>
          <w:vertAlign w:val="superscript"/>
          <w:lang w:val="en-US" w:eastAsia="ja-JP"/>
        </w:rPr>
        <w:t>nd</w:t>
      </w:r>
      <w:r w:rsidR="005F5520">
        <w:rPr>
          <w:rFonts w:hint="eastAsia"/>
          <w:i w:val="0"/>
          <w:lang w:val="en-US" w:eastAsia="ja-JP"/>
        </w:rPr>
        <w:t xml:space="preserve"> WLTP IWG, one of the manufacturers mentioned that the calibration requirement</w:t>
      </w:r>
      <w:r w:rsidR="003F67BB">
        <w:rPr>
          <w:rFonts w:hint="eastAsia"/>
          <w:i w:val="0"/>
          <w:lang w:val="en-US" w:eastAsia="ja-JP"/>
        </w:rPr>
        <w:t xml:space="preserve"> is missing from UN GTR No. 19. The task force members confirmed that the requirement should be included in GTR</w:t>
      </w:r>
      <w:r w:rsidR="00404B4A">
        <w:rPr>
          <w:rFonts w:hint="eastAsia"/>
          <w:i w:val="0"/>
          <w:lang w:val="en-US" w:eastAsia="ja-JP"/>
        </w:rPr>
        <w:t>.</w:t>
      </w:r>
    </w:p>
    <w:p w14:paraId="125E7822" w14:textId="559C6F6F" w:rsidR="00EE3F9D" w:rsidRDefault="00EE3F9D" w:rsidP="00EE3F9D">
      <w:pPr>
        <w:pStyle w:val="H4G"/>
        <w:ind w:firstLine="0"/>
        <w:rPr>
          <w:i w:val="0"/>
          <w:lang w:val="en-US" w:eastAsia="ja-JP"/>
        </w:rPr>
      </w:pPr>
      <w:r>
        <w:rPr>
          <w:rFonts w:hint="eastAsia"/>
          <w:i w:val="0"/>
          <w:lang w:val="en-US" w:eastAsia="ja-JP"/>
        </w:rPr>
        <w:t>12.</w:t>
      </w:r>
      <w:r>
        <w:rPr>
          <w:rFonts w:hint="eastAsia"/>
          <w:i w:val="0"/>
          <w:lang w:val="en-US" w:eastAsia="ja-JP"/>
        </w:rPr>
        <w:tab/>
        <w:t xml:space="preserve">Japan made </w:t>
      </w:r>
      <w:r w:rsidR="007540CF">
        <w:rPr>
          <w:i w:val="0"/>
          <w:lang w:val="en-US" w:eastAsia="ja-JP"/>
        </w:rPr>
        <w:t>a</w:t>
      </w:r>
      <w:r w:rsidR="007540CF">
        <w:rPr>
          <w:rFonts w:hint="eastAsia"/>
          <w:i w:val="0"/>
          <w:lang w:val="en-US" w:eastAsia="ja-JP"/>
        </w:rPr>
        <w:t xml:space="preserve"> </w:t>
      </w:r>
      <w:r>
        <w:rPr>
          <w:rFonts w:hint="eastAsia"/>
          <w:i w:val="0"/>
          <w:lang w:val="en-US" w:eastAsia="ja-JP"/>
        </w:rPr>
        <w:t xml:space="preserve">text proposal to include </w:t>
      </w:r>
      <w:r w:rsidR="00F6422D">
        <w:rPr>
          <w:rFonts w:hint="eastAsia"/>
          <w:i w:val="0"/>
          <w:lang w:val="en-US" w:eastAsia="ja-JP"/>
        </w:rPr>
        <w:t xml:space="preserve">the </w:t>
      </w:r>
      <w:r>
        <w:rPr>
          <w:rFonts w:hint="eastAsia"/>
          <w:i w:val="0"/>
          <w:lang w:val="en-US" w:eastAsia="ja-JP"/>
        </w:rPr>
        <w:t xml:space="preserve">calibration requirements and its intervals into the paragraph </w:t>
      </w:r>
      <w:r w:rsidR="007540CF">
        <w:rPr>
          <w:i w:val="0"/>
          <w:lang w:val="en-US" w:eastAsia="ja-JP"/>
        </w:rPr>
        <w:t>on</w:t>
      </w:r>
      <w:r w:rsidR="007540CF">
        <w:rPr>
          <w:rFonts w:hint="eastAsia"/>
          <w:i w:val="0"/>
          <w:lang w:val="en-US" w:eastAsia="ja-JP"/>
        </w:rPr>
        <w:t xml:space="preserve"> </w:t>
      </w:r>
      <w:r>
        <w:rPr>
          <w:rFonts w:hint="eastAsia"/>
          <w:i w:val="0"/>
          <w:lang w:val="en-US" w:eastAsia="ja-JP"/>
        </w:rPr>
        <w:t xml:space="preserve">test equipment. In that proposal, </w:t>
      </w:r>
      <w:r w:rsidR="003F67BB">
        <w:rPr>
          <w:rFonts w:hint="eastAsia"/>
          <w:i w:val="0"/>
          <w:lang w:val="en-US" w:eastAsia="ja-JP"/>
        </w:rPr>
        <w:t xml:space="preserve">the </w:t>
      </w:r>
      <w:r>
        <w:rPr>
          <w:rFonts w:hint="eastAsia"/>
          <w:i w:val="0"/>
          <w:lang w:val="en-US" w:eastAsia="ja-JP"/>
        </w:rPr>
        <w:t>text</w:t>
      </w:r>
      <w:r w:rsidR="003F67BB">
        <w:rPr>
          <w:rFonts w:hint="eastAsia"/>
          <w:i w:val="0"/>
          <w:lang w:val="en-US" w:eastAsia="ja-JP"/>
        </w:rPr>
        <w:t>s</w:t>
      </w:r>
      <w:r>
        <w:rPr>
          <w:rFonts w:hint="eastAsia"/>
          <w:i w:val="0"/>
          <w:lang w:val="en-US" w:eastAsia="ja-JP"/>
        </w:rPr>
        <w:t xml:space="preserve"> mostly referred to the requirements written in UN Regulation No. 83, </w:t>
      </w:r>
      <w:r w:rsidR="007540CF">
        <w:rPr>
          <w:i w:val="0"/>
          <w:lang w:val="en-US" w:eastAsia="ja-JP"/>
        </w:rPr>
        <w:t>the</w:t>
      </w:r>
      <w:r w:rsidR="007540CF">
        <w:rPr>
          <w:rFonts w:hint="eastAsia"/>
          <w:i w:val="0"/>
          <w:lang w:val="en-US" w:eastAsia="ja-JP"/>
        </w:rPr>
        <w:t xml:space="preserve"> </w:t>
      </w:r>
      <w:r>
        <w:rPr>
          <w:rFonts w:hint="eastAsia"/>
          <w:i w:val="0"/>
          <w:lang w:val="en-US" w:eastAsia="ja-JP"/>
        </w:rPr>
        <w:t xml:space="preserve">same as </w:t>
      </w:r>
      <w:r w:rsidR="00F6422D">
        <w:rPr>
          <w:rFonts w:hint="eastAsia"/>
          <w:i w:val="0"/>
          <w:lang w:val="en-US" w:eastAsia="ja-JP"/>
        </w:rPr>
        <w:t xml:space="preserve">the </w:t>
      </w:r>
      <w:r>
        <w:rPr>
          <w:rFonts w:hint="eastAsia"/>
          <w:i w:val="0"/>
          <w:lang w:val="en-US" w:eastAsia="ja-JP"/>
        </w:rPr>
        <w:t>requirement</w:t>
      </w:r>
      <w:r w:rsidR="00F6422D">
        <w:rPr>
          <w:rFonts w:hint="eastAsia"/>
          <w:i w:val="0"/>
          <w:lang w:val="en-US" w:eastAsia="ja-JP"/>
        </w:rPr>
        <w:t>s</w:t>
      </w:r>
      <w:r>
        <w:rPr>
          <w:rFonts w:hint="eastAsia"/>
          <w:i w:val="0"/>
          <w:lang w:val="en-US" w:eastAsia="ja-JP"/>
        </w:rPr>
        <w:t xml:space="preserve"> for test equipment. Some members proposed </w:t>
      </w:r>
      <w:r w:rsidR="00F9688C">
        <w:rPr>
          <w:i w:val="0"/>
          <w:lang w:val="en-US" w:eastAsia="ja-JP"/>
        </w:rPr>
        <w:t>to change</w:t>
      </w:r>
      <w:r>
        <w:rPr>
          <w:rFonts w:hint="eastAsia"/>
          <w:i w:val="0"/>
          <w:lang w:val="en-US" w:eastAsia="ja-JP"/>
        </w:rPr>
        <w:t xml:space="preserve"> </w:t>
      </w:r>
      <w:r w:rsidR="00703417">
        <w:rPr>
          <w:i w:val="0"/>
          <w:lang w:val="en-US" w:eastAsia="ja-JP"/>
        </w:rPr>
        <w:t xml:space="preserve">the </w:t>
      </w:r>
      <w:r>
        <w:rPr>
          <w:rFonts w:hint="eastAsia"/>
          <w:i w:val="0"/>
          <w:lang w:val="en-US" w:eastAsia="ja-JP"/>
        </w:rPr>
        <w:t xml:space="preserve">reference to UN GTR No. 15 instead. After discussion within members, </w:t>
      </w:r>
      <w:r w:rsidR="00F6422D">
        <w:rPr>
          <w:rFonts w:hint="eastAsia"/>
          <w:i w:val="0"/>
          <w:lang w:val="en-US" w:eastAsia="ja-JP"/>
        </w:rPr>
        <w:t xml:space="preserve">they </w:t>
      </w:r>
      <w:r>
        <w:rPr>
          <w:rFonts w:hint="eastAsia"/>
          <w:i w:val="0"/>
          <w:lang w:val="en-US" w:eastAsia="ja-JP"/>
        </w:rPr>
        <w:t>decided to keep reference</w:t>
      </w:r>
      <w:r w:rsidR="00F6422D">
        <w:rPr>
          <w:rFonts w:hint="eastAsia"/>
          <w:i w:val="0"/>
          <w:lang w:val="en-US" w:eastAsia="ja-JP"/>
        </w:rPr>
        <w:t>s</w:t>
      </w:r>
      <w:r>
        <w:rPr>
          <w:rFonts w:hint="eastAsia"/>
          <w:i w:val="0"/>
          <w:lang w:val="en-US" w:eastAsia="ja-JP"/>
        </w:rPr>
        <w:t xml:space="preserve"> to UN Regulation No. 83 because some </w:t>
      </w:r>
      <w:r w:rsidR="00B70300">
        <w:rPr>
          <w:i w:val="0"/>
          <w:lang w:val="en-US" w:eastAsia="ja-JP"/>
        </w:rPr>
        <w:t>equipment</w:t>
      </w:r>
      <w:r>
        <w:rPr>
          <w:rFonts w:hint="eastAsia"/>
          <w:i w:val="0"/>
          <w:lang w:val="en-US" w:eastAsia="ja-JP"/>
        </w:rPr>
        <w:t xml:space="preserve"> do</w:t>
      </w:r>
      <w:r w:rsidR="007540CF">
        <w:rPr>
          <w:i w:val="0"/>
          <w:lang w:val="en-US" w:eastAsia="ja-JP"/>
        </w:rPr>
        <w:t>es</w:t>
      </w:r>
      <w:r>
        <w:rPr>
          <w:rFonts w:hint="eastAsia"/>
          <w:i w:val="0"/>
          <w:lang w:val="en-US" w:eastAsia="ja-JP"/>
        </w:rPr>
        <w:t xml:space="preserve"> </w:t>
      </w:r>
      <w:r w:rsidR="00F9688C">
        <w:rPr>
          <w:i w:val="0"/>
          <w:lang w:val="en-US" w:eastAsia="ja-JP"/>
        </w:rPr>
        <w:t>not</w:t>
      </w:r>
      <w:r>
        <w:rPr>
          <w:rFonts w:hint="eastAsia"/>
          <w:i w:val="0"/>
          <w:lang w:val="en-US" w:eastAsia="ja-JP"/>
        </w:rPr>
        <w:t xml:space="preserve"> require </w:t>
      </w:r>
      <w:r w:rsidR="00B47243">
        <w:rPr>
          <w:i w:val="0"/>
          <w:lang w:val="en-US" w:eastAsia="ja-JP"/>
        </w:rPr>
        <w:t xml:space="preserve">the </w:t>
      </w:r>
      <w:r w:rsidR="00BF061A">
        <w:rPr>
          <w:i w:val="0"/>
          <w:lang w:val="en-US" w:eastAsia="ja-JP"/>
        </w:rPr>
        <w:t xml:space="preserve">same </w:t>
      </w:r>
      <w:r>
        <w:rPr>
          <w:rFonts w:hint="eastAsia"/>
          <w:i w:val="0"/>
          <w:lang w:val="en-US" w:eastAsia="ja-JP"/>
        </w:rPr>
        <w:t>sever</w:t>
      </w:r>
      <w:r w:rsidR="00BF061A">
        <w:rPr>
          <w:i w:val="0"/>
          <w:lang w:val="en-US" w:eastAsia="ja-JP"/>
        </w:rPr>
        <w:t>ity</w:t>
      </w:r>
      <w:r>
        <w:rPr>
          <w:rFonts w:hint="eastAsia"/>
          <w:i w:val="0"/>
          <w:lang w:val="en-US" w:eastAsia="ja-JP"/>
        </w:rPr>
        <w:t xml:space="preserve"> </w:t>
      </w:r>
      <w:r w:rsidR="00B47243">
        <w:rPr>
          <w:i w:val="0"/>
          <w:lang w:val="en-US" w:eastAsia="ja-JP"/>
        </w:rPr>
        <w:t xml:space="preserve">as </w:t>
      </w:r>
      <w:r>
        <w:rPr>
          <w:rFonts w:hint="eastAsia"/>
          <w:i w:val="0"/>
          <w:lang w:val="en-US" w:eastAsia="ja-JP"/>
        </w:rPr>
        <w:t>require</w:t>
      </w:r>
      <w:r w:rsidR="0037785B">
        <w:rPr>
          <w:i w:val="0"/>
          <w:lang w:val="en-US" w:eastAsia="ja-JP"/>
        </w:rPr>
        <w:t>d for</w:t>
      </w:r>
      <w:r>
        <w:rPr>
          <w:rFonts w:hint="eastAsia"/>
          <w:i w:val="0"/>
          <w:lang w:val="en-US" w:eastAsia="ja-JP"/>
        </w:rPr>
        <w:t xml:space="preserve"> </w:t>
      </w:r>
      <w:r w:rsidR="00B47243">
        <w:rPr>
          <w:i w:val="0"/>
          <w:lang w:val="en-US" w:eastAsia="ja-JP"/>
        </w:rPr>
        <w:t xml:space="preserve">the </w:t>
      </w:r>
      <w:r>
        <w:rPr>
          <w:rFonts w:hint="eastAsia"/>
          <w:i w:val="0"/>
          <w:lang w:val="en-US" w:eastAsia="ja-JP"/>
        </w:rPr>
        <w:t>Type 1 test.</w:t>
      </w:r>
    </w:p>
    <w:p w14:paraId="50BBB33E" w14:textId="6D6BE03F" w:rsidR="00482991" w:rsidRDefault="00482991" w:rsidP="009254C4">
      <w:pPr>
        <w:pStyle w:val="H4G"/>
        <w:ind w:firstLine="0"/>
        <w:rPr>
          <w:i w:val="0"/>
          <w:lang w:val="en-US" w:eastAsia="ja-JP"/>
        </w:rPr>
      </w:pPr>
      <w:r>
        <w:rPr>
          <w:rFonts w:hint="eastAsia"/>
          <w:i w:val="0"/>
          <w:lang w:val="en-US" w:eastAsia="ja-JP"/>
        </w:rPr>
        <w:t>13.</w:t>
      </w:r>
      <w:r>
        <w:rPr>
          <w:rFonts w:hint="eastAsia"/>
          <w:i w:val="0"/>
          <w:lang w:val="en-US" w:eastAsia="ja-JP"/>
        </w:rPr>
        <w:tab/>
        <w:t xml:space="preserve">For equipment not written in both UN Regulation No. 83 or UN GTR No. 19, </w:t>
      </w:r>
      <w:r w:rsidR="003F67BB">
        <w:rPr>
          <w:rFonts w:hint="eastAsia"/>
          <w:i w:val="0"/>
          <w:lang w:val="en-US" w:eastAsia="ja-JP"/>
        </w:rPr>
        <w:t xml:space="preserve">the </w:t>
      </w:r>
      <w:r>
        <w:rPr>
          <w:rFonts w:hint="eastAsia"/>
          <w:i w:val="0"/>
          <w:lang w:val="en-US" w:eastAsia="ja-JP"/>
        </w:rPr>
        <w:t xml:space="preserve">task force members decided to calibrate the equipment before its </w:t>
      </w:r>
      <w:r>
        <w:rPr>
          <w:i w:val="0"/>
          <w:lang w:val="en-US" w:eastAsia="ja-JP"/>
        </w:rPr>
        <w:t>initial</w:t>
      </w:r>
      <w:r>
        <w:rPr>
          <w:rFonts w:hint="eastAsia"/>
          <w:i w:val="0"/>
          <w:lang w:val="en-US" w:eastAsia="ja-JP"/>
        </w:rPr>
        <w:t xml:space="preserve"> use and at </w:t>
      </w:r>
      <w:r w:rsidR="00B47243">
        <w:rPr>
          <w:i w:val="0"/>
          <w:lang w:val="en-US" w:eastAsia="ja-JP"/>
        </w:rPr>
        <w:t xml:space="preserve">the </w:t>
      </w:r>
      <w:r>
        <w:rPr>
          <w:rFonts w:hint="eastAsia"/>
          <w:i w:val="0"/>
          <w:lang w:val="en-US" w:eastAsia="ja-JP"/>
        </w:rPr>
        <w:t>appropriate service intervals thereafter</w:t>
      </w:r>
      <w:r w:rsidR="003F67BB">
        <w:rPr>
          <w:rFonts w:hint="eastAsia"/>
          <w:i w:val="0"/>
          <w:lang w:val="en-US" w:eastAsia="ja-JP"/>
        </w:rPr>
        <w:t>.</w:t>
      </w:r>
    </w:p>
    <w:p w14:paraId="2FE7DD7F" w14:textId="43F9336B" w:rsidR="007A5ACA" w:rsidRPr="009254C4" w:rsidRDefault="007A5ACA" w:rsidP="007A5ACA">
      <w:pPr>
        <w:pStyle w:val="H4G"/>
        <w:rPr>
          <w:b/>
          <w:i w:val="0"/>
          <w:lang w:val="en-US" w:eastAsia="ja-JP"/>
        </w:rPr>
      </w:pPr>
      <w:r w:rsidRPr="009254C4">
        <w:rPr>
          <w:b/>
          <w:i w:val="0"/>
          <w:lang w:val="en-US" w:eastAsia="ja-JP"/>
        </w:rPr>
        <w:tab/>
        <w:t>2.</w:t>
      </w:r>
      <w:r w:rsidRPr="009254C4">
        <w:rPr>
          <w:b/>
          <w:i w:val="0"/>
          <w:lang w:val="en-US" w:eastAsia="ja-JP"/>
        </w:rPr>
        <w:tab/>
      </w:r>
      <w:r w:rsidR="009254C4" w:rsidRPr="009254C4">
        <w:rPr>
          <w:rFonts w:hint="eastAsia"/>
          <w:b/>
          <w:i w:val="0"/>
          <w:lang w:val="en-GB" w:eastAsia="ja-JP"/>
        </w:rPr>
        <w:t>Equation for the variable-volume enclosures</w:t>
      </w:r>
    </w:p>
    <w:p w14:paraId="0F7C73C9" w14:textId="1CCCC26D" w:rsidR="001E5BD1" w:rsidRDefault="009254C4" w:rsidP="007A5ACA">
      <w:pPr>
        <w:pStyle w:val="SingleTxtG"/>
        <w:rPr>
          <w:lang w:val="en-US" w:eastAsia="ja-JP"/>
        </w:rPr>
      </w:pPr>
      <w:r>
        <w:rPr>
          <w:rFonts w:hint="eastAsia"/>
          <w:lang w:val="en-US" w:eastAsia="ja-JP"/>
        </w:rPr>
        <w:t>14</w:t>
      </w:r>
      <w:r w:rsidR="007A5ACA">
        <w:rPr>
          <w:lang w:val="en-US" w:eastAsia="ja-JP"/>
        </w:rPr>
        <w:t>.</w:t>
      </w:r>
      <w:r w:rsidR="007A5ACA">
        <w:rPr>
          <w:lang w:val="en-US" w:eastAsia="ja-JP"/>
        </w:rPr>
        <w:tab/>
      </w:r>
      <w:r>
        <w:rPr>
          <w:rFonts w:hint="eastAsia"/>
          <w:lang w:val="en-US" w:eastAsia="ja-JP"/>
        </w:rPr>
        <w:t>During the 22</w:t>
      </w:r>
      <w:r w:rsidRPr="009254C4">
        <w:rPr>
          <w:rFonts w:hint="eastAsia"/>
          <w:vertAlign w:val="superscript"/>
          <w:lang w:val="en-US" w:eastAsia="ja-JP"/>
        </w:rPr>
        <w:t>nd</w:t>
      </w:r>
      <w:r>
        <w:rPr>
          <w:rFonts w:hint="eastAsia"/>
          <w:lang w:val="en-US" w:eastAsia="ja-JP"/>
        </w:rPr>
        <w:t xml:space="preserve"> WLTP IWG, one of the manufacturers requested to add the alternative equation for the variable-volume enclosures. This equation is already </w:t>
      </w:r>
      <w:r w:rsidR="00C10795">
        <w:rPr>
          <w:rFonts w:hint="eastAsia"/>
          <w:lang w:val="en-US" w:eastAsia="ja-JP"/>
        </w:rPr>
        <w:t>use</w:t>
      </w:r>
      <w:r>
        <w:rPr>
          <w:rFonts w:hint="eastAsia"/>
          <w:lang w:val="en-US" w:eastAsia="ja-JP"/>
        </w:rPr>
        <w:t xml:space="preserve">d in </w:t>
      </w:r>
      <w:r w:rsidR="001E5BD1">
        <w:rPr>
          <w:rFonts w:hint="eastAsia"/>
          <w:lang w:val="en-US" w:eastAsia="ja-JP"/>
        </w:rPr>
        <w:t>US EPA and CARB regulations.</w:t>
      </w:r>
    </w:p>
    <w:p w14:paraId="47C9B5A1" w14:textId="5AB685A6" w:rsidR="009254C4" w:rsidRDefault="001E5BD1" w:rsidP="007A5ACA">
      <w:pPr>
        <w:pStyle w:val="SingleTxtG"/>
        <w:rPr>
          <w:lang w:val="en-US" w:eastAsia="ja-JP"/>
        </w:rPr>
      </w:pPr>
      <w:r>
        <w:rPr>
          <w:rFonts w:hint="eastAsia"/>
          <w:lang w:val="en-US" w:eastAsia="ja-JP"/>
        </w:rPr>
        <w:t>15.</w:t>
      </w:r>
      <w:r>
        <w:rPr>
          <w:rFonts w:hint="eastAsia"/>
          <w:lang w:val="en-US" w:eastAsia="ja-JP"/>
        </w:rPr>
        <w:tab/>
        <w:t>The variable</w:t>
      </w:r>
      <w:r w:rsidR="00B47243">
        <w:rPr>
          <w:lang w:val="en-US" w:eastAsia="ja-JP"/>
        </w:rPr>
        <w:t xml:space="preserve"> </w:t>
      </w:r>
      <w:r>
        <w:rPr>
          <w:rFonts w:hint="eastAsia"/>
          <w:lang w:val="en-US" w:eastAsia="ja-JP"/>
        </w:rPr>
        <w:t>volume enclosure is the enclosure which adjust</w:t>
      </w:r>
      <w:r w:rsidR="00B47243">
        <w:rPr>
          <w:lang w:val="en-US" w:eastAsia="ja-JP"/>
        </w:rPr>
        <w:t>s the</w:t>
      </w:r>
      <w:r>
        <w:rPr>
          <w:rFonts w:hint="eastAsia"/>
          <w:lang w:val="en-US" w:eastAsia="ja-JP"/>
        </w:rPr>
        <w:t xml:space="preserve"> volume by moving </w:t>
      </w:r>
      <w:r w:rsidR="00B47243">
        <w:rPr>
          <w:lang w:val="en-US" w:eastAsia="ja-JP"/>
        </w:rPr>
        <w:t xml:space="preserve">the </w:t>
      </w:r>
      <w:r>
        <w:rPr>
          <w:rFonts w:hint="eastAsia"/>
          <w:lang w:val="en-US" w:eastAsia="ja-JP"/>
        </w:rPr>
        <w:t xml:space="preserve">roof or internal/external bags during temperature changes. </w:t>
      </w:r>
      <w:r w:rsidR="00B47243">
        <w:rPr>
          <w:lang w:val="en-US" w:eastAsia="ja-JP"/>
        </w:rPr>
        <w:t>With</w:t>
      </w:r>
      <w:r w:rsidR="00B47243">
        <w:rPr>
          <w:rFonts w:hint="eastAsia"/>
          <w:lang w:val="en-US" w:eastAsia="ja-JP"/>
        </w:rPr>
        <w:t xml:space="preserve"> </w:t>
      </w:r>
      <w:r>
        <w:rPr>
          <w:rFonts w:hint="eastAsia"/>
          <w:lang w:val="en-US" w:eastAsia="ja-JP"/>
        </w:rPr>
        <w:t xml:space="preserve">this feature, the pressure and the number of molecules inside </w:t>
      </w:r>
      <w:r w:rsidR="00B47243">
        <w:rPr>
          <w:lang w:val="en-US" w:eastAsia="ja-JP"/>
        </w:rPr>
        <w:t xml:space="preserve">the </w:t>
      </w:r>
      <w:r>
        <w:rPr>
          <w:rFonts w:hint="eastAsia"/>
          <w:lang w:val="en-US" w:eastAsia="ja-JP"/>
        </w:rPr>
        <w:t xml:space="preserve">enclosure remains </w:t>
      </w:r>
      <w:r w:rsidR="00B47243">
        <w:rPr>
          <w:lang w:val="en-US" w:eastAsia="ja-JP"/>
        </w:rPr>
        <w:t xml:space="preserve">the </w:t>
      </w:r>
      <w:r>
        <w:rPr>
          <w:rFonts w:hint="eastAsia"/>
          <w:lang w:val="en-US" w:eastAsia="ja-JP"/>
        </w:rPr>
        <w:t xml:space="preserve">same even </w:t>
      </w:r>
      <w:r w:rsidR="00B47243">
        <w:rPr>
          <w:lang w:val="en-US" w:eastAsia="ja-JP"/>
        </w:rPr>
        <w:t xml:space="preserve">during </w:t>
      </w:r>
      <w:r>
        <w:rPr>
          <w:rFonts w:hint="eastAsia"/>
          <w:lang w:val="en-US" w:eastAsia="ja-JP"/>
        </w:rPr>
        <w:t xml:space="preserve">temperature changes. The alternative equation </w:t>
      </w:r>
      <w:r w:rsidR="00C10795">
        <w:rPr>
          <w:rFonts w:hint="eastAsia"/>
          <w:lang w:val="en-US" w:eastAsia="ja-JP"/>
        </w:rPr>
        <w:t>reflects this feature, assuming no gas is removed during the diurnal test</w:t>
      </w:r>
      <w:r>
        <w:rPr>
          <w:rFonts w:hint="eastAsia"/>
          <w:lang w:val="en-US" w:eastAsia="ja-JP"/>
        </w:rPr>
        <w:t>.</w:t>
      </w:r>
    </w:p>
    <w:p w14:paraId="2B3519D1" w14:textId="2AF98691" w:rsidR="007A5ACA" w:rsidRDefault="00C10795" w:rsidP="007A5ACA">
      <w:pPr>
        <w:pStyle w:val="SingleTxtG"/>
        <w:rPr>
          <w:lang w:val="en-US" w:eastAsia="ja-JP"/>
        </w:rPr>
      </w:pPr>
      <w:r>
        <w:rPr>
          <w:rFonts w:hint="eastAsia"/>
          <w:lang w:val="en-US" w:eastAsia="ja-JP"/>
        </w:rPr>
        <w:lastRenderedPageBreak/>
        <w:t>16.</w:t>
      </w:r>
      <w:r>
        <w:rPr>
          <w:rFonts w:hint="eastAsia"/>
          <w:lang w:val="en-US" w:eastAsia="ja-JP"/>
        </w:rPr>
        <w:tab/>
        <w:t xml:space="preserve">The task force members discussed if this alternative equation should be added to UN GTR No. 19. After </w:t>
      </w:r>
      <w:r w:rsidR="00B47243">
        <w:rPr>
          <w:lang w:val="en-US" w:eastAsia="ja-JP"/>
        </w:rPr>
        <w:t>extensive</w:t>
      </w:r>
      <w:r w:rsidR="00B47243">
        <w:rPr>
          <w:rFonts w:hint="eastAsia"/>
          <w:lang w:val="en-US" w:eastAsia="ja-JP"/>
        </w:rPr>
        <w:t xml:space="preserve"> </w:t>
      </w:r>
      <w:r w:rsidR="00F9688C">
        <w:rPr>
          <w:lang w:val="en-US" w:eastAsia="ja-JP"/>
        </w:rPr>
        <w:t>discussions</w:t>
      </w:r>
      <w:r>
        <w:rPr>
          <w:rFonts w:hint="eastAsia"/>
          <w:lang w:val="en-US" w:eastAsia="ja-JP"/>
        </w:rPr>
        <w:t xml:space="preserve"> </w:t>
      </w:r>
      <w:r w:rsidR="00B47243">
        <w:rPr>
          <w:lang w:val="en-US" w:eastAsia="ja-JP"/>
        </w:rPr>
        <w:t>on</w:t>
      </w:r>
      <w:r w:rsidR="00B47243">
        <w:rPr>
          <w:rFonts w:hint="eastAsia"/>
          <w:lang w:val="en-US" w:eastAsia="ja-JP"/>
        </w:rPr>
        <w:t xml:space="preserve"> </w:t>
      </w:r>
      <w:r>
        <w:rPr>
          <w:rFonts w:hint="eastAsia"/>
          <w:lang w:val="en-US" w:eastAsia="ja-JP"/>
        </w:rPr>
        <w:t>understanding the feature of the variable</w:t>
      </w:r>
      <w:r w:rsidR="00B47243">
        <w:rPr>
          <w:lang w:val="en-US" w:eastAsia="ja-JP"/>
        </w:rPr>
        <w:t xml:space="preserve"> </w:t>
      </w:r>
      <w:r>
        <w:rPr>
          <w:rFonts w:hint="eastAsia"/>
          <w:lang w:val="en-US" w:eastAsia="ja-JP"/>
        </w:rPr>
        <w:t>volume enclosure, the task force decided to add the equation as an alternative option.</w:t>
      </w:r>
    </w:p>
    <w:p w14:paraId="764B8EAF" w14:textId="03FA27BF" w:rsidR="00C10795" w:rsidRDefault="00C10795" w:rsidP="007A5ACA">
      <w:pPr>
        <w:pStyle w:val="SingleTxtG"/>
        <w:rPr>
          <w:lang w:val="en-US" w:eastAsia="ja-JP"/>
        </w:rPr>
      </w:pPr>
      <w:r>
        <w:rPr>
          <w:rFonts w:hint="eastAsia"/>
          <w:lang w:val="en-US" w:eastAsia="ja-JP"/>
        </w:rPr>
        <w:t>17.</w:t>
      </w:r>
      <w:r>
        <w:rPr>
          <w:rFonts w:hint="eastAsia"/>
          <w:lang w:val="en-US" w:eastAsia="ja-JP"/>
        </w:rPr>
        <w:tab/>
        <w:t>During the 23</w:t>
      </w:r>
      <w:r w:rsidRPr="00C10795">
        <w:rPr>
          <w:rFonts w:hint="eastAsia"/>
          <w:vertAlign w:val="superscript"/>
          <w:lang w:val="en-US" w:eastAsia="ja-JP"/>
        </w:rPr>
        <w:t>rd</w:t>
      </w:r>
      <w:r>
        <w:rPr>
          <w:rFonts w:hint="eastAsia"/>
          <w:lang w:val="en-US" w:eastAsia="ja-JP"/>
        </w:rPr>
        <w:t xml:space="preserve"> WLTP IWG, India asked </w:t>
      </w:r>
      <w:r w:rsidR="00D95673">
        <w:rPr>
          <w:rFonts w:hint="eastAsia"/>
          <w:lang w:val="en-US" w:eastAsia="ja-JP"/>
        </w:rPr>
        <w:t>to clarify where the</w:t>
      </w:r>
      <w:r>
        <w:rPr>
          <w:rFonts w:hint="eastAsia"/>
          <w:lang w:val="en-US" w:eastAsia="ja-JP"/>
        </w:rPr>
        <w:t xml:space="preserve"> fixed value</w:t>
      </w:r>
      <w:r w:rsidR="00B47243">
        <w:rPr>
          <w:lang w:val="en-US" w:eastAsia="ja-JP"/>
        </w:rPr>
        <w:t xml:space="preserve"> of</w:t>
      </w:r>
      <w:r w:rsidR="00D95673">
        <w:rPr>
          <w:rFonts w:hint="eastAsia"/>
          <w:lang w:val="en-US" w:eastAsia="ja-JP"/>
        </w:rPr>
        <w:t xml:space="preserve"> 1.42 m</w:t>
      </w:r>
      <w:r w:rsidR="00D95673" w:rsidRPr="00C10795">
        <w:rPr>
          <w:rFonts w:hint="eastAsia"/>
          <w:vertAlign w:val="superscript"/>
          <w:lang w:val="en-US" w:eastAsia="ja-JP"/>
        </w:rPr>
        <w:t>3</w:t>
      </w:r>
      <w:r w:rsidR="00D95673">
        <w:rPr>
          <w:rFonts w:hint="eastAsia"/>
          <w:lang w:val="en-US" w:eastAsia="ja-JP"/>
        </w:rPr>
        <w:t xml:space="preserve">, </w:t>
      </w:r>
      <w:r>
        <w:rPr>
          <w:rFonts w:hint="eastAsia"/>
          <w:lang w:val="en-US" w:eastAsia="ja-JP"/>
        </w:rPr>
        <w:t xml:space="preserve">which is </w:t>
      </w:r>
      <w:r>
        <w:rPr>
          <w:lang w:val="en-US" w:eastAsia="ja-JP"/>
        </w:rPr>
        <w:t>subtracted</w:t>
      </w:r>
      <w:r>
        <w:rPr>
          <w:rFonts w:hint="eastAsia"/>
          <w:lang w:val="en-US" w:eastAsia="ja-JP"/>
        </w:rPr>
        <w:t xml:space="preserve"> from enclosure volume</w:t>
      </w:r>
      <w:r w:rsidR="00D95673">
        <w:rPr>
          <w:rFonts w:hint="eastAsia"/>
          <w:lang w:val="en-US" w:eastAsia="ja-JP"/>
        </w:rPr>
        <w:t xml:space="preserve"> in the equation</w:t>
      </w:r>
      <w:r w:rsidR="00B47243">
        <w:rPr>
          <w:lang w:val="en-US" w:eastAsia="ja-JP"/>
        </w:rPr>
        <w:t>,</w:t>
      </w:r>
      <w:r w:rsidR="00D95673">
        <w:rPr>
          <w:rFonts w:hint="eastAsia"/>
          <w:lang w:val="en-US" w:eastAsia="ja-JP"/>
        </w:rPr>
        <w:t xml:space="preserve"> comes from, and review the value</w:t>
      </w:r>
      <w:r>
        <w:rPr>
          <w:rFonts w:hint="eastAsia"/>
          <w:lang w:val="en-US" w:eastAsia="ja-JP"/>
        </w:rPr>
        <w:t xml:space="preserve">. </w:t>
      </w:r>
      <w:r w:rsidR="00D95673">
        <w:rPr>
          <w:rFonts w:hint="eastAsia"/>
          <w:lang w:val="en-US" w:eastAsia="ja-JP"/>
        </w:rPr>
        <w:t>It</w:t>
      </w:r>
      <w:r>
        <w:rPr>
          <w:rFonts w:hint="eastAsia"/>
          <w:lang w:val="en-US" w:eastAsia="ja-JP"/>
        </w:rPr>
        <w:t xml:space="preserve"> </w:t>
      </w:r>
      <w:r w:rsidR="00D95673">
        <w:rPr>
          <w:rFonts w:hint="eastAsia"/>
          <w:lang w:val="en-US" w:eastAsia="ja-JP"/>
        </w:rPr>
        <w:t xml:space="preserve">is </w:t>
      </w:r>
      <w:r>
        <w:rPr>
          <w:rFonts w:hint="eastAsia"/>
          <w:lang w:val="en-US" w:eastAsia="ja-JP"/>
        </w:rPr>
        <w:t>the assumed volume of the vehicle exteriors, the volume of the vehicle with the windows and the luggage compartment open</w:t>
      </w:r>
      <w:r w:rsidR="00D95673">
        <w:rPr>
          <w:rFonts w:hint="eastAsia"/>
          <w:lang w:val="en-US" w:eastAsia="ja-JP"/>
        </w:rPr>
        <w:t>. T</w:t>
      </w:r>
      <w:r w:rsidR="00D95673">
        <w:rPr>
          <w:lang w:val="en-US" w:eastAsia="ja-JP"/>
        </w:rPr>
        <w:t>h</w:t>
      </w:r>
      <w:r w:rsidR="00D95673">
        <w:rPr>
          <w:rFonts w:hint="eastAsia"/>
          <w:lang w:val="en-US" w:eastAsia="ja-JP"/>
        </w:rPr>
        <w:t xml:space="preserve">e manufacturer may choose to use this fixed value or the </w:t>
      </w:r>
      <w:r w:rsidR="00B47243">
        <w:rPr>
          <w:lang w:val="en-US" w:eastAsia="ja-JP"/>
        </w:rPr>
        <w:t xml:space="preserve">actual </w:t>
      </w:r>
      <w:r w:rsidR="00D95673">
        <w:rPr>
          <w:rFonts w:hint="eastAsia"/>
          <w:lang w:val="en-US" w:eastAsia="ja-JP"/>
        </w:rPr>
        <w:t>measured volume. This fixed value originally came from US EPA/CARB regulation and existed from original text of UN GTR No.19. EPA tracked down where this number came from and clarified this value was decided a few decades ago with good engineer</w:t>
      </w:r>
      <w:r w:rsidR="00D95673" w:rsidRPr="00F9688C">
        <w:rPr>
          <w:rFonts w:hint="eastAsia"/>
          <w:lang w:val="en-GB" w:eastAsia="ja-JP"/>
        </w:rPr>
        <w:t xml:space="preserve"> judgement</w:t>
      </w:r>
      <w:r w:rsidR="00D95673">
        <w:rPr>
          <w:rFonts w:hint="eastAsia"/>
          <w:lang w:val="en-US" w:eastAsia="ja-JP"/>
        </w:rPr>
        <w:t xml:space="preserve"> when evaporative emission tests were introduced. EPA also mentioned that no manufacturer requested to use measured value. Therefore, task force members decided to keep </w:t>
      </w:r>
      <w:r w:rsidR="00B47243">
        <w:rPr>
          <w:lang w:val="en-US" w:eastAsia="ja-JP"/>
        </w:rPr>
        <w:t xml:space="preserve">it </w:t>
      </w:r>
      <w:r w:rsidR="00F863E2">
        <w:rPr>
          <w:rFonts w:hint="eastAsia"/>
          <w:lang w:val="en-US" w:eastAsia="ja-JP"/>
        </w:rPr>
        <w:t>as it is</w:t>
      </w:r>
      <w:r w:rsidR="00D95673">
        <w:rPr>
          <w:rFonts w:hint="eastAsia"/>
          <w:lang w:val="en-US" w:eastAsia="ja-JP"/>
        </w:rPr>
        <w:t>.</w:t>
      </w:r>
    </w:p>
    <w:p w14:paraId="7A60394D" w14:textId="35A652C8" w:rsidR="00C20A40" w:rsidRPr="00482991" w:rsidRDefault="00482991" w:rsidP="007A5ACA">
      <w:pPr>
        <w:pStyle w:val="H4G"/>
        <w:rPr>
          <w:b/>
          <w:i w:val="0"/>
          <w:lang w:val="en-US" w:eastAsia="ja-JP"/>
        </w:rPr>
      </w:pPr>
      <w:r w:rsidRPr="00482991">
        <w:rPr>
          <w:rFonts w:hint="eastAsia"/>
          <w:b/>
          <w:i w:val="0"/>
          <w:lang w:val="en-US" w:eastAsia="ja-JP"/>
        </w:rPr>
        <w:tab/>
      </w:r>
      <w:r w:rsidR="00C20A40" w:rsidRPr="00482991">
        <w:rPr>
          <w:b/>
          <w:i w:val="0"/>
          <w:lang w:val="en-US" w:eastAsia="ja-JP"/>
        </w:rPr>
        <w:t>3.</w:t>
      </w:r>
      <w:r w:rsidR="00C20A40" w:rsidRPr="00482991">
        <w:rPr>
          <w:b/>
          <w:i w:val="0"/>
          <w:lang w:val="en-US" w:eastAsia="ja-JP"/>
        </w:rPr>
        <w:tab/>
      </w:r>
      <w:r w:rsidRPr="00482991">
        <w:rPr>
          <w:rFonts w:hint="eastAsia"/>
          <w:b/>
          <w:i w:val="0"/>
          <w:lang w:val="en-GB" w:eastAsia="ja-JP"/>
        </w:rPr>
        <w:t>Improvements of the texts</w:t>
      </w:r>
      <w:r w:rsidRPr="00482991">
        <w:rPr>
          <w:b/>
          <w:i w:val="0"/>
          <w:lang w:val="en-US" w:eastAsia="ja-JP"/>
        </w:rPr>
        <w:t xml:space="preserve"> </w:t>
      </w:r>
    </w:p>
    <w:p w14:paraId="2F2C28B7" w14:textId="43E60142" w:rsidR="007A5ACA" w:rsidRDefault="00C20A40" w:rsidP="007A5ACA">
      <w:pPr>
        <w:pStyle w:val="H4G"/>
        <w:rPr>
          <w:lang w:val="en-US" w:eastAsia="ja-JP"/>
        </w:rPr>
      </w:pPr>
      <w:r>
        <w:rPr>
          <w:rFonts w:hint="eastAsia"/>
          <w:lang w:val="en-US" w:eastAsia="ja-JP"/>
        </w:rPr>
        <w:tab/>
      </w:r>
      <w:r w:rsidR="007A5ACA">
        <w:rPr>
          <w:lang w:val="en-US" w:eastAsia="ja-JP"/>
        </w:rPr>
        <w:t>3.</w:t>
      </w:r>
      <w:r w:rsidR="00482991">
        <w:rPr>
          <w:rFonts w:hint="eastAsia"/>
          <w:lang w:val="en-US" w:eastAsia="ja-JP"/>
        </w:rPr>
        <w:t>1</w:t>
      </w:r>
      <w:r w:rsidR="004367AE">
        <w:rPr>
          <w:rFonts w:hint="eastAsia"/>
          <w:lang w:val="en-US" w:eastAsia="ja-JP"/>
        </w:rPr>
        <w:t>.</w:t>
      </w:r>
      <w:r w:rsidR="007A5ACA">
        <w:rPr>
          <w:lang w:val="en-US" w:eastAsia="ja-JP"/>
        </w:rPr>
        <w:tab/>
      </w:r>
      <w:r w:rsidR="00482991">
        <w:rPr>
          <w:rFonts w:hint="eastAsia"/>
          <w:lang w:val="en-GB" w:eastAsia="ja-JP"/>
        </w:rPr>
        <w:t>Clarification of aged carbon canister and when to install</w:t>
      </w:r>
      <w:r w:rsidR="00482991">
        <w:rPr>
          <w:lang w:val="en-US" w:eastAsia="ja-JP"/>
        </w:rPr>
        <w:t xml:space="preserve"> </w:t>
      </w:r>
    </w:p>
    <w:p w14:paraId="636F857E" w14:textId="36624B8A" w:rsidR="00482991" w:rsidRDefault="00482991" w:rsidP="007A5ACA">
      <w:pPr>
        <w:pStyle w:val="SingleTxtG"/>
        <w:rPr>
          <w:lang w:val="en-GB" w:eastAsia="ja-JP"/>
        </w:rPr>
      </w:pPr>
      <w:r>
        <w:rPr>
          <w:rFonts w:hint="eastAsia"/>
          <w:lang w:val="en-GB" w:eastAsia="ja-JP"/>
        </w:rPr>
        <w:t>18</w:t>
      </w:r>
      <w:r w:rsidR="007A5ACA" w:rsidRPr="007A5ACA">
        <w:rPr>
          <w:lang w:val="en-GB"/>
        </w:rPr>
        <w:t>.</w:t>
      </w:r>
      <w:r w:rsidR="007A5ACA" w:rsidRPr="007A5ACA">
        <w:rPr>
          <w:lang w:val="en-GB"/>
        </w:rPr>
        <w:tab/>
      </w:r>
      <w:r>
        <w:rPr>
          <w:rFonts w:hint="eastAsia"/>
          <w:lang w:val="en-GB" w:eastAsia="ja-JP"/>
        </w:rPr>
        <w:t>During the 23</w:t>
      </w:r>
      <w:r w:rsidRPr="00482991">
        <w:rPr>
          <w:rFonts w:hint="eastAsia"/>
          <w:vertAlign w:val="superscript"/>
          <w:lang w:val="en-GB" w:eastAsia="ja-JP"/>
        </w:rPr>
        <w:t>rd</w:t>
      </w:r>
      <w:r>
        <w:rPr>
          <w:rFonts w:hint="eastAsia"/>
          <w:lang w:val="en-GB" w:eastAsia="ja-JP"/>
        </w:rPr>
        <w:t xml:space="preserve"> WLTP IWG, Japan requested to clarify what is </w:t>
      </w:r>
      <w:r w:rsidR="00B47243">
        <w:rPr>
          <w:lang w:val="en-GB" w:eastAsia="ja-JP"/>
        </w:rPr>
        <w:t>an</w:t>
      </w:r>
      <w:r w:rsidR="00B47243">
        <w:rPr>
          <w:rFonts w:hint="eastAsia"/>
          <w:lang w:val="en-GB" w:eastAsia="ja-JP"/>
        </w:rPr>
        <w:t xml:space="preserve"> </w:t>
      </w:r>
      <w:r>
        <w:rPr>
          <w:rFonts w:hint="eastAsia"/>
          <w:lang w:val="en-GB" w:eastAsia="ja-JP"/>
        </w:rPr>
        <w:t xml:space="preserve">aged carbon canister and when it should be installed. Japan said Paragraph </w:t>
      </w:r>
      <w:r w:rsidR="004C2526">
        <w:rPr>
          <w:rFonts w:hint="eastAsia"/>
          <w:lang w:val="en-GB" w:eastAsia="ja-JP"/>
        </w:rPr>
        <w:t>3</w:t>
      </w:r>
      <w:r>
        <w:rPr>
          <w:rFonts w:hint="eastAsia"/>
          <w:lang w:val="en-GB" w:eastAsia="ja-JP"/>
        </w:rPr>
        <w:t xml:space="preserve"> of Annex 1 to UN</w:t>
      </w:r>
      <w:r>
        <w:rPr>
          <w:lang w:val="en-US" w:eastAsia="ja-JP"/>
        </w:rPr>
        <w:t> </w:t>
      </w:r>
      <w:r>
        <w:rPr>
          <w:rFonts w:hint="eastAsia"/>
          <w:lang w:val="en-GB" w:eastAsia="ja-JP"/>
        </w:rPr>
        <w:t>GTR</w:t>
      </w:r>
      <w:r>
        <w:rPr>
          <w:lang w:val="en-US" w:eastAsia="ja-JP"/>
        </w:rPr>
        <w:t> </w:t>
      </w:r>
      <w:r>
        <w:rPr>
          <w:rFonts w:hint="eastAsia"/>
          <w:lang w:val="en-GB" w:eastAsia="ja-JP"/>
        </w:rPr>
        <w:t>No.</w:t>
      </w:r>
      <w:r>
        <w:rPr>
          <w:lang w:val="en-US" w:eastAsia="ja-JP"/>
        </w:rPr>
        <w:t> </w:t>
      </w:r>
      <w:r>
        <w:rPr>
          <w:rFonts w:hint="eastAsia"/>
          <w:lang w:val="en-GB" w:eastAsia="ja-JP"/>
        </w:rPr>
        <w:t>19 might lead to misunderstanding that the measurement of Butane Working Capacity</w:t>
      </w:r>
      <w:r w:rsidR="00891E76">
        <w:rPr>
          <w:rFonts w:hint="eastAsia"/>
          <w:lang w:val="en-GB" w:eastAsia="ja-JP"/>
        </w:rPr>
        <w:t xml:space="preserve"> (BWC)</w:t>
      </w:r>
      <w:r>
        <w:rPr>
          <w:rFonts w:hint="eastAsia"/>
          <w:lang w:val="en-GB" w:eastAsia="ja-JP"/>
        </w:rPr>
        <w:t xml:space="preserve"> 300 </w:t>
      </w:r>
      <w:proofErr w:type="gramStart"/>
      <w:r w:rsidR="00B47243">
        <w:rPr>
          <w:lang w:val="en-GB" w:eastAsia="ja-JP"/>
        </w:rPr>
        <w:t xml:space="preserve">is </w:t>
      </w:r>
      <w:r>
        <w:rPr>
          <w:lang w:val="en-GB" w:eastAsia="ja-JP"/>
        </w:rPr>
        <w:t xml:space="preserve">considered </w:t>
      </w:r>
      <w:r w:rsidR="00B47243">
        <w:rPr>
          <w:lang w:val="en-GB" w:eastAsia="ja-JP"/>
        </w:rPr>
        <w:t>to be</w:t>
      </w:r>
      <w:proofErr w:type="gramEnd"/>
      <w:r w:rsidR="00B47243">
        <w:rPr>
          <w:lang w:val="en-GB" w:eastAsia="ja-JP"/>
        </w:rPr>
        <w:t xml:space="preserve"> </w:t>
      </w:r>
      <w:r>
        <w:rPr>
          <w:lang w:val="en-GB" w:eastAsia="ja-JP"/>
        </w:rPr>
        <w:t xml:space="preserve">part </w:t>
      </w:r>
      <w:r w:rsidR="006A4F50">
        <w:rPr>
          <w:lang w:val="en-GB" w:eastAsia="ja-JP"/>
        </w:rPr>
        <w:t xml:space="preserve">of the </w:t>
      </w:r>
      <w:r w:rsidR="001C549E">
        <w:rPr>
          <w:rFonts w:hint="eastAsia"/>
          <w:lang w:val="en-GB" w:eastAsia="ja-JP"/>
        </w:rPr>
        <w:t>process to age</w:t>
      </w:r>
      <w:r>
        <w:rPr>
          <w:lang w:val="en-GB" w:eastAsia="ja-JP"/>
        </w:rPr>
        <w:t xml:space="preserve"> </w:t>
      </w:r>
      <w:r>
        <w:rPr>
          <w:rFonts w:hint="eastAsia"/>
          <w:lang w:val="en-GB" w:eastAsia="ja-JP"/>
        </w:rPr>
        <w:t>the carbon canister. This paragraph is also unclear if the aged carbon canister should be installed during the run-in.</w:t>
      </w:r>
    </w:p>
    <w:p w14:paraId="74144603" w14:textId="6DC1696F" w:rsidR="00482991" w:rsidRDefault="00482991" w:rsidP="007A5ACA">
      <w:pPr>
        <w:pStyle w:val="SingleTxtG"/>
        <w:rPr>
          <w:lang w:val="en-GB" w:eastAsia="ja-JP"/>
        </w:rPr>
      </w:pPr>
      <w:r>
        <w:rPr>
          <w:rFonts w:hint="eastAsia"/>
          <w:lang w:val="en-GB" w:eastAsia="ja-JP"/>
        </w:rPr>
        <w:t>19.</w:t>
      </w:r>
      <w:r>
        <w:rPr>
          <w:rFonts w:hint="eastAsia"/>
          <w:lang w:val="en-GB" w:eastAsia="ja-JP"/>
        </w:rPr>
        <w:tab/>
      </w:r>
      <w:r w:rsidR="0051215B">
        <w:rPr>
          <w:rFonts w:hint="eastAsia"/>
          <w:lang w:val="en-GB" w:eastAsia="ja-JP"/>
        </w:rPr>
        <w:t>The t</w:t>
      </w:r>
      <w:r w:rsidR="004C2526">
        <w:rPr>
          <w:rFonts w:hint="eastAsia"/>
          <w:lang w:val="en-GB" w:eastAsia="ja-JP"/>
        </w:rPr>
        <w:t xml:space="preserve">ask </w:t>
      </w:r>
      <w:r>
        <w:rPr>
          <w:rFonts w:hint="eastAsia"/>
          <w:lang w:val="en-GB" w:eastAsia="ja-JP"/>
        </w:rPr>
        <w:t xml:space="preserve">force members </w:t>
      </w:r>
      <w:r w:rsidR="004C2526">
        <w:rPr>
          <w:rFonts w:hint="eastAsia"/>
          <w:lang w:val="en-GB" w:eastAsia="ja-JP"/>
        </w:rPr>
        <w:t xml:space="preserve">confirmed </w:t>
      </w:r>
      <w:r>
        <w:rPr>
          <w:rFonts w:hint="eastAsia"/>
          <w:lang w:val="en-GB" w:eastAsia="ja-JP"/>
        </w:rPr>
        <w:t xml:space="preserve">that the aged carbon canister </w:t>
      </w:r>
      <w:r w:rsidR="004C2526">
        <w:rPr>
          <w:rFonts w:hint="eastAsia"/>
          <w:lang w:val="en-GB" w:eastAsia="ja-JP"/>
        </w:rPr>
        <w:t>shall not be installed to vehicle during the run-in period</w:t>
      </w:r>
      <w:r w:rsidR="00B47243">
        <w:rPr>
          <w:lang w:val="en-GB" w:eastAsia="ja-JP"/>
        </w:rPr>
        <w:t xml:space="preserve"> </w:t>
      </w:r>
      <w:proofErr w:type="gramStart"/>
      <w:r w:rsidR="00B47243">
        <w:rPr>
          <w:lang w:val="en-GB" w:eastAsia="ja-JP"/>
        </w:rPr>
        <w:t>in order</w:t>
      </w:r>
      <w:r w:rsidR="004C2526">
        <w:rPr>
          <w:rFonts w:hint="eastAsia"/>
          <w:lang w:val="en-GB" w:eastAsia="ja-JP"/>
        </w:rPr>
        <w:t xml:space="preserve"> to</w:t>
      </w:r>
      <w:proofErr w:type="gramEnd"/>
      <w:r w:rsidR="004C2526">
        <w:rPr>
          <w:rFonts w:hint="eastAsia"/>
          <w:lang w:val="en-GB" w:eastAsia="ja-JP"/>
        </w:rPr>
        <w:t xml:space="preserve"> keep the condition of aged carbon canister </w:t>
      </w:r>
      <w:r w:rsidR="00B47243">
        <w:rPr>
          <w:lang w:val="en-GB" w:eastAsia="ja-JP"/>
        </w:rPr>
        <w:t xml:space="preserve">the </w:t>
      </w:r>
      <w:r w:rsidR="008F057E">
        <w:rPr>
          <w:rFonts w:hint="eastAsia"/>
          <w:lang w:val="en-GB" w:eastAsia="ja-JP"/>
        </w:rPr>
        <w:t xml:space="preserve">same </w:t>
      </w:r>
      <w:r w:rsidR="00B47243">
        <w:rPr>
          <w:lang w:val="en-GB" w:eastAsia="ja-JP"/>
        </w:rPr>
        <w:t xml:space="preserve">as </w:t>
      </w:r>
      <w:r w:rsidR="008F057E">
        <w:rPr>
          <w:rFonts w:hint="eastAsia"/>
          <w:lang w:val="en-GB" w:eastAsia="ja-JP"/>
        </w:rPr>
        <w:t>before every test</w:t>
      </w:r>
      <w:r w:rsidR="004C2526">
        <w:rPr>
          <w:rFonts w:hint="eastAsia"/>
          <w:lang w:val="en-GB" w:eastAsia="ja-JP"/>
        </w:rPr>
        <w:t xml:space="preserve">. Therefore, task force members decided to add the text to avoid the aged carbon canister to be installed during the run-in period. For more clarification, members decided to add another text </w:t>
      </w:r>
      <w:r w:rsidR="00B47243">
        <w:rPr>
          <w:lang w:val="en-GB" w:eastAsia="ja-JP"/>
        </w:rPr>
        <w:t xml:space="preserve">that </w:t>
      </w:r>
      <w:r w:rsidR="004C2526">
        <w:rPr>
          <w:rFonts w:hint="eastAsia"/>
          <w:lang w:val="en-GB" w:eastAsia="ja-JP"/>
        </w:rPr>
        <w:t>the aged carbon canister shall not be installed until the start of the first fuel drain and refill procedure.</w:t>
      </w:r>
    </w:p>
    <w:p w14:paraId="6F7618A2" w14:textId="612D4A5A" w:rsidR="00891E76" w:rsidRDefault="00891E76" w:rsidP="007A5ACA">
      <w:pPr>
        <w:pStyle w:val="SingleTxtG"/>
        <w:rPr>
          <w:lang w:val="en-GB" w:eastAsia="ja-JP"/>
        </w:rPr>
      </w:pPr>
      <w:r>
        <w:rPr>
          <w:rFonts w:hint="eastAsia"/>
          <w:lang w:val="en-GB" w:eastAsia="ja-JP"/>
        </w:rPr>
        <w:t>20</w:t>
      </w:r>
      <w:r w:rsidR="007A5ACA" w:rsidRPr="007A5ACA">
        <w:rPr>
          <w:lang w:val="en-GB"/>
        </w:rPr>
        <w:t>.</w:t>
      </w:r>
      <w:r w:rsidR="007A5ACA" w:rsidRPr="007A5ACA">
        <w:rPr>
          <w:lang w:val="en-GB"/>
        </w:rPr>
        <w:tab/>
      </w:r>
      <w:r w:rsidR="0051215B">
        <w:rPr>
          <w:rFonts w:hint="eastAsia"/>
          <w:lang w:val="en-GB" w:eastAsia="ja-JP"/>
        </w:rPr>
        <w:t>The t</w:t>
      </w:r>
      <w:r>
        <w:rPr>
          <w:rFonts w:hint="eastAsia"/>
          <w:lang w:val="en-GB" w:eastAsia="ja-JP"/>
        </w:rPr>
        <w:t xml:space="preserve">ask force members also confirmed that the measurement of BWC300 is not part of process to </w:t>
      </w:r>
      <w:r w:rsidR="00B47243">
        <w:rPr>
          <w:lang w:val="en-GB" w:eastAsia="ja-JP"/>
        </w:rPr>
        <w:t xml:space="preserve">age </w:t>
      </w:r>
      <w:r>
        <w:rPr>
          <w:rFonts w:hint="eastAsia"/>
          <w:lang w:val="en-GB" w:eastAsia="ja-JP"/>
        </w:rPr>
        <w:t xml:space="preserve">the carbon canister. Therefore, members decided to add paragraph numbers to clarify what is the process of </w:t>
      </w:r>
      <w:r w:rsidR="00B47243">
        <w:rPr>
          <w:lang w:val="en-GB" w:eastAsia="ja-JP"/>
        </w:rPr>
        <w:t xml:space="preserve">ageing </w:t>
      </w:r>
      <w:r w:rsidR="008F057E">
        <w:rPr>
          <w:rFonts w:hint="eastAsia"/>
          <w:lang w:val="en-GB" w:eastAsia="ja-JP"/>
        </w:rPr>
        <w:t>the carbon canister.</w:t>
      </w:r>
    </w:p>
    <w:p w14:paraId="437F0E57" w14:textId="473E80F5" w:rsidR="007A5ACA" w:rsidRDefault="007A5ACA" w:rsidP="007A5ACA">
      <w:pPr>
        <w:pStyle w:val="H4G"/>
        <w:rPr>
          <w:lang w:val="en-US" w:eastAsia="ja-JP"/>
        </w:rPr>
      </w:pPr>
      <w:r>
        <w:rPr>
          <w:lang w:val="en-US" w:eastAsia="ja-JP"/>
        </w:rPr>
        <w:tab/>
      </w:r>
      <w:r w:rsidR="008F057E">
        <w:rPr>
          <w:rFonts w:hint="eastAsia"/>
          <w:lang w:val="en-US" w:eastAsia="ja-JP"/>
        </w:rPr>
        <w:t>3</w:t>
      </w:r>
      <w:r>
        <w:rPr>
          <w:lang w:val="en-US" w:eastAsia="ja-JP"/>
        </w:rPr>
        <w:t>.</w:t>
      </w:r>
      <w:r w:rsidR="004367AE">
        <w:rPr>
          <w:rFonts w:hint="eastAsia"/>
          <w:lang w:val="en-US" w:eastAsia="ja-JP"/>
        </w:rPr>
        <w:t>2</w:t>
      </w:r>
      <w:r>
        <w:rPr>
          <w:lang w:val="en-US" w:eastAsia="ja-JP"/>
        </w:rPr>
        <w:t>.</w:t>
      </w:r>
      <w:r>
        <w:rPr>
          <w:lang w:val="en-US" w:eastAsia="ja-JP"/>
        </w:rPr>
        <w:tab/>
      </w:r>
      <w:r w:rsidR="008F057E">
        <w:rPr>
          <w:rFonts w:hint="eastAsia"/>
          <w:lang w:val="en-GB" w:eastAsia="ja-JP"/>
        </w:rPr>
        <w:t>Clarification and review of test equipment</w:t>
      </w:r>
    </w:p>
    <w:p w14:paraId="25F702D7" w14:textId="4E90B27A" w:rsidR="008F057E" w:rsidRDefault="007A5ACA" w:rsidP="007A5ACA">
      <w:pPr>
        <w:pStyle w:val="SingleTxtG"/>
        <w:rPr>
          <w:lang w:val="en-GB" w:eastAsia="ja-JP"/>
        </w:rPr>
      </w:pPr>
      <w:r>
        <w:rPr>
          <w:lang w:val="en-US" w:eastAsia="ja-JP"/>
        </w:rPr>
        <w:t>2</w:t>
      </w:r>
      <w:r w:rsidR="008F057E">
        <w:rPr>
          <w:rFonts w:hint="eastAsia"/>
          <w:lang w:val="en-US" w:eastAsia="ja-JP"/>
        </w:rPr>
        <w:t>1</w:t>
      </w:r>
      <w:r>
        <w:rPr>
          <w:lang w:val="en-US" w:eastAsia="ja-JP"/>
        </w:rPr>
        <w:t>.</w:t>
      </w:r>
      <w:r>
        <w:rPr>
          <w:lang w:val="en-US" w:eastAsia="ja-JP"/>
        </w:rPr>
        <w:tab/>
      </w:r>
      <w:r w:rsidR="008F057E">
        <w:rPr>
          <w:rFonts w:hint="eastAsia"/>
          <w:lang w:val="en-GB" w:eastAsia="ja-JP"/>
        </w:rPr>
        <w:t>During the 23</w:t>
      </w:r>
      <w:r w:rsidR="008F057E" w:rsidRPr="00482991">
        <w:rPr>
          <w:rFonts w:hint="eastAsia"/>
          <w:vertAlign w:val="superscript"/>
          <w:lang w:val="en-GB" w:eastAsia="ja-JP"/>
        </w:rPr>
        <w:t>rd</w:t>
      </w:r>
      <w:r w:rsidR="008F057E">
        <w:rPr>
          <w:rFonts w:hint="eastAsia"/>
          <w:lang w:val="en-GB" w:eastAsia="ja-JP"/>
        </w:rPr>
        <w:t xml:space="preserve"> WLTP IWG, Japan mentioned </w:t>
      </w:r>
      <w:r w:rsidR="00B47243">
        <w:rPr>
          <w:lang w:val="en-GB" w:eastAsia="ja-JP"/>
        </w:rPr>
        <w:t xml:space="preserve">that </w:t>
      </w:r>
      <w:r w:rsidR="008F057E">
        <w:rPr>
          <w:rFonts w:hint="eastAsia"/>
          <w:lang w:val="en-GB" w:eastAsia="ja-JP"/>
        </w:rPr>
        <w:t xml:space="preserve">there is a corrigendum to </w:t>
      </w:r>
      <w:r w:rsidR="00AC7B46">
        <w:rPr>
          <w:lang w:val="en-GB" w:eastAsia="ja-JP"/>
        </w:rPr>
        <w:t xml:space="preserve">the </w:t>
      </w:r>
      <w:r w:rsidR="008F057E">
        <w:rPr>
          <w:rFonts w:hint="eastAsia"/>
          <w:lang w:val="en-GB" w:eastAsia="ja-JP"/>
        </w:rPr>
        <w:t xml:space="preserve">requirement </w:t>
      </w:r>
      <w:r w:rsidR="00AC7B46">
        <w:rPr>
          <w:lang w:val="en-GB" w:eastAsia="ja-JP"/>
        </w:rPr>
        <w:t>of a</w:t>
      </w:r>
      <w:r w:rsidR="00AC7B46">
        <w:rPr>
          <w:rFonts w:hint="eastAsia"/>
          <w:lang w:val="en-GB" w:eastAsia="ja-JP"/>
        </w:rPr>
        <w:t xml:space="preserve"> </w:t>
      </w:r>
      <w:r w:rsidR="008F057E">
        <w:rPr>
          <w:rFonts w:hint="eastAsia"/>
          <w:lang w:val="en-GB" w:eastAsia="ja-JP"/>
        </w:rPr>
        <w:t>variable</w:t>
      </w:r>
      <w:r w:rsidR="00AC7B46">
        <w:rPr>
          <w:lang w:val="en-GB" w:eastAsia="ja-JP"/>
        </w:rPr>
        <w:t xml:space="preserve"> </w:t>
      </w:r>
      <w:r w:rsidR="008F057E">
        <w:rPr>
          <w:rFonts w:hint="eastAsia"/>
          <w:lang w:val="en-GB" w:eastAsia="ja-JP"/>
        </w:rPr>
        <w:t>volume enclosure, which is the limit of the difference between the enclosure internal and the barometric pressures.</w:t>
      </w:r>
    </w:p>
    <w:p w14:paraId="557FBF5E" w14:textId="6493DCA7" w:rsidR="008F057E" w:rsidRDefault="008F057E" w:rsidP="007A5ACA">
      <w:pPr>
        <w:pStyle w:val="SingleTxtG"/>
        <w:rPr>
          <w:lang w:val="en-GB" w:eastAsia="ja-JP"/>
        </w:rPr>
      </w:pPr>
      <w:r>
        <w:rPr>
          <w:rFonts w:hint="eastAsia"/>
          <w:lang w:val="en-GB" w:eastAsia="ja-JP"/>
        </w:rPr>
        <w:t>22.</w:t>
      </w:r>
      <w:r>
        <w:rPr>
          <w:rFonts w:hint="eastAsia"/>
          <w:lang w:val="en-GB" w:eastAsia="ja-JP"/>
        </w:rPr>
        <w:tab/>
        <w:t>UN GTR No. 19 refers to UN Regulation No. 83 for the requirement of variable</w:t>
      </w:r>
      <w:r w:rsidR="00AC7B46">
        <w:rPr>
          <w:lang w:val="en-GB" w:eastAsia="ja-JP"/>
        </w:rPr>
        <w:t xml:space="preserve"> </w:t>
      </w:r>
      <w:r>
        <w:rPr>
          <w:rFonts w:hint="eastAsia"/>
          <w:lang w:val="en-GB" w:eastAsia="ja-JP"/>
        </w:rPr>
        <w:t xml:space="preserve">volume </w:t>
      </w:r>
      <w:r>
        <w:rPr>
          <w:lang w:val="en-GB" w:eastAsia="ja-JP"/>
        </w:rPr>
        <w:t>enclosure</w:t>
      </w:r>
      <w:r>
        <w:rPr>
          <w:rFonts w:hint="eastAsia"/>
          <w:lang w:val="en-GB" w:eastAsia="ja-JP"/>
        </w:rPr>
        <w:t xml:space="preserve"> and this requirement was originally based on US EPA regulation. In </w:t>
      </w:r>
      <w:r w:rsidR="00AC7B46">
        <w:rPr>
          <w:lang w:val="en-GB" w:eastAsia="ja-JP"/>
        </w:rPr>
        <w:t xml:space="preserve">the </w:t>
      </w:r>
      <w:r>
        <w:rPr>
          <w:rFonts w:hint="eastAsia"/>
          <w:lang w:val="en-GB" w:eastAsia="ja-JP"/>
        </w:rPr>
        <w:t xml:space="preserve">EPA regulation, the limit is a maximum value of </w:t>
      </w:r>
      <w:r w:rsidRPr="008F057E">
        <w:rPr>
          <w:lang w:val="en-GB" w:eastAsia="ja-JP"/>
        </w:rPr>
        <w:t xml:space="preserve">± </w:t>
      </w:r>
      <w:r>
        <w:rPr>
          <w:rFonts w:hint="eastAsia"/>
          <w:lang w:val="en-GB" w:eastAsia="ja-JP"/>
        </w:rPr>
        <w:t xml:space="preserve">2.0 inches of water, which equals to around </w:t>
      </w:r>
      <w:r w:rsidRPr="008F057E">
        <w:rPr>
          <w:lang w:val="en-GB" w:eastAsia="ja-JP"/>
        </w:rPr>
        <w:t>±</w:t>
      </w:r>
      <w:r>
        <w:rPr>
          <w:lang w:val="en-US" w:eastAsia="ja-JP"/>
        </w:rPr>
        <w:t> </w:t>
      </w:r>
      <w:r>
        <w:rPr>
          <w:rFonts w:hint="eastAsia"/>
          <w:lang w:val="en-GB" w:eastAsia="ja-JP"/>
        </w:rPr>
        <w:t>0.5</w:t>
      </w:r>
      <w:r w:rsidR="009E4AA2">
        <w:rPr>
          <w:rFonts w:hint="eastAsia"/>
          <w:lang w:val="en-GB" w:eastAsia="ja-JP"/>
        </w:rPr>
        <w:t xml:space="preserve"> </w:t>
      </w:r>
      <w:r>
        <w:rPr>
          <w:rFonts w:hint="eastAsia"/>
          <w:lang w:val="en-GB" w:eastAsia="ja-JP"/>
        </w:rPr>
        <w:t xml:space="preserve">kPa. However, in UN Regulation No. 83, the limit is </w:t>
      </w:r>
      <w:r w:rsidRPr="008F057E">
        <w:rPr>
          <w:lang w:val="en-GB" w:eastAsia="ja-JP"/>
        </w:rPr>
        <w:t>±</w:t>
      </w:r>
      <w:r>
        <w:rPr>
          <w:lang w:val="en-US" w:eastAsia="ja-JP"/>
        </w:rPr>
        <w:t> </w:t>
      </w:r>
      <w:r w:rsidR="009E4AA2">
        <w:rPr>
          <w:rFonts w:hint="eastAsia"/>
          <w:lang w:val="en-GB" w:eastAsia="ja-JP"/>
        </w:rPr>
        <w:t>5 hPa</w:t>
      </w:r>
      <w:r>
        <w:rPr>
          <w:rFonts w:hint="eastAsia"/>
          <w:lang w:val="en-GB" w:eastAsia="ja-JP"/>
        </w:rPr>
        <w:t>.</w:t>
      </w:r>
    </w:p>
    <w:p w14:paraId="41C6C2C8" w14:textId="72C8DC63" w:rsidR="008F057E" w:rsidRDefault="008F057E" w:rsidP="007A5ACA">
      <w:pPr>
        <w:pStyle w:val="SingleTxtG"/>
        <w:rPr>
          <w:lang w:val="en-US" w:eastAsia="ja-JP"/>
        </w:rPr>
      </w:pPr>
      <w:r>
        <w:rPr>
          <w:rFonts w:hint="eastAsia"/>
          <w:lang w:val="en-GB" w:eastAsia="ja-JP"/>
        </w:rPr>
        <w:t>23.</w:t>
      </w:r>
      <w:r>
        <w:rPr>
          <w:rFonts w:hint="eastAsia"/>
          <w:lang w:val="en-GB" w:eastAsia="ja-JP"/>
        </w:rPr>
        <w:tab/>
      </w:r>
      <w:r w:rsidR="0051215B">
        <w:rPr>
          <w:rFonts w:hint="eastAsia"/>
          <w:lang w:val="en-GB" w:eastAsia="ja-JP"/>
        </w:rPr>
        <w:t>At first, t</w:t>
      </w:r>
      <w:r>
        <w:rPr>
          <w:rFonts w:hint="eastAsia"/>
          <w:lang w:val="en-GB" w:eastAsia="ja-JP"/>
        </w:rPr>
        <w:t>he task force members</w:t>
      </w:r>
      <w:r w:rsidR="0051215B">
        <w:rPr>
          <w:rFonts w:hint="eastAsia"/>
          <w:lang w:val="en-GB" w:eastAsia="ja-JP"/>
        </w:rPr>
        <w:t xml:space="preserve"> decided to correct the value in UN GTR No. 19. However, to avoid separate requirements to test equipment among UN GTR No. 19 and UN</w:t>
      </w:r>
      <w:r w:rsidR="0051215B">
        <w:rPr>
          <w:lang w:val="en-US" w:eastAsia="ja-JP"/>
        </w:rPr>
        <w:t> </w:t>
      </w:r>
      <w:r w:rsidR="0051215B">
        <w:rPr>
          <w:rFonts w:hint="eastAsia"/>
          <w:lang w:val="en-GB" w:eastAsia="ja-JP"/>
        </w:rPr>
        <w:t>Regulation No. 83, OICA (</w:t>
      </w:r>
      <w:r w:rsidR="0051215B" w:rsidRPr="0051215B">
        <w:rPr>
          <w:lang w:val="en-GB" w:eastAsia="ja-JP"/>
        </w:rPr>
        <w:t>Organisation Internationale des Constructeurs d'Automobiles</w:t>
      </w:r>
      <w:r w:rsidR="0051215B">
        <w:rPr>
          <w:rFonts w:hint="eastAsia"/>
          <w:lang w:val="en-GB" w:eastAsia="ja-JP"/>
        </w:rPr>
        <w:t xml:space="preserve">) requested to change UN Regulation No. 83. Other requirements of test equipment in </w:t>
      </w:r>
      <w:r w:rsidR="00AC7B46">
        <w:rPr>
          <w:lang w:val="en-GB" w:eastAsia="ja-JP"/>
        </w:rPr>
        <w:t xml:space="preserve">the </w:t>
      </w:r>
      <w:r w:rsidR="0051215B">
        <w:rPr>
          <w:rFonts w:hint="eastAsia"/>
          <w:lang w:val="en-GB" w:eastAsia="ja-JP"/>
        </w:rPr>
        <w:t>latest UN</w:t>
      </w:r>
      <w:r w:rsidR="0051215B">
        <w:rPr>
          <w:lang w:val="en-US" w:eastAsia="ja-JP"/>
        </w:rPr>
        <w:t> </w:t>
      </w:r>
      <w:r w:rsidR="0051215B">
        <w:rPr>
          <w:rFonts w:hint="eastAsia"/>
          <w:lang w:val="en-GB" w:eastAsia="ja-JP"/>
        </w:rPr>
        <w:t>GTR No. 19</w:t>
      </w:r>
      <w:r w:rsidR="00AC7B46">
        <w:rPr>
          <w:lang w:val="en-GB" w:eastAsia="ja-JP"/>
        </w:rPr>
        <w:t>, correcting</w:t>
      </w:r>
      <w:r w:rsidR="0051215B">
        <w:rPr>
          <w:rFonts w:hint="eastAsia"/>
          <w:lang w:val="en-GB" w:eastAsia="ja-JP"/>
        </w:rPr>
        <w:t xml:space="preserve"> UN Regulation No. 83</w:t>
      </w:r>
      <w:r w:rsidR="0051215B" w:rsidRPr="00F9688C">
        <w:rPr>
          <w:rFonts w:hint="eastAsia"/>
          <w:lang w:val="en-GB" w:eastAsia="ja-JP"/>
        </w:rPr>
        <w:t xml:space="preserve"> </w:t>
      </w:r>
      <w:r w:rsidR="00F9688C" w:rsidRPr="00F9688C">
        <w:rPr>
          <w:lang w:val="en-GB" w:eastAsia="ja-JP"/>
        </w:rPr>
        <w:t>requirements</w:t>
      </w:r>
      <w:r w:rsidR="00AC7B46">
        <w:rPr>
          <w:lang w:val="en-GB" w:eastAsia="ja-JP"/>
        </w:rPr>
        <w:t>,</w:t>
      </w:r>
      <w:r w:rsidR="0051215B">
        <w:rPr>
          <w:rFonts w:hint="eastAsia"/>
          <w:lang w:val="en-GB" w:eastAsia="ja-JP"/>
        </w:rPr>
        <w:t xml:space="preserve"> were deleted from UN GTR No. 19 and will be expected to </w:t>
      </w:r>
      <w:r w:rsidR="00AC7B46">
        <w:rPr>
          <w:lang w:val="en-GB" w:eastAsia="ja-JP"/>
        </w:rPr>
        <w:t>be reflected</w:t>
      </w:r>
      <w:r w:rsidR="00D1732F">
        <w:rPr>
          <w:lang w:val="en-GB" w:eastAsia="ja-JP"/>
        </w:rPr>
        <w:t xml:space="preserve"> </w:t>
      </w:r>
      <w:r w:rsidR="00AC7B46">
        <w:rPr>
          <w:lang w:val="en-GB" w:eastAsia="ja-JP"/>
        </w:rPr>
        <w:t>in</w:t>
      </w:r>
      <w:r w:rsidR="0051215B">
        <w:rPr>
          <w:rFonts w:hint="eastAsia"/>
          <w:lang w:val="en-GB" w:eastAsia="ja-JP"/>
        </w:rPr>
        <w:t xml:space="preserve"> UN</w:t>
      </w:r>
      <w:r w:rsidR="0051215B">
        <w:rPr>
          <w:lang w:val="en-US" w:eastAsia="ja-JP"/>
        </w:rPr>
        <w:t> </w:t>
      </w:r>
      <w:r w:rsidR="0051215B">
        <w:rPr>
          <w:rFonts w:hint="eastAsia"/>
          <w:lang w:val="en-GB" w:eastAsia="ja-JP"/>
        </w:rPr>
        <w:t>Regulation</w:t>
      </w:r>
      <w:r w:rsidR="0051215B">
        <w:rPr>
          <w:lang w:val="en-US" w:eastAsia="ja-JP"/>
        </w:rPr>
        <w:t> </w:t>
      </w:r>
      <w:r w:rsidR="0051215B">
        <w:rPr>
          <w:rFonts w:hint="eastAsia"/>
          <w:lang w:val="en-GB" w:eastAsia="ja-JP"/>
        </w:rPr>
        <w:t>No.</w:t>
      </w:r>
      <w:r w:rsidR="0051215B">
        <w:rPr>
          <w:lang w:val="en-US" w:eastAsia="ja-JP"/>
        </w:rPr>
        <w:t> </w:t>
      </w:r>
      <w:r w:rsidR="0051215B">
        <w:rPr>
          <w:rFonts w:hint="eastAsia"/>
          <w:lang w:val="en-GB" w:eastAsia="ja-JP"/>
        </w:rPr>
        <w:t xml:space="preserve">83 in </w:t>
      </w:r>
      <w:r w:rsidR="00F9688C">
        <w:rPr>
          <w:lang w:val="en-GB" w:eastAsia="ja-JP"/>
        </w:rPr>
        <w:t>the</w:t>
      </w:r>
      <w:r w:rsidR="0051215B">
        <w:rPr>
          <w:rFonts w:hint="eastAsia"/>
          <w:lang w:val="en-GB" w:eastAsia="ja-JP"/>
        </w:rPr>
        <w:t xml:space="preserve"> 78</w:t>
      </w:r>
      <w:r w:rsidR="0051215B" w:rsidRPr="0051215B">
        <w:rPr>
          <w:rFonts w:hint="eastAsia"/>
          <w:vertAlign w:val="superscript"/>
          <w:lang w:val="en-GB" w:eastAsia="ja-JP"/>
        </w:rPr>
        <w:t>th</w:t>
      </w:r>
      <w:r w:rsidR="0051215B">
        <w:rPr>
          <w:rFonts w:hint="eastAsia"/>
          <w:lang w:val="en-GB" w:eastAsia="ja-JP"/>
        </w:rPr>
        <w:t xml:space="preserve"> GRPE.</w:t>
      </w:r>
    </w:p>
    <w:p w14:paraId="7D3179F8" w14:textId="2165BC34" w:rsidR="0051215B" w:rsidRDefault="0051215B" w:rsidP="007A5ACA">
      <w:pPr>
        <w:pStyle w:val="SingleTxtG"/>
        <w:rPr>
          <w:lang w:val="en-US" w:eastAsia="ja-JP"/>
        </w:rPr>
      </w:pPr>
      <w:r>
        <w:rPr>
          <w:rFonts w:hint="eastAsia"/>
          <w:lang w:val="en-US" w:eastAsia="ja-JP"/>
        </w:rPr>
        <w:t>24.</w:t>
      </w:r>
      <w:r>
        <w:rPr>
          <w:rFonts w:hint="eastAsia"/>
          <w:lang w:val="en-US" w:eastAsia="ja-JP"/>
        </w:rPr>
        <w:tab/>
        <w:t>During the review of test equipment, one of member mentioned that the requirement</w:t>
      </w:r>
      <w:r w:rsidR="009E5441">
        <w:rPr>
          <w:rFonts w:hint="eastAsia"/>
          <w:lang w:val="en-US" w:eastAsia="ja-JP"/>
        </w:rPr>
        <w:t>s</w:t>
      </w:r>
      <w:r>
        <w:rPr>
          <w:rFonts w:hint="eastAsia"/>
          <w:lang w:val="en-US" w:eastAsia="ja-JP"/>
        </w:rPr>
        <w:t xml:space="preserve"> </w:t>
      </w:r>
      <w:r w:rsidR="009E5441">
        <w:rPr>
          <w:rFonts w:hint="eastAsia"/>
          <w:lang w:val="en-US" w:eastAsia="ja-JP"/>
        </w:rPr>
        <w:t xml:space="preserve">in </w:t>
      </w:r>
      <w:r w:rsidR="009E4AA2">
        <w:rPr>
          <w:rFonts w:hint="eastAsia"/>
          <w:lang w:val="en-US" w:eastAsia="ja-JP"/>
        </w:rPr>
        <w:t xml:space="preserve">former </w:t>
      </w:r>
      <w:r w:rsidR="009E5441">
        <w:rPr>
          <w:rFonts w:hint="eastAsia"/>
          <w:lang w:val="en-US" w:eastAsia="ja-JP"/>
        </w:rPr>
        <w:t xml:space="preserve">paragraph 4.8. </w:t>
      </w:r>
      <w:r w:rsidR="009E4AA2">
        <w:rPr>
          <w:rFonts w:hint="eastAsia"/>
          <w:lang w:val="en-US" w:eastAsia="ja-JP"/>
        </w:rPr>
        <w:t xml:space="preserve">in </w:t>
      </w:r>
      <w:r w:rsidR="00EC22F1">
        <w:rPr>
          <w:rFonts w:hint="eastAsia"/>
          <w:lang w:val="en-US" w:eastAsia="ja-JP"/>
        </w:rPr>
        <w:t xml:space="preserve">Annex 1 to </w:t>
      </w:r>
      <w:r w:rsidR="009E4AA2">
        <w:rPr>
          <w:rFonts w:hint="eastAsia"/>
          <w:lang w:val="en-US" w:eastAsia="ja-JP"/>
        </w:rPr>
        <w:t xml:space="preserve">Amendment 1, additional equipment </w:t>
      </w:r>
      <w:r w:rsidR="009E5441">
        <w:rPr>
          <w:rFonts w:hint="eastAsia"/>
          <w:lang w:val="en-US" w:eastAsia="ja-JP"/>
        </w:rPr>
        <w:lastRenderedPageBreak/>
        <w:t xml:space="preserve">and </w:t>
      </w:r>
      <w:r w:rsidR="009E4AA2">
        <w:rPr>
          <w:rFonts w:hint="eastAsia"/>
          <w:lang w:val="en-US" w:eastAsia="ja-JP"/>
        </w:rPr>
        <w:t xml:space="preserve">former </w:t>
      </w:r>
      <w:r>
        <w:rPr>
          <w:rFonts w:hint="eastAsia"/>
          <w:lang w:val="en-US" w:eastAsia="ja-JP"/>
        </w:rPr>
        <w:t>paragraph 4.9.</w:t>
      </w:r>
      <w:r w:rsidR="009E4AA2">
        <w:rPr>
          <w:rFonts w:hint="eastAsia"/>
          <w:lang w:val="en-US" w:eastAsia="ja-JP"/>
        </w:rPr>
        <w:t xml:space="preserve"> in </w:t>
      </w:r>
      <w:r w:rsidR="00EC22F1">
        <w:rPr>
          <w:rFonts w:hint="eastAsia"/>
          <w:lang w:val="en-US" w:eastAsia="ja-JP"/>
        </w:rPr>
        <w:t xml:space="preserve">Annex 1 to </w:t>
      </w:r>
      <w:r w:rsidR="009E4AA2">
        <w:rPr>
          <w:rFonts w:hint="eastAsia"/>
          <w:lang w:val="en-US" w:eastAsia="ja-JP"/>
        </w:rPr>
        <w:t>Amendment 1</w:t>
      </w:r>
      <w:r>
        <w:rPr>
          <w:rFonts w:hint="eastAsia"/>
          <w:lang w:val="en-US" w:eastAsia="ja-JP"/>
        </w:rPr>
        <w:t xml:space="preserve"> (new paragraph 4.8. in Amendment 2)</w:t>
      </w:r>
      <w:r w:rsidR="009E5441">
        <w:rPr>
          <w:rFonts w:hint="eastAsia"/>
          <w:lang w:val="en-US" w:eastAsia="ja-JP"/>
        </w:rPr>
        <w:t xml:space="preserve"> carbon </w:t>
      </w:r>
      <w:r w:rsidR="009E5441">
        <w:rPr>
          <w:lang w:val="en-US" w:eastAsia="ja-JP"/>
        </w:rPr>
        <w:t>canister</w:t>
      </w:r>
      <w:r w:rsidR="009E5441">
        <w:rPr>
          <w:rFonts w:hint="eastAsia"/>
          <w:lang w:val="en-US" w:eastAsia="ja-JP"/>
        </w:rPr>
        <w:t xml:space="preserve"> weighing </w:t>
      </w:r>
      <w:r w:rsidR="009E5441">
        <w:rPr>
          <w:lang w:val="en-US" w:eastAsia="ja-JP"/>
        </w:rPr>
        <w:t>scales</w:t>
      </w:r>
      <w:r>
        <w:rPr>
          <w:rFonts w:hint="eastAsia"/>
          <w:lang w:val="en-US" w:eastAsia="ja-JP"/>
        </w:rPr>
        <w:t xml:space="preserve"> </w:t>
      </w:r>
      <w:r w:rsidR="009E5441">
        <w:rPr>
          <w:rFonts w:hint="eastAsia"/>
          <w:lang w:val="en-US" w:eastAsia="ja-JP"/>
        </w:rPr>
        <w:t xml:space="preserve">in Annex 1 </w:t>
      </w:r>
      <w:r>
        <w:rPr>
          <w:rFonts w:hint="eastAsia"/>
          <w:lang w:val="en-US" w:eastAsia="ja-JP"/>
        </w:rPr>
        <w:t>is unclear</w:t>
      </w:r>
      <w:r w:rsidR="009E5441">
        <w:rPr>
          <w:rFonts w:hint="eastAsia"/>
          <w:lang w:val="en-US" w:eastAsia="ja-JP"/>
        </w:rPr>
        <w:t>.</w:t>
      </w:r>
    </w:p>
    <w:p w14:paraId="45980392" w14:textId="56F1E3C4" w:rsidR="009E5441" w:rsidRDefault="009E5441" w:rsidP="007A5ACA">
      <w:pPr>
        <w:pStyle w:val="SingleTxtG"/>
        <w:rPr>
          <w:lang w:val="en-US" w:eastAsia="ja-JP"/>
        </w:rPr>
      </w:pPr>
      <w:r>
        <w:rPr>
          <w:rFonts w:hint="eastAsia"/>
          <w:lang w:val="en-US" w:eastAsia="ja-JP"/>
        </w:rPr>
        <w:t>25.</w:t>
      </w:r>
      <w:r>
        <w:rPr>
          <w:rFonts w:hint="eastAsia"/>
          <w:lang w:val="en-US" w:eastAsia="ja-JP"/>
        </w:rPr>
        <w:tab/>
        <w:t xml:space="preserve">In </w:t>
      </w:r>
      <w:r w:rsidR="009E4AA2">
        <w:rPr>
          <w:rFonts w:hint="eastAsia"/>
          <w:lang w:val="en-US" w:eastAsia="ja-JP"/>
        </w:rPr>
        <w:t xml:space="preserve">former </w:t>
      </w:r>
      <w:r>
        <w:rPr>
          <w:rFonts w:hint="eastAsia"/>
          <w:lang w:val="en-US" w:eastAsia="ja-JP"/>
        </w:rPr>
        <w:t>paragraph 4.8. in Annex 1</w:t>
      </w:r>
      <w:r w:rsidR="00EC22F1">
        <w:rPr>
          <w:rFonts w:hint="eastAsia"/>
          <w:lang w:val="en-US" w:eastAsia="ja-JP"/>
        </w:rPr>
        <w:t xml:space="preserve"> to</w:t>
      </w:r>
      <w:r w:rsidR="009E4AA2">
        <w:rPr>
          <w:rFonts w:hint="eastAsia"/>
          <w:lang w:val="en-US" w:eastAsia="ja-JP"/>
        </w:rPr>
        <w:t xml:space="preserve"> Amendment 1, additional </w:t>
      </w:r>
      <w:proofErr w:type="gramStart"/>
      <w:r w:rsidR="009E4AA2">
        <w:rPr>
          <w:rFonts w:hint="eastAsia"/>
          <w:lang w:val="en-US" w:eastAsia="ja-JP"/>
        </w:rPr>
        <w:t>equipment</w:t>
      </w:r>
      <w:r>
        <w:rPr>
          <w:rFonts w:hint="eastAsia"/>
          <w:lang w:val="en-US" w:eastAsia="ja-JP"/>
        </w:rPr>
        <w:t xml:space="preserve"> ,</w:t>
      </w:r>
      <w:proofErr w:type="gramEnd"/>
      <w:r>
        <w:rPr>
          <w:rFonts w:hint="eastAsia"/>
          <w:lang w:val="en-US" w:eastAsia="ja-JP"/>
        </w:rPr>
        <w:t xml:space="preserve"> the accuracy of absolute humidity is required. Since the humidity is not measured during the evaporative emission test, </w:t>
      </w:r>
      <w:r w:rsidR="004367AE">
        <w:rPr>
          <w:rFonts w:hint="eastAsia"/>
          <w:lang w:val="en-US" w:eastAsia="ja-JP"/>
        </w:rPr>
        <w:t xml:space="preserve">the </w:t>
      </w:r>
      <w:r>
        <w:rPr>
          <w:rFonts w:hint="eastAsia"/>
          <w:lang w:val="en-US" w:eastAsia="ja-JP"/>
        </w:rPr>
        <w:t>task force members decided to delete the whole paragraph.</w:t>
      </w:r>
    </w:p>
    <w:p w14:paraId="1D3A09CF" w14:textId="593E3BDF" w:rsidR="009E5441" w:rsidRDefault="009E5441" w:rsidP="007A5ACA">
      <w:pPr>
        <w:pStyle w:val="SingleTxtG"/>
        <w:rPr>
          <w:lang w:val="en-US" w:eastAsia="ja-JP"/>
        </w:rPr>
      </w:pPr>
      <w:r>
        <w:rPr>
          <w:rFonts w:hint="eastAsia"/>
          <w:lang w:val="en-US" w:eastAsia="ja-JP"/>
        </w:rPr>
        <w:t>26.</w:t>
      </w:r>
      <w:r>
        <w:rPr>
          <w:rFonts w:hint="eastAsia"/>
          <w:lang w:val="en-US" w:eastAsia="ja-JP"/>
        </w:rPr>
        <w:tab/>
        <w:t xml:space="preserve">In </w:t>
      </w:r>
      <w:r w:rsidR="009E4AA2">
        <w:rPr>
          <w:rFonts w:hint="eastAsia"/>
          <w:lang w:val="en-US" w:eastAsia="ja-JP"/>
        </w:rPr>
        <w:t xml:space="preserve">former </w:t>
      </w:r>
      <w:r>
        <w:rPr>
          <w:rFonts w:hint="eastAsia"/>
          <w:lang w:val="en-US" w:eastAsia="ja-JP"/>
        </w:rPr>
        <w:t>paragraph 4.9. in Annex 1</w:t>
      </w:r>
      <w:r w:rsidR="009E4AA2">
        <w:rPr>
          <w:rFonts w:hint="eastAsia"/>
          <w:lang w:val="en-US" w:eastAsia="ja-JP"/>
        </w:rPr>
        <w:t xml:space="preserve"> </w:t>
      </w:r>
      <w:r w:rsidR="00EC22F1">
        <w:rPr>
          <w:rFonts w:hint="eastAsia"/>
          <w:lang w:val="en-US" w:eastAsia="ja-JP"/>
        </w:rPr>
        <w:t>to</w:t>
      </w:r>
      <w:r w:rsidR="009E4AA2">
        <w:rPr>
          <w:rFonts w:hint="eastAsia"/>
          <w:lang w:val="en-US" w:eastAsia="ja-JP"/>
        </w:rPr>
        <w:t xml:space="preserve"> Amendment 1,</w:t>
      </w:r>
      <w:r>
        <w:rPr>
          <w:rFonts w:hint="eastAsia"/>
          <w:lang w:val="en-US" w:eastAsia="ja-JP"/>
        </w:rPr>
        <w:t xml:space="preserve"> (new paragraph 4.8. in Amendment 2), carbon canister weighing scale, </w:t>
      </w:r>
      <w:r w:rsidR="00CE2B91">
        <w:rPr>
          <w:rFonts w:hint="eastAsia"/>
          <w:lang w:val="en-US" w:eastAsia="ja-JP"/>
        </w:rPr>
        <w:t xml:space="preserve">it was unclear what this </w:t>
      </w:r>
      <w:r w:rsidR="0088565C">
        <w:rPr>
          <w:rFonts w:hint="eastAsia"/>
          <w:lang w:val="en-US" w:eastAsia="ja-JP"/>
        </w:rPr>
        <w:t xml:space="preserve">scale is used for. </w:t>
      </w:r>
      <w:r w:rsidR="00CE2B91">
        <w:rPr>
          <w:rFonts w:hint="eastAsia"/>
          <w:lang w:val="en-US" w:eastAsia="ja-JP"/>
        </w:rPr>
        <w:t>This requirement was added in Amendment 1 to clarify the requirement for scale weighing the carbon canister with</w:t>
      </w:r>
      <w:r w:rsidR="00CE2B91" w:rsidRPr="00F9688C">
        <w:rPr>
          <w:rFonts w:hint="eastAsia"/>
          <w:lang w:val="en-GB" w:eastAsia="ja-JP"/>
        </w:rPr>
        <w:t xml:space="preserve"> depressurisation</w:t>
      </w:r>
      <w:r w:rsidR="00CE2B91">
        <w:rPr>
          <w:rFonts w:hint="eastAsia"/>
          <w:lang w:val="en-US" w:eastAsia="ja-JP"/>
        </w:rPr>
        <w:t xml:space="preserve"> puff loss overflow. Since this carbon canister weight shall </w:t>
      </w:r>
      <w:r w:rsidR="009E4AA2">
        <w:rPr>
          <w:rFonts w:hint="eastAsia"/>
          <w:lang w:val="en-US" w:eastAsia="ja-JP"/>
        </w:rPr>
        <w:t xml:space="preserve">be no change in the weight within the </w:t>
      </w:r>
      <w:r w:rsidR="00CE2B91">
        <w:rPr>
          <w:rFonts w:hint="eastAsia"/>
          <w:lang w:val="en-US" w:eastAsia="ja-JP"/>
        </w:rPr>
        <w:t xml:space="preserve">tolerance </w:t>
      </w:r>
      <w:r w:rsidR="00CE2B91" w:rsidRPr="00CE2B91">
        <w:rPr>
          <w:rFonts w:eastAsia="Meiryo UI"/>
          <w:lang w:val="en-US" w:eastAsia="ja-JP"/>
        </w:rPr>
        <w:t>of ±0.5 gram</w:t>
      </w:r>
      <w:r w:rsidR="00CE2B91">
        <w:rPr>
          <w:rFonts w:hint="eastAsia"/>
          <w:lang w:val="en-US" w:eastAsia="ja-JP"/>
        </w:rPr>
        <w:t xml:space="preserve">, the accuracy of the weighing scale </w:t>
      </w:r>
      <w:r w:rsidR="00EA6C70">
        <w:rPr>
          <w:lang w:val="en-US" w:eastAsia="ja-JP"/>
        </w:rPr>
        <w:t>was</w:t>
      </w:r>
      <w:r w:rsidR="00EA6C70">
        <w:rPr>
          <w:rFonts w:hint="eastAsia"/>
          <w:lang w:val="en-US" w:eastAsia="ja-JP"/>
        </w:rPr>
        <w:t xml:space="preserve"> </w:t>
      </w:r>
      <w:r w:rsidR="00CE2B91">
        <w:rPr>
          <w:rFonts w:hint="eastAsia"/>
          <w:lang w:val="en-US" w:eastAsia="ja-JP"/>
        </w:rPr>
        <w:t xml:space="preserve">clarified. However, the text can be interpreted </w:t>
      </w:r>
      <w:r w:rsidR="00EA6C70">
        <w:rPr>
          <w:lang w:val="en-US" w:eastAsia="ja-JP"/>
        </w:rPr>
        <w:t>that</w:t>
      </w:r>
      <w:r w:rsidR="00EA6C70">
        <w:rPr>
          <w:rFonts w:hint="eastAsia"/>
          <w:lang w:val="en-US" w:eastAsia="ja-JP"/>
        </w:rPr>
        <w:t xml:space="preserve"> </w:t>
      </w:r>
      <w:r w:rsidR="00CE2B91">
        <w:rPr>
          <w:rFonts w:hint="eastAsia"/>
          <w:lang w:val="en-US" w:eastAsia="ja-JP"/>
        </w:rPr>
        <w:t xml:space="preserve">this </w:t>
      </w:r>
      <w:r w:rsidR="00CE2B91">
        <w:rPr>
          <w:lang w:val="en-US" w:eastAsia="ja-JP"/>
        </w:rPr>
        <w:t>accuracy</w:t>
      </w:r>
      <w:r w:rsidR="00CE2B91">
        <w:rPr>
          <w:rFonts w:hint="eastAsia"/>
          <w:lang w:val="en-US" w:eastAsia="ja-JP"/>
        </w:rPr>
        <w:t xml:space="preserve"> </w:t>
      </w:r>
      <w:r w:rsidR="00EA6C70">
        <w:rPr>
          <w:lang w:val="en-US" w:eastAsia="ja-JP"/>
        </w:rPr>
        <w:t>applies</w:t>
      </w:r>
      <w:r w:rsidR="00EA6C70">
        <w:rPr>
          <w:rFonts w:hint="eastAsia"/>
          <w:lang w:val="en-US" w:eastAsia="ja-JP"/>
        </w:rPr>
        <w:t xml:space="preserve"> </w:t>
      </w:r>
      <w:r w:rsidR="00CE2B91">
        <w:rPr>
          <w:rFonts w:hint="eastAsia"/>
          <w:lang w:val="en-US" w:eastAsia="ja-JP"/>
        </w:rPr>
        <w:t xml:space="preserve">to all weighing scale, such as a scale used to </w:t>
      </w:r>
      <w:r w:rsidR="00D1732F">
        <w:rPr>
          <w:lang w:val="en-US" w:eastAsia="ja-JP"/>
        </w:rPr>
        <w:t xml:space="preserve">a </w:t>
      </w:r>
      <w:r w:rsidR="00CE2B91">
        <w:rPr>
          <w:rFonts w:hint="eastAsia"/>
          <w:lang w:val="en-US" w:eastAsia="ja-JP"/>
        </w:rPr>
        <w:t xml:space="preserve">measure </w:t>
      </w:r>
      <w:r w:rsidR="00D1732F">
        <w:rPr>
          <w:rFonts w:hint="eastAsia"/>
          <w:lang w:val="en-US" w:eastAsia="ja-JP"/>
        </w:rPr>
        <w:t>2</w:t>
      </w:r>
      <w:r w:rsidR="00D1732F">
        <w:rPr>
          <w:lang w:val="en-US" w:eastAsia="ja-JP"/>
        </w:rPr>
        <w:t>-</w:t>
      </w:r>
      <w:r w:rsidR="004367AE">
        <w:rPr>
          <w:rFonts w:hint="eastAsia"/>
          <w:lang w:val="en-US" w:eastAsia="ja-JP"/>
        </w:rPr>
        <w:t>gram breakthrough. The task force members decided to clarify the text.</w:t>
      </w:r>
    </w:p>
    <w:p w14:paraId="2ADA13D9" w14:textId="0488BF5A" w:rsidR="007A5ACA" w:rsidRDefault="007A5ACA" w:rsidP="007A5ACA">
      <w:pPr>
        <w:pStyle w:val="H4G"/>
        <w:rPr>
          <w:lang w:val="en-US" w:eastAsia="ja-JP"/>
        </w:rPr>
      </w:pPr>
      <w:r>
        <w:rPr>
          <w:lang w:val="en-US" w:eastAsia="ja-JP"/>
        </w:rPr>
        <w:tab/>
      </w:r>
      <w:r w:rsidR="004367AE">
        <w:rPr>
          <w:rFonts w:hint="eastAsia"/>
          <w:lang w:val="en-US" w:eastAsia="ja-JP"/>
        </w:rPr>
        <w:t>3.3.</w:t>
      </w:r>
      <w:r>
        <w:rPr>
          <w:lang w:val="en-US" w:eastAsia="ja-JP"/>
        </w:rPr>
        <w:tab/>
      </w:r>
      <w:r w:rsidR="004367AE">
        <w:rPr>
          <w:rFonts w:hint="eastAsia"/>
          <w:lang w:val="en-GB" w:eastAsia="ja-JP"/>
        </w:rPr>
        <w:t>Clarification and review of requirements of evaporative emission family</w:t>
      </w:r>
      <w:r w:rsidR="004367AE">
        <w:rPr>
          <w:lang w:val="en-US" w:eastAsia="ja-JP"/>
        </w:rPr>
        <w:t xml:space="preserve"> </w:t>
      </w:r>
    </w:p>
    <w:p w14:paraId="0D218649" w14:textId="61238801" w:rsidR="004367AE" w:rsidRDefault="007A5ACA" w:rsidP="007A5ACA">
      <w:pPr>
        <w:pStyle w:val="SingleTxtG"/>
        <w:rPr>
          <w:lang w:val="en-GB" w:eastAsia="ja-JP"/>
        </w:rPr>
      </w:pPr>
      <w:r w:rsidRPr="007A5ACA">
        <w:rPr>
          <w:lang w:val="en-GB"/>
        </w:rPr>
        <w:t>27.</w:t>
      </w:r>
      <w:r w:rsidRPr="007A5ACA">
        <w:rPr>
          <w:lang w:val="en-GB"/>
        </w:rPr>
        <w:tab/>
      </w:r>
      <w:r w:rsidR="00AC4BE6">
        <w:rPr>
          <w:rFonts w:hint="eastAsia"/>
          <w:lang w:val="en-GB" w:eastAsia="ja-JP"/>
        </w:rPr>
        <w:t>During the 23</w:t>
      </w:r>
      <w:r w:rsidR="00AC4BE6" w:rsidRPr="00482991">
        <w:rPr>
          <w:rFonts w:hint="eastAsia"/>
          <w:vertAlign w:val="superscript"/>
          <w:lang w:val="en-GB" w:eastAsia="ja-JP"/>
        </w:rPr>
        <w:t>rd</w:t>
      </w:r>
      <w:r w:rsidR="00AC4BE6">
        <w:rPr>
          <w:rFonts w:hint="eastAsia"/>
          <w:lang w:val="en-GB" w:eastAsia="ja-JP"/>
        </w:rPr>
        <w:t xml:space="preserve"> WLTP IWG, Japan mentioned that it is difficult to understand the requirement in</w:t>
      </w:r>
      <w:r w:rsidR="00AC4BE6" w:rsidRPr="00F9688C">
        <w:rPr>
          <w:rFonts w:hint="eastAsia"/>
          <w:lang w:val="en-GB" w:eastAsia="ja-JP"/>
        </w:rPr>
        <w:t xml:space="preserve"> </w:t>
      </w:r>
      <w:r w:rsidR="00F9688C" w:rsidRPr="00F9688C">
        <w:rPr>
          <w:lang w:val="en-GB" w:eastAsia="ja-JP"/>
        </w:rPr>
        <w:t>paragraph</w:t>
      </w:r>
      <w:r w:rsidR="00AC4BE6">
        <w:rPr>
          <w:rFonts w:hint="eastAsia"/>
          <w:lang w:val="en-GB" w:eastAsia="ja-JP"/>
        </w:rPr>
        <w:t xml:space="preserve"> 5.5.1. (b). It said </w:t>
      </w:r>
      <w:r w:rsidR="00AC4BE6">
        <w:rPr>
          <w:lang w:val="en-GB" w:eastAsia="ja-JP"/>
        </w:rPr>
        <w:t>“</w:t>
      </w:r>
      <w:r w:rsidR="00AC4BE6">
        <w:rPr>
          <w:rFonts w:hint="eastAsia"/>
          <w:lang w:val="en-GB" w:eastAsia="ja-JP"/>
        </w:rPr>
        <w:t>vapo</w:t>
      </w:r>
      <w:r w:rsidR="00A77F8E">
        <w:rPr>
          <w:rFonts w:hint="eastAsia"/>
          <w:lang w:val="en-GB" w:eastAsia="ja-JP"/>
        </w:rPr>
        <w:t>u</w:t>
      </w:r>
      <w:r w:rsidR="00AC4BE6">
        <w:rPr>
          <w:rFonts w:hint="eastAsia"/>
          <w:lang w:val="en-GB" w:eastAsia="ja-JP"/>
        </w:rPr>
        <w:t>r hose material, fuel line material and connection technique</w:t>
      </w:r>
      <w:r w:rsidR="00AC4BE6">
        <w:rPr>
          <w:lang w:val="en-GB" w:eastAsia="ja-JP"/>
        </w:rPr>
        <w:t>”</w:t>
      </w:r>
      <w:r w:rsidR="00AC4BE6">
        <w:rPr>
          <w:rFonts w:hint="eastAsia"/>
          <w:lang w:val="en-GB" w:eastAsia="ja-JP"/>
        </w:rPr>
        <w:t xml:space="preserve"> should be identical to categorise different vehicles in same evaporative emission family. However, it was difficult to </w:t>
      </w:r>
      <w:r w:rsidR="00621DD0">
        <w:rPr>
          <w:lang w:val="en-GB" w:eastAsia="ja-JP"/>
        </w:rPr>
        <w:t xml:space="preserve">differentiate </w:t>
      </w:r>
      <w:r w:rsidR="00AC4BE6">
        <w:rPr>
          <w:rFonts w:hint="eastAsia"/>
          <w:lang w:val="en-GB" w:eastAsia="ja-JP"/>
        </w:rPr>
        <w:t xml:space="preserve">if </w:t>
      </w:r>
      <w:r w:rsidR="00621DD0">
        <w:rPr>
          <w:lang w:val="en-GB" w:eastAsia="ja-JP"/>
        </w:rPr>
        <w:t>the</w:t>
      </w:r>
      <w:r w:rsidR="00621DD0">
        <w:rPr>
          <w:rFonts w:hint="eastAsia"/>
          <w:lang w:val="en-GB" w:eastAsia="ja-JP"/>
        </w:rPr>
        <w:t xml:space="preserve"> </w:t>
      </w:r>
      <w:r w:rsidR="00AC4BE6">
        <w:rPr>
          <w:rFonts w:hint="eastAsia"/>
          <w:lang w:val="en-GB" w:eastAsia="ja-JP"/>
        </w:rPr>
        <w:t>connection technique</w:t>
      </w:r>
      <w:r w:rsidR="00621DD0">
        <w:rPr>
          <w:lang w:val="en-GB" w:eastAsia="ja-JP"/>
        </w:rPr>
        <w:t>s</w:t>
      </w:r>
      <w:r w:rsidR="00AC4BE6">
        <w:rPr>
          <w:rFonts w:hint="eastAsia"/>
          <w:lang w:val="en-GB" w:eastAsia="ja-JP"/>
        </w:rPr>
        <w:t xml:space="preserve"> of </w:t>
      </w:r>
      <w:r w:rsidR="00621DD0">
        <w:rPr>
          <w:lang w:val="en-GB" w:eastAsia="ja-JP"/>
        </w:rPr>
        <w:t xml:space="preserve">both the </w:t>
      </w:r>
      <w:r w:rsidR="00AC4BE6">
        <w:rPr>
          <w:lang w:val="en-GB" w:eastAsia="ja-JP"/>
        </w:rPr>
        <w:t>vapour</w:t>
      </w:r>
      <w:r w:rsidR="00AC4BE6">
        <w:rPr>
          <w:rFonts w:hint="eastAsia"/>
          <w:lang w:val="en-GB" w:eastAsia="ja-JP"/>
        </w:rPr>
        <w:t xml:space="preserve"> hose and fuel line should be identical or only </w:t>
      </w:r>
      <w:r w:rsidR="00621DD0">
        <w:rPr>
          <w:lang w:val="en-GB" w:eastAsia="ja-JP"/>
        </w:rPr>
        <w:t xml:space="preserve">if the </w:t>
      </w:r>
      <w:r w:rsidR="00AC4BE6">
        <w:rPr>
          <w:rFonts w:hint="eastAsia"/>
          <w:lang w:val="en-GB" w:eastAsia="ja-JP"/>
        </w:rPr>
        <w:t xml:space="preserve">connection </w:t>
      </w:r>
      <w:r w:rsidR="00AC4BE6">
        <w:rPr>
          <w:lang w:val="en-GB" w:eastAsia="ja-JP"/>
        </w:rPr>
        <w:t>technique</w:t>
      </w:r>
      <w:r w:rsidR="00AC4BE6">
        <w:rPr>
          <w:rFonts w:hint="eastAsia"/>
          <w:lang w:val="en-GB" w:eastAsia="ja-JP"/>
        </w:rPr>
        <w:t xml:space="preserve"> of fuel line should be identical.</w:t>
      </w:r>
    </w:p>
    <w:p w14:paraId="4D1668BB" w14:textId="7EE3EDDD" w:rsidR="00A77F8E" w:rsidRDefault="00A77F8E" w:rsidP="007A5ACA">
      <w:pPr>
        <w:pStyle w:val="SingleTxtG"/>
        <w:rPr>
          <w:lang w:val="en-GB" w:eastAsia="ja-JP"/>
        </w:rPr>
      </w:pPr>
      <w:r>
        <w:rPr>
          <w:rFonts w:hint="eastAsia"/>
          <w:lang w:val="en-GB" w:eastAsia="ja-JP"/>
        </w:rPr>
        <w:t>28.</w:t>
      </w:r>
      <w:r>
        <w:rPr>
          <w:rFonts w:hint="eastAsia"/>
          <w:lang w:val="en-GB" w:eastAsia="ja-JP"/>
        </w:rPr>
        <w:tab/>
        <w:t xml:space="preserve">The task force members discussed and because of high pressure in fuel line but not with </w:t>
      </w:r>
      <w:r>
        <w:rPr>
          <w:lang w:val="en-GB" w:eastAsia="ja-JP"/>
        </w:rPr>
        <w:t>vapour</w:t>
      </w:r>
      <w:r>
        <w:rPr>
          <w:rFonts w:hint="eastAsia"/>
          <w:lang w:val="en-GB" w:eastAsia="ja-JP"/>
        </w:rPr>
        <w:t xml:space="preserve"> hose, they confirmed that the connection technique only refers to the fuel line. To clarify the text, the </w:t>
      </w:r>
      <w:r w:rsidR="007C68AF">
        <w:rPr>
          <w:rFonts w:hint="eastAsia"/>
          <w:lang w:val="en-GB" w:eastAsia="ja-JP"/>
        </w:rPr>
        <w:t xml:space="preserve">bullet point on </w:t>
      </w:r>
      <w:r w:rsidR="007C68AF">
        <w:rPr>
          <w:lang w:val="en-GB" w:eastAsia="ja-JP"/>
        </w:rPr>
        <w:t>“</w:t>
      </w:r>
      <w:r w:rsidR="007C68AF">
        <w:rPr>
          <w:rFonts w:hint="eastAsia"/>
          <w:lang w:val="en-GB" w:eastAsia="ja-JP"/>
        </w:rPr>
        <w:t xml:space="preserve">vapour hose material, </w:t>
      </w:r>
      <w:r>
        <w:rPr>
          <w:rFonts w:hint="eastAsia"/>
          <w:lang w:val="en-GB" w:eastAsia="ja-JP"/>
        </w:rPr>
        <w:t>fuel line</w:t>
      </w:r>
      <w:r w:rsidR="007C68AF">
        <w:rPr>
          <w:rFonts w:hint="eastAsia"/>
          <w:lang w:val="en-GB" w:eastAsia="ja-JP"/>
        </w:rPr>
        <w:t xml:space="preserve"> material and connection technique</w:t>
      </w:r>
      <w:r w:rsidR="007C68AF">
        <w:rPr>
          <w:lang w:val="en-GB" w:eastAsia="ja-JP"/>
        </w:rPr>
        <w:t>”</w:t>
      </w:r>
      <w:r w:rsidR="007C68AF">
        <w:rPr>
          <w:rFonts w:hint="eastAsia"/>
          <w:lang w:val="en-GB" w:eastAsia="ja-JP"/>
        </w:rPr>
        <w:t xml:space="preserve"> was </w:t>
      </w:r>
      <w:r w:rsidR="00EA6C70">
        <w:rPr>
          <w:lang w:val="en-GB" w:eastAsia="ja-JP"/>
        </w:rPr>
        <w:t>expanded</w:t>
      </w:r>
      <w:r w:rsidR="00D1732F">
        <w:rPr>
          <w:lang w:val="en-GB" w:eastAsia="ja-JP"/>
        </w:rPr>
        <w:t xml:space="preserve"> </w:t>
      </w:r>
      <w:r w:rsidR="00EA6C70">
        <w:rPr>
          <w:lang w:val="en-GB" w:eastAsia="ja-JP"/>
        </w:rPr>
        <w:t>to</w:t>
      </w:r>
      <w:r w:rsidR="007C68AF">
        <w:rPr>
          <w:lang w:val="en-GB" w:eastAsia="ja-JP"/>
        </w:rPr>
        <w:t xml:space="preserve"> 2 bullet points.</w:t>
      </w:r>
    </w:p>
    <w:p w14:paraId="6FC9F4FF" w14:textId="092930D3" w:rsidR="00A26B80" w:rsidRDefault="00A26B80" w:rsidP="007A5ACA">
      <w:pPr>
        <w:pStyle w:val="SingleTxtG"/>
        <w:rPr>
          <w:lang w:val="en-GB" w:eastAsia="ja-JP"/>
        </w:rPr>
      </w:pPr>
      <w:r>
        <w:rPr>
          <w:rFonts w:hint="eastAsia"/>
          <w:lang w:val="en-GB" w:eastAsia="ja-JP"/>
        </w:rPr>
        <w:t>29.</w:t>
      </w:r>
      <w:r>
        <w:rPr>
          <w:rFonts w:hint="eastAsia"/>
          <w:lang w:val="en-GB" w:eastAsia="ja-JP"/>
        </w:rPr>
        <w:tab/>
        <w:t xml:space="preserve">Along with </w:t>
      </w:r>
      <w:r w:rsidR="00621DD0">
        <w:rPr>
          <w:lang w:val="en-GB" w:eastAsia="ja-JP"/>
        </w:rPr>
        <w:t xml:space="preserve">this </w:t>
      </w:r>
      <w:r>
        <w:rPr>
          <w:rFonts w:hint="eastAsia"/>
          <w:lang w:val="en-GB" w:eastAsia="ja-JP"/>
        </w:rPr>
        <w:t xml:space="preserve">discussion, one of the members mentioned that the evaporative emission family was slightly modified in EU-WLTP and this would cause disharmonisation. In </w:t>
      </w:r>
      <w:r w:rsidR="00621DD0">
        <w:rPr>
          <w:lang w:val="en-GB" w:eastAsia="ja-JP"/>
        </w:rPr>
        <w:t xml:space="preserve">the </w:t>
      </w:r>
      <w:r>
        <w:rPr>
          <w:rFonts w:hint="eastAsia"/>
          <w:lang w:val="en-GB" w:eastAsia="ja-JP"/>
        </w:rPr>
        <w:t xml:space="preserve">EU-WLTP discussion, </w:t>
      </w:r>
      <w:r w:rsidR="00B9407B">
        <w:rPr>
          <w:rFonts w:hint="eastAsia"/>
          <w:lang w:val="en-GB" w:eastAsia="ja-JP"/>
        </w:rPr>
        <w:t xml:space="preserve">it was confirmed that </w:t>
      </w:r>
      <w:r>
        <w:rPr>
          <w:rFonts w:hint="eastAsia"/>
          <w:lang w:val="en-GB" w:eastAsia="ja-JP"/>
        </w:rPr>
        <w:t xml:space="preserve">the vapour hose material </w:t>
      </w:r>
      <w:r w:rsidR="009E4AA2">
        <w:rPr>
          <w:rFonts w:hint="eastAsia"/>
          <w:lang w:val="en-GB" w:eastAsia="ja-JP"/>
        </w:rPr>
        <w:t xml:space="preserve">among the family </w:t>
      </w:r>
      <w:r>
        <w:rPr>
          <w:rFonts w:hint="eastAsia"/>
          <w:lang w:val="en-GB" w:eastAsia="ja-JP"/>
        </w:rPr>
        <w:t xml:space="preserve">and </w:t>
      </w:r>
      <w:r w:rsidR="00B9407B">
        <w:rPr>
          <w:rFonts w:hint="eastAsia"/>
          <w:lang w:val="en-GB" w:eastAsia="ja-JP"/>
        </w:rPr>
        <w:t xml:space="preserve">the fuel line material </w:t>
      </w:r>
      <w:r w:rsidR="009E4AA2">
        <w:rPr>
          <w:rFonts w:hint="eastAsia"/>
          <w:lang w:val="en-GB" w:eastAsia="ja-JP"/>
        </w:rPr>
        <w:t xml:space="preserve">among the family </w:t>
      </w:r>
      <w:r w:rsidR="00B9407B">
        <w:rPr>
          <w:rFonts w:hint="eastAsia"/>
          <w:lang w:val="en-GB" w:eastAsia="ja-JP"/>
        </w:rPr>
        <w:t xml:space="preserve">can be different but technically equivalent. </w:t>
      </w:r>
      <w:r w:rsidR="00DC0058">
        <w:rPr>
          <w:rFonts w:hint="eastAsia"/>
          <w:lang w:val="en-GB" w:eastAsia="ja-JP"/>
        </w:rPr>
        <w:t xml:space="preserve">This was also discussed with </w:t>
      </w:r>
      <w:r w:rsidR="00621DD0">
        <w:rPr>
          <w:lang w:val="en-GB" w:eastAsia="ja-JP"/>
        </w:rPr>
        <w:t xml:space="preserve">the </w:t>
      </w:r>
      <w:r w:rsidR="00B9407B">
        <w:rPr>
          <w:rFonts w:hint="eastAsia"/>
          <w:lang w:val="en-GB" w:eastAsia="ja-JP"/>
        </w:rPr>
        <w:t xml:space="preserve">task force </w:t>
      </w:r>
      <w:r w:rsidR="00DC0058">
        <w:rPr>
          <w:rFonts w:hint="eastAsia"/>
          <w:lang w:val="en-GB" w:eastAsia="ja-JP"/>
        </w:rPr>
        <w:t xml:space="preserve">members and as a result, members decided to reflect EU-WLTP requirement </w:t>
      </w:r>
      <w:r w:rsidR="00621DD0">
        <w:rPr>
          <w:lang w:val="en-GB" w:eastAsia="ja-JP"/>
        </w:rPr>
        <w:t>in</w:t>
      </w:r>
      <w:r w:rsidR="00621DD0">
        <w:rPr>
          <w:rFonts w:hint="eastAsia"/>
          <w:lang w:val="en-GB" w:eastAsia="ja-JP"/>
        </w:rPr>
        <w:t xml:space="preserve"> </w:t>
      </w:r>
      <w:r w:rsidR="00DC0058">
        <w:rPr>
          <w:rFonts w:hint="eastAsia"/>
          <w:lang w:val="en-GB" w:eastAsia="ja-JP"/>
        </w:rPr>
        <w:t>UN</w:t>
      </w:r>
      <w:r w:rsidR="00DC0058">
        <w:rPr>
          <w:lang w:val="en-US" w:eastAsia="ja-JP"/>
        </w:rPr>
        <w:t> </w:t>
      </w:r>
      <w:r w:rsidR="00DC0058">
        <w:rPr>
          <w:rFonts w:hint="eastAsia"/>
          <w:lang w:val="en-GB" w:eastAsia="ja-JP"/>
        </w:rPr>
        <w:t>GTR</w:t>
      </w:r>
      <w:r w:rsidR="00DC0058">
        <w:rPr>
          <w:lang w:val="en-US" w:eastAsia="ja-JP"/>
        </w:rPr>
        <w:t> </w:t>
      </w:r>
      <w:r w:rsidR="00DC0058">
        <w:rPr>
          <w:rFonts w:hint="eastAsia"/>
          <w:lang w:val="en-GB" w:eastAsia="ja-JP"/>
        </w:rPr>
        <w:t>No. 19.</w:t>
      </w:r>
    </w:p>
    <w:p w14:paraId="0B38351E" w14:textId="75F096BF" w:rsidR="007A5ACA" w:rsidRDefault="00C55F97" w:rsidP="00C55F97">
      <w:pPr>
        <w:pStyle w:val="SingleTxtG"/>
        <w:rPr>
          <w:lang w:val="en-GB"/>
        </w:rPr>
      </w:pPr>
      <w:r>
        <w:rPr>
          <w:rFonts w:hint="eastAsia"/>
          <w:lang w:val="en-GB" w:eastAsia="ja-JP"/>
        </w:rPr>
        <w:t>30.</w:t>
      </w:r>
      <w:r>
        <w:rPr>
          <w:rFonts w:hint="eastAsia"/>
          <w:lang w:val="en-GB" w:eastAsia="ja-JP"/>
        </w:rPr>
        <w:tab/>
        <w:t>During the 24</w:t>
      </w:r>
      <w:r w:rsidRPr="00C55F97">
        <w:rPr>
          <w:rFonts w:hint="eastAsia"/>
          <w:vertAlign w:val="superscript"/>
          <w:lang w:val="en-GB" w:eastAsia="ja-JP"/>
        </w:rPr>
        <w:t>th</w:t>
      </w:r>
      <w:r>
        <w:rPr>
          <w:rFonts w:hint="eastAsia"/>
          <w:lang w:val="en-GB" w:eastAsia="ja-JP"/>
        </w:rPr>
        <w:t xml:space="preserve"> WLTP IWG, India requested to clarify that the technical equivalency shall be demonstrated by </w:t>
      </w:r>
      <w:r w:rsidR="00621DD0">
        <w:rPr>
          <w:lang w:val="en-GB" w:eastAsia="ja-JP"/>
        </w:rPr>
        <w:t xml:space="preserve">the </w:t>
      </w:r>
      <w:r>
        <w:rPr>
          <w:rFonts w:hint="eastAsia"/>
          <w:lang w:val="en-GB" w:eastAsia="ja-JP"/>
        </w:rPr>
        <w:t xml:space="preserve">manufacturer to the responsible authority. Therefore, during </w:t>
      </w:r>
      <w:r w:rsidR="00621DD0">
        <w:rPr>
          <w:lang w:val="en-GB" w:eastAsia="ja-JP"/>
        </w:rPr>
        <w:t xml:space="preserve">the </w:t>
      </w:r>
      <w:r>
        <w:rPr>
          <w:rFonts w:hint="eastAsia"/>
          <w:lang w:val="en-GB" w:eastAsia="ja-JP"/>
        </w:rPr>
        <w:t xml:space="preserve">drafting meeting, text to clarify it is added to </w:t>
      </w:r>
      <w:r w:rsidR="00621DD0">
        <w:rPr>
          <w:lang w:val="en-GB" w:eastAsia="ja-JP"/>
        </w:rPr>
        <w:t>reflect this</w:t>
      </w:r>
      <w:r>
        <w:rPr>
          <w:rFonts w:hint="eastAsia"/>
          <w:lang w:val="en-GB" w:eastAsia="ja-JP"/>
        </w:rPr>
        <w:t>.</w:t>
      </w:r>
    </w:p>
    <w:p w14:paraId="065A65BE" w14:textId="3EEC394B" w:rsidR="007A5ACA" w:rsidRDefault="007A5ACA" w:rsidP="007A5ACA">
      <w:pPr>
        <w:pStyle w:val="H4G"/>
        <w:rPr>
          <w:lang w:val="en-US" w:eastAsia="ja-JP"/>
        </w:rPr>
      </w:pPr>
      <w:r>
        <w:rPr>
          <w:lang w:val="en-US" w:eastAsia="ja-JP"/>
        </w:rPr>
        <w:tab/>
      </w:r>
      <w:r w:rsidR="00BD1D62">
        <w:rPr>
          <w:rFonts w:hint="eastAsia"/>
          <w:lang w:val="en-US" w:eastAsia="ja-JP"/>
        </w:rPr>
        <w:t>3</w:t>
      </w:r>
      <w:r>
        <w:rPr>
          <w:lang w:val="en-US" w:eastAsia="ja-JP"/>
        </w:rPr>
        <w:t>.</w:t>
      </w:r>
      <w:r w:rsidR="00BD1D62">
        <w:rPr>
          <w:rFonts w:hint="eastAsia"/>
          <w:lang w:val="en-US" w:eastAsia="ja-JP"/>
        </w:rPr>
        <w:t>4.</w:t>
      </w:r>
      <w:r>
        <w:rPr>
          <w:lang w:val="en-US" w:eastAsia="ja-JP"/>
        </w:rPr>
        <w:tab/>
      </w:r>
      <w:r w:rsidR="00BD1D62">
        <w:rPr>
          <w:rFonts w:hint="eastAsia"/>
          <w:lang w:val="en-GB" w:eastAsia="ja-JP"/>
        </w:rPr>
        <w:t>Clarification of "carbon canister"</w:t>
      </w:r>
    </w:p>
    <w:p w14:paraId="472EBF8D" w14:textId="464BD14F" w:rsidR="00BD1D62" w:rsidRDefault="00BD1D62" w:rsidP="007A5ACA">
      <w:pPr>
        <w:pStyle w:val="SingleTxtG"/>
        <w:tabs>
          <w:tab w:val="left" w:pos="1701"/>
        </w:tabs>
        <w:rPr>
          <w:lang w:val="en-US" w:eastAsia="ja-JP"/>
        </w:rPr>
      </w:pPr>
      <w:r>
        <w:rPr>
          <w:rFonts w:hint="eastAsia"/>
          <w:lang w:val="en-US" w:eastAsia="ja-JP"/>
        </w:rPr>
        <w:t>31</w:t>
      </w:r>
      <w:r w:rsidR="007A5ACA">
        <w:rPr>
          <w:lang w:val="en-US"/>
        </w:rPr>
        <w:t>.</w:t>
      </w:r>
      <w:r w:rsidR="007A5ACA">
        <w:rPr>
          <w:lang w:val="en-US"/>
        </w:rPr>
        <w:tab/>
      </w:r>
      <w:r w:rsidR="00005FD1">
        <w:rPr>
          <w:rFonts w:hint="eastAsia"/>
          <w:lang w:val="en-US" w:eastAsia="ja-JP"/>
        </w:rPr>
        <w:t xml:space="preserve">During the review of UN GTR No. 19, </w:t>
      </w:r>
      <w:r w:rsidR="00F9688C">
        <w:rPr>
          <w:rFonts w:hint="eastAsia"/>
          <w:lang w:val="en-US" w:eastAsia="ja-JP"/>
        </w:rPr>
        <w:t xml:space="preserve">it was found that </w:t>
      </w:r>
      <w:r w:rsidR="00005FD1">
        <w:rPr>
          <w:rFonts w:hint="eastAsia"/>
          <w:lang w:val="en-US" w:eastAsia="ja-JP"/>
        </w:rPr>
        <w:t>the word</w:t>
      </w:r>
      <w:r w:rsidR="00F9688C">
        <w:rPr>
          <w:rFonts w:hint="eastAsia"/>
          <w:lang w:val="en-US" w:eastAsia="ja-JP"/>
        </w:rPr>
        <w:t>s</w:t>
      </w:r>
      <w:r w:rsidR="00005FD1">
        <w:rPr>
          <w:rFonts w:hint="eastAsia"/>
          <w:lang w:val="en-US" w:eastAsia="ja-JP"/>
        </w:rPr>
        <w:t xml:space="preserve"> "carbon canister", "canister</w:t>
      </w:r>
      <w:r w:rsidR="009E4AA2">
        <w:rPr>
          <w:rFonts w:hint="eastAsia"/>
          <w:lang w:val="en-US" w:eastAsia="ja-JP"/>
        </w:rPr>
        <w:t>"</w:t>
      </w:r>
      <w:r w:rsidR="00005FD1">
        <w:rPr>
          <w:rFonts w:hint="eastAsia"/>
          <w:lang w:val="en-US" w:eastAsia="ja-JP"/>
        </w:rPr>
        <w:t xml:space="preserve">, and </w:t>
      </w:r>
      <w:r w:rsidR="00005FD1" w:rsidRPr="00F9688C">
        <w:rPr>
          <w:rFonts w:hint="eastAsia"/>
          <w:lang w:val="en-GB" w:eastAsia="ja-JP"/>
        </w:rPr>
        <w:t>"vapour</w:t>
      </w:r>
      <w:r w:rsidR="00005FD1">
        <w:rPr>
          <w:rFonts w:hint="eastAsia"/>
          <w:lang w:val="en-US" w:eastAsia="ja-JP"/>
        </w:rPr>
        <w:t xml:space="preserve"> storage unit"</w:t>
      </w:r>
      <w:r w:rsidR="00F9688C">
        <w:rPr>
          <w:rFonts w:hint="eastAsia"/>
          <w:lang w:val="en-US" w:eastAsia="ja-JP"/>
        </w:rPr>
        <w:t xml:space="preserve"> were used for describing </w:t>
      </w:r>
      <w:r w:rsidR="00621DD0">
        <w:rPr>
          <w:lang w:val="en-US" w:eastAsia="ja-JP"/>
        </w:rPr>
        <w:t xml:space="preserve">the </w:t>
      </w:r>
      <w:r w:rsidR="00F9688C">
        <w:rPr>
          <w:rFonts w:hint="eastAsia"/>
          <w:lang w:val="en-US" w:eastAsia="ja-JP"/>
        </w:rPr>
        <w:t>same component. Therefore, the task force members decided to</w:t>
      </w:r>
      <w:r w:rsidR="00F9688C" w:rsidRPr="00657054">
        <w:rPr>
          <w:rFonts w:hint="eastAsia"/>
          <w:lang w:val="en-GB" w:eastAsia="ja-JP"/>
        </w:rPr>
        <w:t xml:space="preserve"> </w:t>
      </w:r>
      <w:r w:rsidR="00D1732F" w:rsidRPr="00657054">
        <w:rPr>
          <w:lang w:val="en-GB" w:eastAsia="ja-JP"/>
        </w:rPr>
        <w:t>harmonise</w:t>
      </w:r>
      <w:r w:rsidR="00621DD0">
        <w:rPr>
          <w:lang w:val="en-US" w:eastAsia="ja-JP"/>
        </w:rPr>
        <w:t xml:space="preserve"> on using</w:t>
      </w:r>
      <w:r w:rsidR="00F9688C">
        <w:rPr>
          <w:rFonts w:hint="eastAsia"/>
          <w:lang w:val="en-US" w:eastAsia="ja-JP"/>
        </w:rPr>
        <w:t xml:space="preserve"> "carbon canister".</w:t>
      </w:r>
    </w:p>
    <w:p w14:paraId="129C9BEE" w14:textId="34C32330" w:rsidR="003F67BB" w:rsidRDefault="003F67BB" w:rsidP="003F67BB">
      <w:pPr>
        <w:pStyle w:val="H4G"/>
        <w:rPr>
          <w:lang w:val="en-US" w:eastAsia="ja-JP"/>
        </w:rPr>
      </w:pPr>
      <w:r>
        <w:rPr>
          <w:rFonts w:hint="eastAsia"/>
          <w:lang w:val="en-US" w:eastAsia="ja-JP"/>
        </w:rPr>
        <w:tab/>
        <w:t>3</w:t>
      </w:r>
      <w:r>
        <w:rPr>
          <w:lang w:val="en-US" w:eastAsia="ja-JP"/>
        </w:rPr>
        <w:t>.</w:t>
      </w:r>
      <w:r>
        <w:rPr>
          <w:rFonts w:hint="eastAsia"/>
          <w:lang w:val="en-US" w:eastAsia="ja-JP"/>
        </w:rPr>
        <w:t>5.</w:t>
      </w:r>
      <w:r>
        <w:rPr>
          <w:lang w:val="en-US" w:eastAsia="ja-JP"/>
        </w:rPr>
        <w:tab/>
      </w:r>
      <w:r>
        <w:rPr>
          <w:rFonts w:hint="eastAsia"/>
          <w:lang w:val="en-GB" w:eastAsia="ja-JP"/>
        </w:rPr>
        <w:t xml:space="preserve">Change </w:t>
      </w:r>
      <w:r w:rsidR="00621DD0">
        <w:rPr>
          <w:lang w:val="en-GB" w:eastAsia="ja-JP"/>
        </w:rPr>
        <w:t>the term</w:t>
      </w:r>
      <w:r>
        <w:rPr>
          <w:rFonts w:hint="eastAsia"/>
          <w:lang w:val="en-GB" w:eastAsia="ja-JP"/>
        </w:rPr>
        <w:t xml:space="preserve"> </w:t>
      </w:r>
      <w:r w:rsidR="00621DD0">
        <w:rPr>
          <w:lang w:val="en-GB" w:eastAsia="ja-JP"/>
        </w:rPr>
        <w:t>"</w:t>
      </w:r>
      <w:r>
        <w:rPr>
          <w:rFonts w:hint="eastAsia"/>
          <w:lang w:val="en-GB" w:eastAsia="ja-JP"/>
        </w:rPr>
        <w:t>carbon canister</w:t>
      </w:r>
      <w:r w:rsidR="00621DD0">
        <w:rPr>
          <w:lang w:val="en-GB" w:eastAsia="ja-JP"/>
        </w:rPr>
        <w:t>"</w:t>
      </w:r>
      <w:r>
        <w:rPr>
          <w:rFonts w:hint="eastAsia"/>
          <w:lang w:val="en-GB" w:eastAsia="ja-JP"/>
        </w:rPr>
        <w:t xml:space="preserve"> used to catch depressurisation puff loss overflow </w:t>
      </w:r>
    </w:p>
    <w:p w14:paraId="1B1070CF" w14:textId="258C6B37" w:rsidR="009D5205" w:rsidRPr="009D5205" w:rsidRDefault="003F67BB" w:rsidP="002B14E6">
      <w:pPr>
        <w:pStyle w:val="SingleTxtG"/>
        <w:tabs>
          <w:tab w:val="left" w:pos="1701"/>
        </w:tabs>
        <w:rPr>
          <w:u w:val="single"/>
          <w:lang w:val="en-US"/>
        </w:rPr>
      </w:pPr>
      <w:r>
        <w:rPr>
          <w:rFonts w:hint="eastAsia"/>
          <w:lang w:val="en-US" w:eastAsia="ja-JP"/>
        </w:rPr>
        <w:t>32</w:t>
      </w:r>
      <w:r>
        <w:rPr>
          <w:lang w:val="en-US"/>
        </w:rPr>
        <w:t>.</w:t>
      </w:r>
      <w:r>
        <w:rPr>
          <w:lang w:val="en-US"/>
        </w:rPr>
        <w:tab/>
      </w:r>
      <w:r>
        <w:rPr>
          <w:rFonts w:hint="eastAsia"/>
          <w:lang w:val="en-US" w:eastAsia="ja-JP"/>
        </w:rPr>
        <w:t>In Amendment 1 to UN GTR No. 19, the carbon canister used to catch</w:t>
      </w:r>
      <w:r w:rsidRPr="00657054">
        <w:rPr>
          <w:rFonts w:hint="eastAsia"/>
          <w:lang w:val="en-GB" w:eastAsia="ja-JP"/>
        </w:rPr>
        <w:t xml:space="preserve"> </w:t>
      </w:r>
      <w:r w:rsidR="009E4AA2" w:rsidRPr="00657054">
        <w:rPr>
          <w:lang w:val="en-GB" w:eastAsia="ja-JP"/>
        </w:rPr>
        <w:t>depressuri</w:t>
      </w:r>
      <w:r w:rsidR="009E4AA2" w:rsidRPr="00657054">
        <w:rPr>
          <w:rFonts w:hint="eastAsia"/>
          <w:lang w:val="en-GB" w:eastAsia="ja-JP"/>
        </w:rPr>
        <w:t>s</w:t>
      </w:r>
      <w:r w:rsidR="009E4AA2" w:rsidRPr="00657054">
        <w:rPr>
          <w:lang w:val="en-GB" w:eastAsia="ja-JP"/>
        </w:rPr>
        <w:t>ation</w:t>
      </w:r>
      <w:r w:rsidR="009E4AA2">
        <w:rPr>
          <w:rFonts w:hint="eastAsia"/>
          <w:lang w:val="en-US" w:eastAsia="ja-JP"/>
        </w:rPr>
        <w:t xml:space="preserve"> </w:t>
      </w:r>
      <w:r>
        <w:rPr>
          <w:rFonts w:hint="eastAsia"/>
          <w:lang w:val="en-US" w:eastAsia="ja-JP"/>
        </w:rPr>
        <w:t xml:space="preserve">puff loss overflow was </w:t>
      </w:r>
      <w:r w:rsidR="00621DD0">
        <w:rPr>
          <w:lang w:val="en-US" w:eastAsia="ja-JP"/>
        </w:rPr>
        <w:t xml:space="preserve">referred to </w:t>
      </w:r>
      <w:r>
        <w:rPr>
          <w:rFonts w:hint="eastAsia"/>
          <w:lang w:val="en-US" w:eastAsia="ja-JP"/>
        </w:rPr>
        <w:t xml:space="preserve">as </w:t>
      </w:r>
      <w:r w:rsidR="00621DD0">
        <w:rPr>
          <w:lang w:val="en-US" w:eastAsia="ja-JP"/>
        </w:rPr>
        <w:t xml:space="preserve">an </w:t>
      </w:r>
      <w:r>
        <w:rPr>
          <w:rFonts w:hint="eastAsia"/>
          <w:lang w:val="en-US" w:eastAsia="ja-JP"/>
        </w:rPr>
        <w:t xml:space="preserve">"auxiliary canister." The </w:t>
      </w:r>
      <w:r w:rsidR="002B14E6">
        <w:rPr>
          <w:rFonts w:hint="eastAsia"/>
          <w:lang w:val="en-US" w:eastAsia="ja-JP"/>
        </w:rPr>
        <w:t>explanation</w:t>
      </w:r>
      <w:r>
        <w:rPr>
          <w:rFonts w:hint="eastAsia"/>
          <w:lang w:val="en-US" w:eastAsia="ja-JP"/>
        </w:rPr>
        <w:t xml:space="preserve"> of this carbon canister was included in paragraph 4. Test equipment to Annex 1 of this GTR.</w:t>
      </w:r>
      <w:r w:rsidR="002B14E6">
        <w:rPr>
          <w:rFonts w:hint="eastAsia"/>
          <w:lang w:val="en-US" w:eastAsia="ja-JP"/>
        </w:rPr>
        <w:t xml:space="preserve"> Along with the discussion, this wording might mislead to understand as a different canister </w:t>
      </w:r>
      <w:r w:rsidR="00621DD0">
        <w:rPr>
          <w:lang w:val="en-US" w:eastAsia="ja-JP"/>
        </w:rPr>
        <w:t xml:space="preserve">and therefore </w:t>
      </w:r>
      <w:r w:rsidR="002B14E6">
        <w:rPr>
          <w:rFonts w:hint="eastAsia"/>
          <w:lang w:val="en-US" w:eastAsia="ja-JP"/>
        </w:rPr>
        <w:t xml:space="preserve">this </w:t>
      </w:r>
      <w:r w:rsidR="00621DD0">
        <w:rPr>
          <w:lang w:val="en-US" w:eastAsia="ja-JP"/>
        </w:rPr>
        <w:t>term</w:t>
      </w:r>
      <w:r w:rsidR="00621DD0">
        <w:rPr>
          <w:rFonts w:hint="eastAsia"/>
          <w:lang w:val="en-US" w:eastAsia="ja-JP"/>
        </w:rPr>
        <w:t xml:space="preserve"> </w:t>
      </w:r>
      <w:r w:rsidR="002B14E6">
        <w:rPr>
          <w:rFonts w:hint="eastAsia"/>
          <w:lang w:val="en-US" w:eastAsia="ja-JP"/>
        </w:rPr>
        <w:t>was deleted from that paragraph. The explanation of this carbon canister was moved to paragraph 6.6.1.8.1. to Annex 1, which describes the procedure to measure the</w:t>
      </w:r>
      <w:r w:rsidR="002B14E6" w:rsidRPr="009258AF">
        <w:rPr>
          <w:rFonts w:hint="eastAsia"/>
          <w:lang w:val="en-GB" w:eastAsia="ja-JP"/>
        </w:rPr>
        <w:t xml:space="preserve"> </w:t>
      </w:r>
      <w:r w:rsidR="009258AF" w:rsidRPr="009258AF">
        <w:rPr>
          <w:lang w:val="en-GB" w:eastAsia="ja-JP"/>
        </w:rPr>
        <w:t>depressuri</w:t>
      </w:r>
      <w:r w:rsidR="009258AF" w:rsidRPr="009258AF">
        <w:rPr>
          <w:rFonts w:hint="eastAsia"/>
          <w:lang w:val="en-GB" w:eastAsia="ja-JP"/>
        </w:rPr>
        <w:t>s</w:t>
      </w:r>
      <w:r w:rsidR="002B14E6" w:rsidRPr="009258AF">
        <w:rPr>
          <w:lang w:val="en-GB" w:eastAsia="ja-JP"/>
        </w:rPr>
        <w:t>ation</w:t>
      </w:r>
      <w:r w:rsidR="002B14E6">
        <w:rPr>
          <w:rFonts w:hint="eastAsia"/>
          <w:lang w:val="en-US" w:eastAsia="ja-JP"/>
        </w:rPr>
        <w:t xml:space="preserve"> puff loss overflow.</w:t>
      </w:r>
      <w:bookmarkEnd w:id="44"/>
    </w:p>
    <w:sectPr w:rsidR="009D5205" w:rsidRPr="009D5205" w:rsidSect="008C2478">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CBF96" w14:textId="77777777" w:rsidR="003B21A9" w:rsidRDefault="003B21A9"/>
  </w:endnote>
  <w:endnote w:type="continuationSeparator" w:id="0">
    <w:p w14:paraId="6D4FF8E2" w14:textId="77777777" w:rsidR="003B21A9" w:rsidRDefault="003B21A9"/>
  </w:endnote>
  <w:endnote w:type="continuationNotice" w:id="1">
    <w:p w14:paraId="51F58E1F" w14:textId="77777777" w:rsidR="003B21A9" w:rsidRDefault="003B2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526A" w14:textId="77777777"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F4066">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A755" w14:textId="77777777"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F649A">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83F" w14:textId="77777777" w:rsidR="003F041D" w:rsidRPr="00544F90" w:rsidRDefault="003F041D" w:rsidP="003F041D">
    <w:pPr>
      <w:spacing w:line="240" w:lineRule="auto"/>
      <w:ind w:right="1134"/>
      <w:rPr>
        <w:rFonts w:asciiTheme="majorBidi" w:hAnsiTheme="majorBidi" w:cstheme="majorBid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24EA" w14:textId="3DE43F94"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FD59BA">
      <w:rPr>
        <w:b/>
        <w:noProof/>
        <w:sz w:val="18"/>
      </w:rPr>
      <w:t>4</w:t>
    </w:r>
    <w:r w:rsidRPr="0024176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14:paraId="489C4BE1" w14:textId="4261535B"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FD59BA">
          <w:rPr>
            <w:b/>
            <w:noProof/>
            <w:sz w:val="18"/>
            <w:szCs w:val="18"/>
          </w:rPr>
          <w:t>5</w:t>
        </w:r>
        <w:r w:rsidRPr="005246A8">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2CE4" w14:textId="53329F93" w:rsidR="0063638D" w:rsidRPr="00753ACA" w:rsidRDefault="00753ACA" w:rsidP="00753ACA">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FD59BA">
      <w:rPr>
        <w:b/>
        <w:noProof/>
        <w:sz w:val="18"/>
      </w:rPr>
      <w:t>2</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822E" w14:textId="77777777" w:rsidR="003B21A9" w:rsidRPr="00D27D5E" w:rsidRDefault="003B21A9" w:rsidP="00D27D5E">
      <w:pPr>
        <w:tabs>
          <w:tab w:val="right" w:pos="2155"/>
        </w:tabs>
        <w:spacing w:after="80"/>
        <w:ind w:left="680"/>
        <w:rPr>
          <w:u w:val="single"/>
        </w:rPr>
      </w:pPr>
      <w:r>
        <w:rPr>
          <w:u w:val="single"/>
        </w:rPr>
        <w:tab/>
      </w:r>
    </w:p>
  </w:footnote>
  <w:footnote w:type="continuationSeparator" w:id="0">
    <w:p w14:paraId="34D2C23F" w14:textId="77777777" w:rsidR="003B21A9" w:rsidRDefault="003B21A9">
      <w:r>
        <w:rPr>
          <w:u w:val="single"/>
        </w:rPr>
        <w:tab/>
      </w:r>
      <w:r>
        <w:rPr>
          <w:u w:val="single"/>
        </w:rPr>
        <w:tab/>
      </w:r>
      <w:r>
        <w:rPr>
          <w:u w:val="single"/>
        </w:rPr>
        <w:tab/>
      </w:r>
      <w:r>
        <w:rPr>
          <w:u w:val="single"/>
        </w:rPr>
        <w:tab/>
      </w:r>
    </w:p>
  </w:footnote>
  <w:footnote w:type="continuationNotice" w:id="1">
    <w:p w14:paraId="11BE2793" w14:textId="77777777" w:rsidR="003B21A9" w:rsidRDefault="003B2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719D" w14:textId="77777777" w:rsidR="002B1577" w:rsidRPr="00424960" w:rsidRDefault="00D847F9" w:rsidP="00D847F9">
    <w:pPr>
      <w:pStyle w:val="Header"/>
      <w:rPr>
        <w:lang w:val="en-GB"/>
      </w:rPr>
    </w:pPr>
    <w:r w:rsidRPr="00424960">
      <w:rPr>
        <w:lang w:val="en-GB"/>
      </w:rPr>
      <w:t>ECE/TRANS/180/Add.1</w:t>
    </w:r>
    <w:r w:rsidR="00133903" w:rsidRPr="00424960">
      <w:rPr>
        <w:lang w:val="en-GB"/>
      </w:rPr>
      <w:t>8</w:t>
    </w:r>
    <w:r w:rsidRPr="00424960">
      <w:rPr>
        <w:lang w:val="en-GB"/>
      </w:rPr>
      <w:t>/</w:t>
    </w:r>
    <w:r w:rsidR="00424960" w:rsidRPr="00424960">
      <w:rPr>
        <w:lang w:val="en-GB"/>
      </w:rPr>
      <w:t>Amend.1/</w:t>
    </w:r>
    <w:r w:rsidRPr="00424960">
      <w:rPr>
        <w:lang w:val="en-GB"/>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30EC" w14:textId="77777777" w:rsidR="002B1577" w:rsidRPr="00D847F9" w:rsidRDefault="00D847F9" w:rsidP="00D847F9">
    <w:pPr>
      <w:pStyle w:val="Header"/>
      <w:jc w:val="right"/>
    </w:pPr>
    <w:r>
      <w:t>ECE/TRANS/180/Add.1</w:t>
    </w:r>
    <w:r w:rsidR="009D5205">
      <w:t>9</w:t>
    </w: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C2478" w14:paraId="3630EA6E" w14:textId="77777777" w:rsidTr="008C2478">
      <w:tc>
        <w:tcPr>
          <w:tcW w:w="4927" w:type="dxa"/>
          <w:hideMark/>
        </w:tcPr>
        <w:p w14:paraId="2E7432C4" w14:textId="77777777" w:rsidR="008C2478" w:rsidRDefault="008C2478">
          <w:pPr>
            <w:pStyle w:val="Header"/>
            <w:pBdr>
              <w:bottom w:val="none" w:sz="0" w:space="0" w:color="auto"/>
            </w:pBdr>
            <w:spacing w:line="240" w:lineRule="atLeast"/>
            <w:rPr>
              <w:b w:val="0"/>
              <w:lang w:val="en-US"/>
            </w:rPr>
          </w:pPr>
          <w:r>
            <w:rPr>
              <w:b w:val="0"/>
              <w:lang w:val="en-US"/>
            </w:rPr>
            <w:t>Submitted by the IWG on WLTP</w:t>
          </w:r>
        </w:p>
      </w:tc>
      <w:tc>
        <w:tcPr>
          <w:tcW w:w="4928" w:type="dxa"/>
          <w:hideMark/>
        </w:tcPr>
        <w:p w14:paraId="3ACC484B" w14:textId="76455F3C" w:rsidR="008C2478" w:rsidRDefault="008C2478">
          <w:pPr>
            <w:pStyle w:val="Header"/>
            <w:pBdr>
              <w:bottom w:val="none" w:sz="0" w:space="0" w:color="auto"/>
            </w:pBdr>
            <w:spacing w:line="240" w:lineRule="atLeast"/>
            <w:jc w:val="right"/>
            <w:rPr>
              <w:lang w:val="en-US" w:eastAsia="ja-JP"/>
            </w:rPr>
          </w:pPr>
          <w:r>
            <w:rPr>
              <w:b w:val="0"/>
              <w:u w:val="single"/>
              <w:lang w:val="en-US"/>
            </w:rPr>
            <w:t>Informal document</w:t>
          </w:r>
          <w:r>
            <w:rPr>
              <w:lang w:val="en-US"/>
            </w:rPr>
            <w:t xml:space="preserve"> GRPE-7</w:t>
          </w:r>
          <w:r>
            <w:rPr>
              <w:rFonts w:hint="eastAsia"/>
              <w:lang w:val="en-US" w:eastAsia="ja-JP"/>
            </w:rPr>
            <w:t>8</w:t>
          </w:r>
          <w:r>
            <w:rPr>
              <w:lang w:val="en-US"/>
            </w:rPr>
            <w:t>-</w:t>
          </w:r>
          <w:r w:rsidR="00965AB8">
            <w:rPr>
              <w:lang w:val="en-US" w:eastAsia="ja-JP"/>
            </w:rPr>
            <w:t>09</w:t>
          </w:r>
        </w:p>
        <w:p w14:paraId="49FE3CD6" w14:textId="26BE43F0" w:rsidR="008C2478" w:rsidRDefault="008C2478">
          <w:pPr>
            <w:pStyle w:val="Header"/>
            <w:pBdr>
              <w:bottom w:val="none" w:sz="0" w:space="0" w:color="auto"/>
            </w:pBdr>
            <w:spacing w:line="240" w:lineRule="atLeast"/>
            <w:jc w:val="right"/>
            <w:rPr>
              <w:b w:val="0"/>
              <w:lang w:val="en-US" w:eastAsia="ja-JP"/>
            </w:rPr>
          </w:pPr>
          <w:r>
            <w:rPr>
              <w:b w:val="0"/>
              <w:lang w:val="en-US"/>
            </w:rPr>
            <w:t>7</w:t>
          </w:r>
          <w:r>
            <w:rPr>
              <w:rFonts w:hint="eastAsia"/>
              <w:b w:val="0"/>
              <w:lang w:val="en-US" w:eastAsia="ja-JP"/>
            </w:rPr>
            <w:t>8</w:t>
          </w:r>
          <w:r>
            <w:rPr>
              <w:b w:val="0"/>
              <w:vertAlign w:val="superscript"/>
              <w:lang w:val="en-US"/>
            </w:rPr>
            <w:t>th</w:t>
          </w:r>
          <w:r>
            <w:rPr>
              <w:b w:val="0"/>
              <w:lang w:val="en-US"/>
            </w:rPr>
            <w:t xml:space="preserve"> GRPE, </w:t>
          </w:r>
          <w:r>
            <w:rPr>
              <w:rFonts w:hint="eastAsia"/>
              <w:b w:val="0"/>
              <w:lang w:val="en-US" w:eastAsia="ja-JP"/>
            </w:rPr>
            <w:t>7</w:t>
          </w:r>
          <w:r>
            <w:rPr>
              <w:b w:val="0"/>
              <w:lang w:val="en-US"/>
            </w:rPr>
            <w:t>-1</w:t>
          </w:r>
          <w:r>
            <w:rPr>
              <w:rFonts w:hint="eastAsia"/>
              <w:b w:val="0"/>
              <w:lang w:val="en-US" w:eastAsia="ja-JP"/>
            </w:rPr>
            <w:t>1</w:t>
          </w:r>
          <w:r>
            <w:rPr>
              <w:b w:val="0"/>
              <w:lang w:val="en-US"/>
            </w:rPr>
            <w:t xml:space="preserve"> January 201</w:t>
          </w:r>
          <w:r>
            <w:rPr>
              <w:rFonts w:hint="eastAsia"/>
              <w:b w:val="0"/>
              <w:lang w:val="en-US" w:eastAsia="ja-JP"/>
            </w:rPr>
            <w:t>9</w:t>
          </w:r>
        </w:p>
        <w:p w14:paraId="3970C48B" w14:textId="77777777" w:rsidR="008C2478" w:rsidRDefault="008C2478">
          <w:pPr>
            <w:pStyle w:val="Header"/>
            <w:pBdr>
              <w:bottom w:val="none" w:sz="0" w:space="0" w:color="auto"/>
            </w:pBdr>
            <w:spacing w:line="240" w:lineRule="atLeast"/>
            <w:jc w:val="right"/>
            <w:rPr>
              <w:lang w:val="en-US"/>
            </w:rPr>
          </w:pPr>
          <w:r>
            <w:rPr>
              <w:b w:val="0"/>
              <w:lang w:val="en-US"/>
            </w:rPr>
            <w:t>Agenda item 3(b)</w:t>
          </w:r>
        </w:p>
      </w:tc>
    </w:tr>
    <w:tr w:rsidR="008C2478" w14:paraId="0F08AD2F" w14:textId="77777777" w:rsidTr="008C2478">
      <w:tc>
        <w:tcPr>
          <w:tcW w:w="4927" w:type="dxa"/>
        </w:tcPr>
        <w:p w14:paraId="0D9E40F3" w14:textId="77777777" w:rsidR="008C2478" w:rsidRDefault="008C2478">
          <w:pPr>
            <w:pStyle w:val="Header"/>
            <w:pBdr>
              <w:bottom w:val="none" w:sz="0" w:space="0" w:color="auto"/>
            </w:pBdr>
            <w:spacing w:line="240" w:lineRule="atLeast"/>
            <w:jc w:val="right"/>
            <w:rPr>
              <w:b w:val="0"/>
              <w:lang w:val="en-US"/>
            </w:rPr>
          </w:pPr>
        </w:p>
      </w:tc>
      <w:tc>
        <w:tcPr>
          <w:tcW w:w="4928" w:type="dxa"/>
        </w:tcPr>
        <w:p w14:paraId="0B2E6C98" w14:textId="77777777" w:rsidR="008C2478" w:rsidRDefault="008C2478">
          <w:pPr>
            <w:pStyle w:val="Header"/>
            <w:pBdr>
              <w:bottom w:val="none" w:sz="0" w:space="0" w:color="auto"/>
            </w:pBdr>
            <w:spacing w:line="240" w:lineRule="atLeast"/>
            <w:jc w:val="right"/>
            <w:rPr>
              <w:lang w:val="en-US"/>
            </w:rPr>
          </w:pPr>
        </w:p>
      </w:tc>
    </w:tr>
  </w:tbl>
  <w:p w14:paraId="41FD368A" w14:textId="77777777" w:rsidR="008C2478" w:rsidRPr="008C2478" w:rsidRDefault="008C2478">
    <w:pPr>
      <w:pStyle w:val="Header"/>
      <w:rPr>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2552" w14:textId="2F130488" w:rsidR="00F820F3" w:rsidRPr="000B5EEE" w:rsidRDefault="000B5EEE" w:rsidP="000B5EEE">
    <w:pPr>
      <w:pStyle w:val="Header"/>
    </w:pPr>
    <w:r>
      <w:rPr>
        <w:lang w:val="en-US"/>
      </w:rPr>
      <w:t>GRPE-7</w:t>
    </w:r>
    <w:r>
      <w:rPr>
        <w:rFonts w:hint="eastAsia"/>
        <w:lang w:val="en-US" w:eastAsia="ja-JP"/>
      </w:rPr>
      <w:t>8</w:t>
    </w:r>
    <w:r>
      <w:rPr>
        <w:lang w:val="en-US"/>
      </w:rPr>
      <w:t>-</w:t>
    </w:r>
    <w:r w:rsidR="00965AB8">
      <w:rPr>
        <w:lang w:val="en-US" w:eastAsia="ja-JP"/>
      </w:rPr>
      <w:t>09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8B84" w14:textId="7CA929F7" w:rsidR="00F820F3" w:rsidRPr="008C2478" w:rsidRDefault="008C2478" w:rsidP="008C2478">
    <w:pPr>
      <w:pStyle w:val="Header"/>
      <w:jc w:val="right"/>
    </w:pPr>
    <w:r>
      <w:rPr>
        <w:lang w:val="en-US"/>
      </w:rPr>
      <w:t>GRPE-7</w:t>
    </w:r>
    <w:r>
      <w:rPr>
        <w:rFonts w:hint="eastAsia"/>
        <w:lang w:val="en-US" w:eastAsia="ja-JP"/>
      </w:rPr>
      <w:t>8</w:t>
    </w:r>
    <w:r>
      <w:rPr>
        <w:lang w:val="en-US"/>
      </w:rPr>
      <w:t>-</w:t>
    </w:r>
    <w:r w:rsidR="00965AB8">
      <w:rPr>
        <w:lang w:val="en-US" w:eastAsia="ja-JP"/>
      </w:rPr>
      <w:t>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A641" w14:textId="5C4C296B" w:rsidR="00544F90" w:rsidRPr="008C2478" w:rsidRDefault="008C2478" w:rsidP="008C2478">
    <w:pPr>
      <w:pStyle w:val="Header"/>
    </w:pPr>
    <w:r>
      <w:rPr>
        <w:lang w:val="en-US"/>
      </w:rPr>
      <w:t>GRPE-7</w:t>
    </w:r>
    <w:r>
      <w:rPr>
        <w:rFonts w:hint="eastAsia"/>
        <w:lang w:val="en-US" w:eastAsia="ja-JP"/>
      </w:rPr>
      <w:t>8</w:t>
    </w:r>
    <w:r>
      <w:rPr>
        <w:lang w:val="en-US"/>
      </w:rPr>
      <w:t>-</w:t>
    </w:r>
    <w:r w:rsidR="00965AB8">
      <w:rPr>
        <w:lang w:val="en-US" w:eastAsia="ja-JP"/>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8" w15:restartNumberingAfterBreak="0">
    <w:nsid w:val="65925DC1"/>
    <w:multiLevelType w:val="hybridMultilevel"/>
    <w:tmpl w:val="FAA66F24"/>
    <w:lvl w:ilvl="0" w:tplc="8C4849AC">
      <w:numFmt w:val="decimal"/>
      <w:lvlText w:val=""/>
      <w:lvlJc w:val="left"/>
      <w:pPr>
        <w:ind w:left="0" w:firstLine="0"/>
      </w:p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5E223DA"/>
    <w:multiLevelType w:val="hybridMultilevel"/>
    <w:tmpl w:val="5B7ACB42"/>
    <w:lvl w:ilvl="0" w:tplc="3A60C988">
      <w:numFmt w:val="decimal"/>
      <w:lvlText w:val=""/>
      <w:lvlJc w:val="left"/>
      <w:pPr>
        <w:ind w:left="0" w:firstLine="0"/>
      </w:p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1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9"/>
  </w:num>
  <w:num w:numId="2">
    <w:abstractNumId w:val="5"/>
  </w:num>
  <w:num w:numId="3">
    <w:abstractNumId w:val="6"/>
  </w:num>
  <w:num w:numId="4">
    <w:abstractNumId w:val="3"/>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 w:numId="17">
    <w:abstractNumId w:val="7"/>
  </w:num>
  <w:num w:numId="18">
    <w:abstractNumId w:val="8"/>
  </w:num>
  <w:num w:numId="19">
    <w:abstractNumId w:val="10"/>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5FD1"/>
    <w:rsid w:val="0000603C"/>
    <w:rsid w:val="00006F3D"/>
    <w:rsid w:val="00007FAF"/>
    <w:rsid w:val="00010972"/>
    <w:rsid w:val="0001199A"/>
    <w:rsid w:val="00011EEB"/>
    <w:rsid w:val="0001208A"/>
    <w:rsid w:val="000126F2"/>
    <w:rsid w:val="00013231"/>
    <w:rsid w:val="00014959"/>
    <w:rsid w:val="000168C6"/>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251D"/>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5EEE"/>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588"/>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160D"/>
    <w:rsid w:val="001137BD"/>
    <w:rsid w:val="001138D6"/>
    <w:rsid w:val="001138F1"/>
    <w:rsid w:val="0011447A"/>
    <w:rsid w:val="001148C5"/>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31B"/>
    <w:rsid w:val="0018775C"/>
    <w:rsid w:val="001901A6"/>
    <w:rsid w:val="00190224"/>
    <w:rsid w:val="00191307"/>
    <w:rsid w:val="001925C4"/>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549E"/>
    <w:rsid w:val="001C60AE"/>
    <w:rsid w:val="001C6712"/>
    <w:rsid w:val="001C7674"/>
    <w:rsid w:val="001C785B"/>
    <w:rsid w:val="001D0D93"/>
    <w:rsid w:val="001D0E12"/>
    <w:rsid w:val="001D4B4E"/>
    <w:rsid w:val="001D76CF"/>
    <w:rsid w:val="001D7F81"/>
    <w:rsid w:val="001D7F8A"/>
    <w:rsid w:val="001E0513"/>
    <w:rsid w:val="001E0542"/>
    <w:rsid w:val="001E1FC2"/>
    <w:rsid w:val="001E211B"/>
    <w:rsid w:val="001E2621"/>
    <w:rsid w:val="001E3E19"/>
    <w:rsid w:val="001E3EB5"/>
    <w:rsid w:val="001E3FEB"/>
    <w:rsid w:val="001E4A02"/>
    <w:rsid w:val="001E4BA1"/>
    <w:rsid w:val="001E4D6A"/>
    <w:rsid w:val="001E5BD1"/>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77D0A"/>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4E6"/>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6D30"/>
    <w:rsid w:val="002F7163"/>
    <w:rsid w:val="00300FF7"/>
    <w:rsid w:val="003016B7"/>
    <w:rsid w:val="0030185D"/>
    <w:rsid w:val="00303C28"/>
    <w:rsid w:val="00307008"/>
    <w:rsid w:val="00307921"/>
    <w:rsid w:val="00310241"/>
    <w:rsid w:val="00310F0B"/>
    <w:rsid w:val="0031206A"/>
    <w:rsid w:val="00312868"/>
    <w:rsid w:val="00313531"/>
    <w:rsid w:val="00313F8C"/>
    <w:rsid w:val="00314912"/>
    <w:rsid w:val="00315AC1"/>
    <w:rsid w:val="00315F72"/>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0C69"/>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85B"/>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A8A"/>
    <w:rsid w:val="003A0FE8"/>
    <w:rsid w:val="003A16A1"/>
    <w:rsid w:val="003A648A"/>
    <w:rsid w:val="003A66D0"/>
    <w:rsid w:val="003A6D04"/>
    <w:rsid w:val="003B0F7D"/>
    <w:rsid w:val="003B1596"/>
    <w:rsid w:val="003B1881"/>
    <w:rsid w:val="003B1C62"/>
    <w:rsid w:val="003B21A9"/>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09A8"/>
    <w:rsid w:val="003E121D"/>
    <w:rsid w:val="003E142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3F67BB"/>
    <w:rsid w:val="00400B00"/>
    <w:rsid w:val="00400C93"/>
    <w:rsid w:val="004031C6"/>
    <w:rsid w:val="00403A3A"/>
    <w:rsid w:val="00403CAB"/>
    <w:rsid w:val="00404B4A"/>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60"/>
    <w:rsid w:val="004249E7"/>
    <w:rsid w:val="00425B1F"/>
    <w:rsid w:val="0042677D"/>
    <w:rsid w:val="00426C6C"/>
    <w:rsid w:val="00427493"/>
    <w:rsid w:val="00427A74"/>
    <w:rsid w:val="004302BF"/>
    <w:rsid w:val="00430390"/>
    <w:rsid w:val="004305CC"/>
    <w:rsid w:val="0043072D"/>
    <w:rsid w:val="00430E44"/>
    <w:rsid w:val="0043114C"/>
    <w:rsid w:val="00431DFD"/>
    <w:rsid w:val="00433A25"/>
    <w:rsid w:val="004346E7"/>
    <w:rsid w:val="00434F04"/>
    <w:rsid w:val="00434FE2"/>
    <w:rsid w:val="004367AE"/>
    <w:rsid w:val="00437C2C"/>
    <w:rsid w:val="00440D4C"/>
    <w:rsid w:val="004411E2"/>
    <w:rsid w:val="004437EE"/>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9FF"/>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2991"/>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2526"/>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5B"/>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90"/>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296F"/>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133"/>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E7AFB"/>
    <w:rsid w:val="005F0D33"/>
    <w:rsid w:val="005F131D"/>
    <w:rsid w:val="005F4443"/>
    <w:rsid w:val="005F4B14"/>
    <w:rsid w:val="005F5520"/>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1DD0"/>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1BD4"/>
    <w:rsid w:val="006523E9"/>
    <w:rsid w:val="00653AC8"/>
    <w:rsid w:val="00653DFE"/>
    <w:rsid w:val="006543D8"/>
    <w:rsid w:val="00654A53"/>
    <w:rsid w:val="00654A61"/>
    <w:rsid w:val="0065530F"/>
    <w:rsid w:val="00656290"/>
    <w:rsid w:val="00657054"/>
    <w:rsid w:val="00661205"/>
    <w:rsid w:val="00661275"/>
    <w:rsid w:val="00662497"/>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8A1"/>
    <w:rsid w:val="006919F2"/>
    <w:rsid w:val="006942B2"/>
    <w:rsid w:val="00696277"/>
    <w:rsid w:val="00696525"/>
    <w:rsid w:val="0069778A"/>
    <w:rsid w:val="006A12E1"/>
    <w:rsid w:val="006A447C"/>
    <w:rsid w:val="006A4E46"/>
    <w:rsid w:val="006A4F50"/>
    <w:rsid w:val="006A57AE"/>
    <w:rsid w:val="006A5867"/>
    <w:rsid w:val="006A6526"/>
    <w:rsid w:val="006A6BC9"/>
    <w:rsid w:val="006B0D40"/>
    <w:rsid w:val="006B0D9D"/>
    <w:rsid w:val="006B1144"/>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4066"/>
    <w:rsid w:val="006F55B2"/>
    <w:rsid w:val="006F6D38"/>
    <w:rsid w:val="006F707A"/>
    <w:rsid w:val="006F73F4"/>
    <w:rsid w:val="006F7CD1"/>
    <w:rsid w:val="006F7F03"/>
    <w:rsid w:val="007007FE"/>
    <w:rsid w:val="0070249B"/>
    <w:rsid w:val="00702644"/>
    <w:rsid w:val="00703417"/>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50F"/>
    <w:rsid w:val="00752869"/>
    <w:rsid w:val="00752E98"/>
    <w:rsid w:val="00753ACA"/>
    <w:rsid w:val="0075409D"/>
    <w:rsid w:val="007540CF"/>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088E"/>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5131"/>
    <w:rsid w:val="007A5ACA"/>
    <w:rsid w:val="007A680D"/>
    <w:rsid w:val="007A6D5C"/>
    <w:rsid w:val="007B0442"/>
    <w:rsid w:val="007B0E5D"/>
    <w:rsid w:val="007B262A"/>
    <w:rsid w:val="007B4780"/>
    <w:rsid w:val="007B55F9"/>
    <w:rsid w:val="007B612A"/>
    <w:rsid w:val="007B6ED2"/>
    <w:rsid w:val="007B7EA7"/>
    <w:rsid w:val="007C1A9B"/>
    <w:rsid w:val="007C21C2"/>
    <w:rsid w:val="007C25A3"/>
    <w:rsid w:val="007C2A2A"/>
    <w:rsid w:val="007C3644"/>
    <w:rsid w:val="007C43A7"/>
    <w:rsid w:val="007C43F5"/>
    <w:rsid w:val="007C4CE0"/>
    <w:rsid w:val="007C4F41"/>
    <w:rsid w:val="007C62F4"/>
    <w:rsid w:val="007C68AF"/>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6EE8"/>
    <w:rsid w:val="008001FE"/>
    <w:rsid w:val="00800F23"/>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BA3"/>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565C"/>
    <w:rsid w:val="008878ED"/>
    <w:rsid w:val="00887CB8"/>
    <w:rsid w:val="00890250"/>
    <w:rsid w:val="00891E76"/>
    <w:rsid w:val="00891FA6"/>
    <w:rsid w:val="008923BE"/>
    <w:rsid w:val="00893025"/>
    <w:rsid w:val="008962BF"/>
    <w:rsid w:val="00896428"/>
    <w:rsid w:val="00896604"/>
    <w:rsid w:val="008A008A"/>
    <w:rsid w:val="008A0BBD"/>
    <w:rsid w:val="008A1B73"/>
    <w:rsid w:val="008A2F31"/>
    <w:rsid w:val="008A3266"/>
    <w:rsid w:val="008A3EB2"/>
    <w:rsid w:val="008A3F75"/>
    <w:rsid w:val="008A4653"/>
    <w:rsid w:val="008A51BA"/>
    <w:rsid w:val="008A5335"/>
    <w:rsid w:val="008A6088"/>
    <w:rsid w:val="008B0FF5"/>
    <w:rsid w:val="008B29D8"/>
    <w:rsid w:val="008B2C53"/>
    <w:rsid w:val="008B44C4"/>
    <w:rsid w:val="008B623C"/>
    <w:rsid w:val="008B6473"/>
    <w:rsid w:val="008B755A"/>
    <w:rsid w:val="008B7879"/>
    <w:rsid w:val="008C2181"/>
    <w:rsid w:val="008C2478"/>
    <w:rsid w:val="008C2F13"/>
    <w:rsid w:val="008C333E"/>
    <w:rsid w:val="008C3758"/>
    <w:rsid w:val="008C39AC"/>
    <w:rsid w:val="008C3FDA"/>
    <w:rsid w:val="008C5041"/>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5BE"/>
    <w:rsid w:val="008E7FAE"/>
    <w:rsid w:val="008E7FF3"/>
    <w:rsid w:val="008F057E"/>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4C4"/>
    <w:rsid w:val="009256F3"/>
    <w:rsid w:val="009258AF"/>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5AB8"/>
    <w:rsid w:val="00966C87"/>
    <w:rsid w:val="00967A79"/>
    <w:rsid w:val="00970910"/>
    <w:rsid w:val="00970F6B"/>
    <w:rsid w:val="009714BA"/>
    <w:rsid w:val="009716D5"/>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6048"/>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AA2"/>
    <w:rsid w:val="009E4EC5"/>
    <w:rsid w:val="009E5441"/>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6B80"/>
    <w:rsid w:val="00A27564"/>
    <w:rsid w:val="00A30E93"/>
    <w:rsid w:val="00A31217"/>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5D8E"/>
    <w:rsid w:val="00A566C8"/>
    <w:rsid w:val="00A57313"/>
    <w:rsid w:val="00A576AA"/>
    <w:rsid w:val="00A6018E"/>
    <w:rsid w:val="00A606E9"/>
    <w:rsid w:val="00A60D62"/>
    <w:rsid w:val="00A62D08"/>
    <w:rsid w:val="00A636DB"/>
    <w:rsid w:val="00A64631"/>
    <w:rsid w:val="00A64E23"/>
    <w:rsid w:val="00A65660"/>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77F8E"/>
    <w:rsid w:val="00A81CFD"/>
    <w:rsid w:val="00A825BE"/>
    <w:rsid w:val="00A83601"/>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4BE6"/>
    <w:rsid w:val="00AC67A1"/>
    <w:rsid w:val="00AC6BD8"/>
    <w:rsid w:val="00AC7977"/>
    <w:rsid w:val="00AC7B46"/>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4E48"/>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7243"/>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300"/>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07B"/>
    <w:rsid w:val="00B945F6"/>
    <w:rsid w:val="00B96072"/>
    <w:rsid w:val="00B97A59"/>
    <w:rsid w:val="00B97DD0"/>
    <w:rsid w:val="00BA070A"/>
    <w:rsid w:val="00BA38A9"/>
    <w:rsid w:val="00BA39E1"/>
    <w:rsid w:val="00BA4CAC"/>
    <w:rsid w:val="00BA5929"/>
    <w:rsid w:val="00BA6D5C"/>
    <w:rsid w:val="00BB14FC"/>
    <w:rsid w:val="00BB1E2D"/>
    <w:rsid w:val="00BB24CA"/>
    <w:rsid w:val="00BB572B"/>
    <w:rsid w:val="00BB71A7"/>
    <w:rsid w:val="00BC4943"/>
    <w:rsid w:val="00BC4F81"/>
    <w:rsid w:val="00BC5B0E"/>
    <w:rsid w:val="00BC6718"/>
    <w:rsid w:val="00BC69AB"/>
    <w:rsid w:val="00BC6A32"/>
    <w:rsid w:val="00BD1058"/>
    <w:rsid w:val="00BD1D62"/>
    <w:rsid w:val="00BD4063"/>
    <w:rsid w:val="00BD453D"/>
    <w:rsid w:val="00BD605A"/>
    <w:rsid w:val="00BD6524"/>
    <w:rsid w:val="00BD71C8"/>
    <w:rsid w:val="00BD7D09"/>
    <w:rsid w:val="00BE04D0"/>
    <w:rsid w:val="00BE1425"/>
    <w:rsid w:val="00BE1E8E"/>
    <w:rsid w:val="00BE258D"/>
    <w:rsid w:val="00BE757F"/>
    <w:rsid w:val="00BE7B88"/>
    <w:rsid w:val="00BF0556"/>
    <w:rsid w:val="00BF061A"/>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0795"/>
    <w:rsid w:val="00C13162"/>
    <w:rsid w:val="00C15C47"/>
    <w:rsid w:val="00C17138"/>
    <w:rsid w:val="00C17154"/>
    <w:rsid w:val="00C178F6"/>
    <w:rsid w:val="00C17B18"/>
    <w:rsid w:val="00C17D36"/>
    <w:rsid w:val="00C200F0"/>
    <w:rsid w:val="00C20A40"/>
    <w:rsid w:val="00C21796"/>
    <w:rsid w:val="00C22A5C"/>
    <w:rsid w:val="00C23129"/>
    <w:rsid w:val="00C23B00"/>
    <w:rsid w:val="00C23C95"/>
    <w:rsid w:val="00C24B53"/>
    <w:rsid w:val="00C24E22"/>
    <w:rsid w:val="00C250F8"/>
    <w:rsid w:val="00C257E1"/>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5F97"/>
    <w:rsid w:val="00C56563"/>
    <w:rsid w:val="00C60530"/>
    <w:rsid w:val="00C60F3C"/>
    <w:rsid w:val="00C63328"/>
    <w:rsid w:val="00C63AD2"/>
    <w:rsid w:val="00C64700"/>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5BD6"/>
    <w:rsid w:val="00C86F0C"/>
    <w:rsid w:val="00C87E09"/>
    <w:rsid w:val="00C90C3B"/>
    <w:rsid w:val="00C91629"/>
    <w:rsid w:val="00C91F72"/>
    <w:rsid w:val="00C9284F"/>
    <w:rsid w:val="00C940E9"/>
    <w:rsid w:val="00C94120"/>
    <w:rsid w:val="00C95441"/>
    <w:rsid w:val="00C958F9"/>
    <w:rsid w:val="00CA095F"/>
    <w:rsid w:val="00CA0976"/>
    <w:rsid w:val="00CA1678"/>
    <w:rsid w:val="00CA185A"/>
    <w:rsid w:val="00CA49A6"/>
    <w:rsid w:val="00CA4C8D"/>
    <w:rsid w:val="00CA4D6A"/>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2B91"/>
    <w:rsid w:val="00CE32FE"/>
    <w:rsid w:val="00CE396F"/>
    <w:rsid w:val="00CE5A9C"/>
    <w:rsid w:val="00CE678F"/>
    <w:rsid w:val="00CE67E4"/>
    <w:rsid w:val="00CE6D4D"/>
    <w:rsid w:val="00CE7227"/>
    <w:rsid w:val="00CF1FD3"/>
    <w:rsid w:val="00CF2B02"/>
    <w:rsid w:val="00CF3277"/>
    <w:rsid w:val="00CF36EA"/>
    <w:rsid w:val="00CF3FC0"/>
    <w:rsid w:val="00CF4B46"/>
    <w:rsid w:val="00CF649A"/>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32F"/>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5F09"/>
    <w:rsid w:val="00D8648E"/>
    <w:rsid w:val="00D86731"/>
    <w:rsid w:val="00D87F4B"/>
    <w:rsid w:val="00D909E9"/>
    <w:rsid w:val="00D90D12"/>
    <w:rsid w:val="00D91A12"/>
    <w:rsid w:val="00D93BBE"/>
    <w:rsid w:val="00D9454D"/>
    <w:rsid w:val="00D95673"/>
    <w:rsid w:val="00D95E12"/>
    <w:rsid w:val="00D96184"/>
    <w:rsid w:val="00D96343"/>
    <w:rsid w:val="00D965BF"/>
    <w:rsid w:val="00D96AB5"/>
    <w:rsid w:val="00DA093C"/>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058"/>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27BA"/>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6C70"/>
    <w:rsid w:val="00EA7714"/>
    <w:rsid w:val="00EA7FB3"/>
    <w:rsid w:val="00EB04A0"/>
    <w:rsid w:val="00EB0DE6"/>
    <w:rsid w:val="00EB187A"/>
    <w:rsid w:val="00EB5434"/>
    <w:rsid w:val="00EB66C4"/>
    <w:rsid w:val="00EB72C9"/>
    <w:rsid w:val="00EB79F3"/>
    <w:rsid w:val="00EB7C7C"/>
    <w:rsid w:val="00EC0910"/>
    <w:rsid w:val="00EC16D1"/>
    <w:rsid w:val="00EC1E20"/>
    <w:rsid w:val="00EC22F1"/>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3F9D"/>
    <w:rsid w:val="00EE4721"/>
    <w:rsid w:val="00EE6D11"/>
    <w:rsid w:val="00EE7E85"/>
    <w:rsid w:val="00EF102A"/>
    <w:rsid w:val="00EF1486"/>
    <w:rsid w:val="00EF2CAC"/>
    <w:rsid w:val="00EF369B"/>
    <w:rsid w:val="00EF36D8"/>
    <w:rsid w:val="00EF37FC"/>
    <w:rsid w:val="00EF3A5B"/>
    <w:rsid w:val="00EF40A1"/>
    <w:rsid w:val="00EF6183"/>
    <w:rsid w:val="00EF73A7"/>
    <w:rsid w:val="00F00678"/>
    <w:rsid w:val="00F01516"/>
    <w:rsid w:val="00F03E81"/>
    <w:rsid w:val="00F049E2"/>
    <w:rsid w:val="00F04D40"/>
    <w:rsid w:val="00F0631F"/>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1B1"/>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422D"/>
    <w:rsid w:val="00F651B9"/>
    <w:rsid w:val="00F6679D"/>
    <w:rsid w:val="00F66822"/>
    <w:rsid w:val="00F704DB"/>
    <w:rsid w:val="00F70BDE"/>
    <w:rsid w:val="00F72F89"/>
    <w:rsid w:val="00F739E6"/>
    <w:rsid w:val="00F74474"/>
    <w:rsid w:val="00F745CA"/>
    <w:rsid w:val="00F766CB"/>
    <w:rsid w:val="00F76D63"/>
    <w:rsid w:val="00F76F68"/>
    <w:rsid w:val="00F775DA"/>
    <w:rsid w:val="00F80AD3"/>
    <w:rsid w:val="00F822AD"/>
    <w:rsid w:val="00F838E8"/>
    <w:rsid w:val="00F83AD4"/>
    <w:rsid w:val="00F83B50"/>
    <w:rsid w:val="00F848D3"/>
    <w:rsid w:val="00F856CE"/>
    <w:rsid w:val="00F863E2"/>
    <w:rsid w:val="00F870FA"/>
    <w:rsid w:val="00F87BC6"/>
    <w:rsid w:val="00F913A0"/>
    <w:rsid w:val="00F938CC"/>
    <w:rsid w:val="00F93CC1"/>
    <w:rsid w:val="00F94F56"/>
    <w:rsid w:val="00F9639D"/>
    <w:rsid w:val="00F9688C"/>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59BA"/>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62E73B4A"/>
  <w15:docId w15:val="{FB7F17DD-E036-4EFF-A869-8E8AC24A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711">
      <w:bodyDiv w:val="1"/>
      <w:marLeft w:val="0"/>
      <w:marRight w:val="0"/>
      <w:marTop w:val="0"/>
      <w:marBottom w:val="0"/>
      <w:divBdr>
        <w:top w:val="none" w:sz="0" w:space="0" w:color="auto"/>
        <w:left w:val="none" w:sz="0" w:space="0" w:color="auto"/>
        <w:bottom w:val="none" w:sz="0" w:space="0" w:color="auto"/>
        <w:right w:val="none" w:sz="0" w:space="0" w:color="auto"/>
      </w:divBdr>
    </w:div>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91596027">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50524678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 w:id="19727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4C8F-7941-4E4A-989D-61E24914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1894</Words>
  <Characters>10797</Characters>
  <Application>Microsoft Office Word</Application>
  <DocSecurity>0</DocSecurity>
  <Lines>89</Lines>
  <Paragraphs>25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1714758</vt:lpstr>
      <vt:lpstr>1714758</vt:lpstr>
      <vt:lpstr>1714758</vt:lpstr>
    </vt:vector>
  </TitlesOfParts>
  <Company>CSD</Company>
  <LinksUpToDate>false</LinksUpToDate>
  <CharactersWithSpaces>12666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1714758</dc:title>
  <dc:subject>ECE/TRANS/180/Add.19/Appendix 1</dc:subject>
  <dc:creator>Corinne</dc:creator>
  <cp:lastModifiedBy>Francois Cuenot</cp:lastModifiedBy>
  <cp:revision>6</cp:revision>
  <cp:lastPrinted>2017-08-25T08:59:00Z</cp:lastPrinted>
  <dcterms:created xsi:type="dcterms:W3CDTF">2018-12-26T09:01:00Z</dcterms:created>
  <dcterms:modified xsi:type="dcterms:W3CDTF">2019-01-04T15:34:00Z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