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8361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8361E" w:rsidP="0008361E">
            <w:pPr>
              <w:jc w:val="right"/>
            </w:pPr>
            <w:r w:rsidRPr="0008361E">
              <w:rPr>
                <w:sz w:val="40"/>
              </w:rPr>
              <w:t>ECE</w:t>
            </w:r>
            <w:r>
              <w:t>/TRANS/WP.29/GRPE/2019/10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8361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08361E" w:rsidRDefault="0008361E" w:rsidP="0008361E">
            <w:pPr>
              <w:spacing w:line="240" w:lineRule="exact"/>
            </w:pPr>
            <w:r>
              <w:t>12 mars 2019</w:t>
            </w:r>
          </w:p>
          <w:p w:rsidR="0008361E" w:rsidRDefault="0008361E" w:rsidP="0008361E">
            <w:pPr>
              <w:spacing w:line="240" w:lineRule="exact"/>
            </w:pPr>
            <w:r>
              <w:t>Français</w:t>
            </w:r>
          </w:p>
          <w:p w:rsidR="0008361E" w:rsidRPr="00DB58B5" w:rsidRDefault="0008361E" w:rsidP="0008361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251C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8361E" w:rsidRDefault="0008361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251C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8361E" w:rsidRDefault="0008361E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B251C9">
        <w:rPr>
          <w:b/>
        </w:rPr>
        <w:t>’</w:t>
      </w:r>
      <w:r>
        <w:rPr>
          <w:b/>
        </w:rPr>
        <w:t>énergie</w:t>
      </w:r>
    </w:p>
    <w:p w:rsidR="0008361E" w:rsidRPr="0008361E" w:rsidRDefault="0008361E" w:rsidP="0008361E">
      <w:pPr>
        <w:spacing w:line="240" w:lineRule="exact"/>
        <w:rPr>
          <w:b/>
        </w:rPr>
      </w:pPr>
      <w:r w:rsidRPr="0008361E">
        <w:rPr>
          <w:b/>
          <w:bCs/>
          <w:lang w:val="fr-FR"/>
        </w:rPr>
        <w:t>Soixante-dix-neuvième session</w:t>
      </w:r>
    </w:p>
    <w:p w:rsidR="0008361E" w:rsidRPr="0008361E" w:rsidRDefault="0008361E" w:rsidP="0008361E">
      <w:pPr>
        <w:spacing w:line="240" w:lineRule="exact"/>
      </w:pPr>
      <w:r w:rsidRPr="0008361E">
        <w:rPr>
          <w:lang w:val="fr-FR"/>
        </w:rPr>
        <w:t xml:space="preserve">Genève, 21-24 mai 2019 </w:t>
      </w:r>
    </w:p>
    <w:p w:rsidR="0008361E" w:rsidRPr="0008361E" w:rsidRDefault="0008361E" w:rsidP="0008361E">
      <w:pPr>
        <w:spacing w:line="240" w:lineRule="exact"/>
      </w:pPr>
      <w:r w:rsidRPr="0008361E">
        <w:rPr>
          <w:lang w:val="fr-FR"/>
        </w:rPr>
        <w:t>Point 5 de l</w:t>
      </w:r>
      <w:r w:rsidR="00B251C9">
        <w:rPr>
          <w:lang w:val="fr-FR"/>
        </w:rPr>
        <w:t>’</w:t>
      </w:r>
      <w:r w:rsidRPr="0008361E">
        <w:rPr>
          <w:lang w:val="fr-FR"/>
        </w:rPr>
        <w:t>ordre du jour provisoire</w:t>
      </w:r>
    </w:p>
    <w:p w:rsidR="0008361E" w:rsidRDefault="0008361E" w:rsidP="0008361E">
      <w:pPr>
        <w:spacing w:line="240" w:lineRule="exact"/>
      </w:pPr>
      <w:r w:rsidRPr="0008361E">
        <w:rPr>
          <w:b/>
          <w:bCs/>
          <w:lang w:val="fr-FR"/>
        </w:rPr>
        <w:t xml:space="preserve">Règlements ONU </w:t>
      </w:r>
      <w:r w:rsidR="00D904C5" w:rsidRPr="00D904C5">
        <w:rPr>
          <w:rFonts w:eastAsia="MS Mincho"/>
          <w:b/>
          <w:bCs/>
          <w:szCs w:val="22"/>
          <w:lang w:val="fr-FR"/>
        </w:rPr>
        <w:t>n</w:t>
      </w:r>
      <w:r w:rsidR="00D904C5" w:rsidRPr="00D904C5">
        <w:rPr>
          <w:rFonts w:eastAsia="MS Mincho"/>
          <w:b/>
          <w:bCs/>
          <w:szCs w:val="22"/>
          <w:vertAlign w:val="superscript"/>
          <w:lang w:val="fr-FR"/>
        </w:rPr>
        <w:t>o</w:t>
      </w:r>
      <w:r w:rsidR="00D904C5">
        <w:rPr>
          <w:rFonts w:eastAsia="MS Mincho"/>
          <w:b/>
          <w:bCs/>
          <w:szCs w:val="22"/>
          <w:vertAlign w:val="superscript"/>
          <w:lang w:val="fr-FR"/>
        </w:rPr>
        <w:t>s</w:t>
      </w:r>
      <w:r w:rsidR="00D904C5">
        <w:rPr>
          <w:b/>
          <w:bCs/>
          <w:lang w:val="fr-FR"/>
        </w:rPr>
        <w:t> </w:t>
      </w:r>
      <w:r w:rsidRPr="0008361E">
        <w:rPr>
          <w:b/>
          <w:bCs/>
          <w:lang w:val="fr-FR"/>
        </w:rPr>
        <w:t xml:space="preserve">24 (Émissions de polluants visibles, mesure </w:t>
      </w:r>
      <w:r w:rsidR="00CA7B4D">
        <w:rPr>
          <w:b/>
          <w:bCs/>
          <w:lang w:val="fr-FR"/>
        </w:rPr>
        <w:br/>
      </w:r>
      <w:r w:rsidRPr="0008361E">
        <w:rPr>
          <w:b/>
          <w:bCs/>
          <w:lang w:val="fr-FR"/>
        </w:rPr>
        <w:t xml:space="preserve">de la puissance des moteurs à allumage par compression (fumées </w:t>
      </w:r>
      <w:r w:rsidR="00D904C5">
        <w:rPr>
          <w:b/>
          <w:bCs/>
          <w:lang w:val="fr-FR"/>
        </w:rPr>
        <w:br/>
      </w:r>
      <w:r w:rsidRPr="0008361E">
        <w:rPr>
          <w:b/>
          <w:bCs/>
          <w:lang w:val="fr-FR"/>
        </w:rPr>
        <w:t>des moteurs diesel)), 85 (Mesure de la puissance nette),</w:t>
      </w:r>
      <w:r w:rsidR="001F6857">
        <w:rPr>
          <w:b/>
          <w:bCs/>
          <w:lang w:val="fr-FR"/>
        </w:rPr>
        <w:t xml:space="preserve"> </w:t>
      </w:r>
      <w:r w:rsidRPr="0008361E">
        <w:rPr>
          <w:b/>
          <w:bCs/>
          <w:lang w:val="fr-FR"/>
        </w:rPr>
        <w:t xml:space="preserve">115 (Systèmes </w:t>
      </w:r>
      <w:r w:rsidR="001F6857">
        <w:rPr>
          <w:b/>
          <w:bCs/>
          <w:lang w:val="fr-FR"/>
        </w:rPr>
        <w:br/>
      </w:r>
      <w:r w:rsidRPr="0008361E">
        <w:rPr>
          <w:b/>
          <w:bCs/>
          <w:lang w:val="fr-FR"/>
        </w:rPr>
        <w:t>d</w:t>
      </w:r>
      <w:r w:rsidR="00B251C9">
        <w:rPr>
          <w:b/>
          <w:bCs/>
          <w:lang w:val="fr-FR"/>
        </w:rPr>
        <w:t>’</w:t>
      </w:r>
      <w:r w:rsidRPr="0008361E">
        <w:rPr>
          <w:b/>
          <w:bCs/>
          <w:lang w:val="fr-FR"/>
        </w:rPr>
        <w:t xml:space="preserve">adaptation au GPL et au GNC), 133 (Aptitude au recyclage </w:t>
      </w:r>
      <w:r w:rsidR="001F6857">
        <w:rPr>
          <w:b/>
          <w:bCs/>
          <w:lang w:val="fr-FR"/>
        </w:rPr>
        <w:br/>
      </w:r>
      <w:r w:rsidRPr="0008361E">
        <w:rPr>
          <w:b/>
          <w:bCs/>
          <w:lang w:val="fr-FR"/>
        </w:rPr>
        <w:t>des véhicules automobiles)</w:t>
      </w:r>
      <w:r w:rsidR="001F6857">
        <w:rPr>
          <w:b/>
          <w:bCs/>
          <w:lang w:val="fr-FR"/>
        </w:rPr>
        <w:t xml:space="preserve"> </w:t>
      </w:r>
      <w:r w:rsidRPr="0008361E">
        <w:rPr>
          <w:b/>
          <w:bCs/>
          <w:lang w:val="fr-FR"/>
        </w:rPr>
        <w:t>et 143 (Systèmes d</w:t>
      </w:r>
      <w:r w:rsidR="00B251C9">
        <w:rPr>
          <w:b/>
          <w:bCs/>
          <w:lang w:val="fr-FR"/>
        </w:rPr>
        <w:t>’</w:t>
      </w:r>
      <w:r w:rsidRPr="0008361E">
        <w:rPr>
          <w:b/>
          <w:bCs/>
          <w:lang w:val="fr-FR"/>
        </w:rPr>
        <w:t xml:space="preserve">adaptation </w:t>
      </w:r>
      <w:r w:rsidR="001F6857">
        <w:rPr>
          <w:b/>
          <w:bCs/>
          <w:lang w:val="fr-FR"/>
        </w:rPr>
        <w:br/>
      </w:r>
      <w:r w:rsidRPr="0008361E">
        <w:rPr>
          <w:b/>
          <w:bCs/>
          <w:lang w:val="fr-FR"/>
        </w:rPr>
        <w:t>des moteurs de véhicules utilitaires lourds à la bicarburation)</w:t>
      </w:r>
    </w:p>
    <w:p w:rsidR="00372CB6" w:rsidRPr="00372CB6" w:rsidRDefault="00372CB6" w:rsidP="00372CB6">
      <w:pPr>
        <w:pStyle w:val="HChG"/>
      </w:pPr>
      <w:r w:rsidRPr="00372CB6">
        <w:rPr>
          <w:lang w:val="fr-FR"/>
        </w:rPr>
        <w:tab/>
      </w:r>
      <w:r w:rsidRPr="00372CB6">
        <w:rPr>
          <w:lang w:val="fr-FR"/>
        </w:rPr>
        <w:tab/>
      </w:r>
      <w:r w:rsidRPr="002C2210">
        <w:rPr>
          <w:spacing w:val="-4"/>
          <w:lang w:val="fr-FR"/>
        </w:rPr>
        <w:t xml:space="preserve">Proposition de nouveau complément au Règlement ONU </w:t>
      </w:r>
      <w:r w:rsidRPr="002C2210">
        <w:rPr>
          <w:rFonts w:eastAsia="MS Mincho"/>
          <w:spacing w:val="-4"/>
          <w:szCs w:val="22"/>
          <w:lang w:val="fr-FR"/>
        </w:rPr>
        <w:t>n</w:t>
      </w:r>
      <w:r w:rsidRPr="002C2210">
        <w:rPr>
          <w:rFonts w:eastAsia="MS Mincho"/>
          <w:spacing w:val="-4"/>
          <w:szCs w:val="22"/>
          <w:vertAlign w:val="superscript"/>
          <w:lang w:val="fr-FR"/>
        </w:rPr>
        <w:t>o</w:t>
      </w:r>
      <w:r w:rsidRPr="002C2210">
        <w:rPr>
          <w:spacing w:val="-4"/>
          <w:lang w:val="fr-FR"/>
        </w:rPr>
        <w:t> 115</w:t>
      </w:r>
      <w:r w:rsidRPr="00372CB6">
        <w:rPr>
          <w:lang w:val="fr-FR"/>
        </w:rPr>
        <w:t xml:space="preserve"> (Systèmes d</w:t>
      </w:r>
      <w:r w:rsidR="00B251C9">
        <w:rPr>
          <w:lang w:val="fr-FR"/>
        </w:rPr>
        <w:t>’</w:t>
      </w:r>
      <w:r w:rsidRPr="00372CB6">
        <w:rPr>
          <w:lang w:val="fr-FR"/>
        </w:rPr>
        <w:t>adaptation au GPL et au GNC)</w:t>
      </w:r>
    </w:p>
    <w:p w:rsidR="00372CB6" w:rsidRPr="00372CB6" w:rsidRDefault="00372CB6" w:rsidP="00372CB6">
      <w:pPr>
        <w:pStyle w:val="H1G"/>
      </w:pPr>
      <w:r w:rsidRPr="00372CB6">
        <w:rPr>
          <w:lang w:val="fr-FR"/>
        </w:rPr>
        <w:tab/>
      </w:r>
      <w:r w:rsidRPr="00372CB6">
        <w:rPr>
          <w:lang w:val="fr-FR"/>
        </w:rPr>
        <w:tab/>
        <w:t>Communication de l</w:t>
      </w:r>
      <w:r w:rsidR="00B251C9">
        <w:rPr>
          <w:lang w:val="fr-FR"/>
        </w:rPr>
        <w:t>’</w:t>
      </w:r>
      <w:r w:rsidRPr="00372CB6">
        <w:rPr>
          <w:lang w:val="fr-FR"/>
        </w:rPr>
        <w:t>expert de l</w:t>
      </w:r>
      <w:r w:rsidR="00B251C9">
        <w:rPr>
          <w:lang w:val="fr-FR"/>
        </w:rPr>
        <w:t>’</w:t>
      </w:r>
      <w:r w:rsidRPr="00372CB6">
        <w:rPr>
          <w:lang w:val="fr-FR"/>
        </w:rPr>
        <w:t>Italie</w:t>
      </w:r>
      <w:r w:rsidRPr="002C2210">
        <w:rPr>
          <w:b w:val="0"/>
          <w:sz w:val="20"/>
          <w:lang w:val="fr-FR"/>
        </w:rPr>
        <w:footnoteReference w:customMarkFollows="1" w:id="2"/>
        <w:t>*</w:t>
      </w:r>
    </w:p>
    <w:p w:rsidR="00372CB6" w:rsidRPr="00372CB6" w:rsidRDefault="00372CB6" w:rsidP="00372CB6">
      <w:pPr>
        <w:pStyle w:val="SingleTxtG"/>
        <w:ind w:firstLine="567"/>
      </w:pPr>
      <w:r w:rsidRPr="00372CB6">
        <w:rPr>
          <w:lang w:val="fr-FR"/>
        </w:rPr>
        <w:t>Le texte reproduit ci-après, établi par l</w:t>
      </w:r>
      <w:r w:rsidR="00B251C9">
        <w:rPr>
          <w:lang w:val="fr-FR"/>
        </w:rPr>
        <w:t>’</w:t>
      </w:r>
      <w:r w:rsidRPr="00372CB6">
        <w:rPr>
          <w:lang w:val="fr-FR"/>
        </w:rPr>
        <w:t>expert de l</w:t>
      </w:r>
      <w:r w:rsidR="00B251C9">
        <w:rPr>
          <w:lang w:val="fr-FR"/>
        </w:rPr>
        <w:t>’</w:t>
      </w:r>
      <w:r w:rsidRPr="00372CB6">
        <w:rPr>
          <w:lang w:val="fr-FR"/>
        </w:rPr>
        <w:t>Italie, vise à énoncer les conditions qui permettent de considérer les véhicules à injection directe et à injection indirecte comme des véhicules appartenant à la même famille au titre de l</w:t>
      </w:r>
      <w:r w:rsidR="00B251C9">
        <w:rPr>
          <w:lang w:val="fr-FR"/>
        </w:rPr>
        <w:t>’</w:t>
      </w:r>
      <w:r w:rsidRPr="00372CB6">
        <w:rPr>
          <w:lang w:val="fr-FR"/>
        </w:rPr>
        <w:t>homologation.</w:t>
      </w:r>
    </w:p>
    <w:p w:rsidR="00372CB6" w:rsidRPr="00372CB6" w:rsidRDefault="00372CB6" w:rsidP="00740F68">
      <w:pPr>
        <w:pStyle w:val="HChG"/>
      </w:pPr>
      <w:r w:rsidRPr="00372CB6">
        <w:br w:type="page"/>
      </w:r>
      <w:r w:rsidRPr="00372CB6">
        <w:rPr>
          <w:lang w:val="fr-FR"/>
        </w:rPr>
        <w:lastRenderedPageBreak/>
        <w:tab/>
        <w:t>I.</w:t>
      </w:r>
      <w:r w:rsidRPr="00372CB6">
        <w:rPr>
          <w:lang w:val="fr-FR"/>
        </w:rPr>
        <w:tab/>
        <w:t>Proposition</w:t>
      </w:r>
    </w:p>
    <w:p w:rsidR="00372CB6" w:rsidRPr="00372CB6" w:rsidRDefault="00372CB6" w:rsidP="00740F68">
      <w:pPr>
        <w:pStyle w:val="SingleTxtG"/>
      </w:pPr>
      <w:r w:rsidRPr="00DE7560">
        <w:rPr>
          <w:i/>
          <w:lang w:val="fr-FR"/>
        </w:rPr>
        <w:t>Ajouter le nouveau paragraphe 2.5.1.4</w:t>
      </w:r>
      <w:r w:rsidRPr="00372CB6">
        <w:rPr>
          <w:lang w:val="fr-FR"/>
        </w:rPr>
        <w:t>, comme suit</w:t>
      </w:r>
      <w:r w:rsidR="00DE7560">
        <w:rPr>
          <w:lang w:val="fr-FR"/>
        </w:rPr>
        <w:t> </w:t>
      </w:r>
      <w:r w:rsidRPr="00372CB6">
        <w:rPr>
          <w:lang w:val="fr-FR"/>
        </w:rPr>
        <w:t>:</w:t>
      </w:r>
    </w:p>
    <w:p w:rsidR="00372CB6" w:rsidRPr="00372CB6" w:rsidRDefault="00DE7560" w:rsidP="00DE7560">
      <w:pPr>
        <w:pStyle w:val="SingleTxtG"/>
        <w:ind w:left="2268" w:hanging="1134"/>
      </w:pPr>
      <w:r>
        <w:rPr>
          <w:lang w:val="fr-FR"/>
        </w:rPr>
        <w:t>« </w:t>
      </w:r>
      <w:r w:rsidR="00372CB6" w:rsidRPr="00372CB6">
        <w:rPr>
          <w:lang w:val="fr-FR"/>
        </w:rPr>
        <w:t>2.5.1.4</w:t>
      </w:r>
      <w:r w:rsidR="00372CB6" w:rsidRPr="00372CB6">
        <w:rPr>
          <w:lang w:val="fr-FR"/>
        </w:rPr>
        <w:tab/>
        <w:t>En ce qui concerne la prescription énoncée au paragraphe 2.5.1.1 e), la relation familiale est jugée valable pour les véhicules à essence à injection directe et à injection indirecte sous réserve que toutes les conditions suivantes soient remplies</w:t>
      </w:r>
      <w:r>
        <w:rPr>
          <w:lang w:val="fr-FR"/>
        </w:rPr>
        <w:t> </w:t>
      </w:r>
      <w:r w:rsidR="00372CB6" w:rsidRPr="00372CB6">
        <w:rPr>
          <w:lang w:val="fr-FR"/>
        </w:rPr>
        <w:t>:</w:t>
      </w:r>
    </w:p>
    <w:p w:rsidR="00372CB6" w:rsidRPr="00372CB6" w:rsidRDefault="00372CB6" w:rsidP="00DE7560">
      <w:pPr>
        <w:pStyle w:val="SingleTxtG"/>
        <w:ind w:left="2268"/>
      </w:pPr>
      <w:r w:rsidRPr="00372CB6">
        <w:rPr>
          <w:lang w:val="fr-FR"/>
        </w:rPr>
        <w:t>-</w:t>
      </w:r>
      <w:bookmarkStart w:id="0" w:name="_GoBack"/>
      <w:bookmarkEnd w:id="0"/>
      <w:r w:rsidRPr="00372CB6">
        <w:rPr>
          <w:lang w:val="fr-FR"/>
        </w:rPr>
        <w:t xml:space="preserve"> Le système d</w:t>
      </w:r>
      <w:r w:rsidR="00B251C9">
        <w:rPr>
          <w:lang w:val="fr-FR"/>
        </w:rPr>
        <w:t>’</w:t>
      </w:r>
      <w:r w:rsidRPr="00372CB6">
        <w:rPr>
          <w:lang w:val="fr-FR"/>
        </w:rPr>
        <w:t>adaptation est un système d</w:t>
      </w:r>
      <w:r w:rsidR="00B251C9">
        <w:rPr>
          <w:lang w:val="fr-FR"/>
        </w:rPr>
        <w:t>’</w:t>
      </w:r>
      <w:r w:rsidRPr="00372CB6">
        <w:rPr>
          <w:lang w:val="fr-FR"/>
        </w:rPr>
        <w:t>adaptation de la gestion selon la définition donnée au paragraphe 2.1.5</w:t>
      </w:r>
      <w:r w:rsidR="00DE7560">
        <w:rPr>
          <w:lang w:val="fr-FR"/>
        </w:rPr>
        <w:t> </w:t>
      </w:r>
      <w:r w:rsidRPr="00372CB6">
        <w:rPr>
          <w:lang w:val="fr-FR"/>
        </w:rPr>
        <w:t>;</w:t>
      </w:r>
    </w:p>
    <w:p w:rsidR="00372CB6" w:rsidRPr="00372CB6" w:rsidRDefault="00372CB6" w:rsidP="00DE7560">
      <w:pPr>
        <w:pStyle w:val="SingleTxtG"/>
        <w:ind w:left="2268"/>
      </w:pPr>
      <w:r w:rsidRPr="00372CB6">
        <w:rPr>
          <w:lang w:val="fr-FR"/>
        </w:rPr>
        <w:t>- Le système d</w:t>
      </w:r>
      <w:r w:rsidR="00B251C9">
        <w:rPr>
          <w:lang w:val="fr-FR"/>
        </w:rPr>
        <w:t>’</w:t>
      </w:r>
      <w:r w:rsidRPr="00372CB6">
        <w:rPr>
          <w:lang w:val="fr-FR"/>
        </w:rPr>
        <w:t>adaptation fonctionne en mode d</w:t>
      </w:r>
      <w:r w:rsidR="00B251C9">
        <w:rPr>
          <w:lang w:val="fr-FR"/>
        </w:rPr>
        <w:t>’</w:t>
      </w:r>
      <w:r w:rsidRPr="00372CB6">
        <w:rPr>
          <w:lang w:val="fr-FR"/>
        </w:rPr>
        <w:t>injection indirecte sur les véhicules à injection directe</w:t>
      </w:r>
      <w:r w:rsidR="00DE7560">
        <w:rPr>
          <w:lang w:val="fr-FR"/>
        </w:rPr>
        <w:t> </w:t>
      </w:r>
      <w:r w:rsidRPr="00372CB6">
        <w:rPr>
          <w:lang w:val="fr-FR"/>
        </w:rPr>
        <w:t>;</w:t>
      </w:r>
    </w:p>
    <w:p w:rsidR="00372CB6" w:rsidRPr="00372CB6" w:rsidRDefault="00372CB6" w:rsidP="00DE7560">
      <w:pPr>
        <w:pStyle w:val="SingleTxtG"/>
        <w:ind w:left="2268"/>
      </w:pPr>
      <w:r w:rsidRPr="00372CB6">
        <w:rPr>
          <w:lang w:val="fr-FR"/>
        </w:rPr>
        <w:t>- Au moins un véhicule à injection directe d</w:t>
      </w:r>
      <w:r w:rsidR="00B251C9">
        <w:rPr>
          <w:lang w:val="fr-FR"/>
        </w:rPr>
        <w:t>’</w:t>
      </w:r>
      <w:r w:rsidRPr="00372CB6">
        <w:rPr>
          <w:lang w:val="fr-FR"/>
        </w:rPr>
        <w:t>essence a été éprouvé en tant que véhicule de base selon la définition donnée au paragraphe 2.5.</w:t>
      </w:r>
      <w:r w:rsidR="00B251C9">
        <w:rPr>
          <w:lang w:val="fr-FR"/>
        </w:rPr>
        <w:t> »</w:t>
      </w:r>
      <w:r w:rsidRPr="00372CB6">
        <w:rPr>
          <w:lang w:val="fr-FR"/>
        </w:rPr>
        <w:t>.</w:t>
      </w:r>
    </w:p>
    <w:p w:rsidR="00372CB6" w:rsidRPr="00372CB6" w:rsidRDefault="00372CB6" w:rsidP="00B251C9">
      <w:pPr>
        <w:pStyle w:val="SingleTxtG"/>
        <w:rPr>
          <w:i/>
        </w:rPr>
      </w:pPr>
      <w:r w:rsidRPr="00372CB6">
        <w:rPr>
          <w:i/>
          <w:iCs/>
          <w:lang w:val="fr-FR"/>
        </w:rPr>
        <w:t>L</w:t>
      </w:r>
      <w:r w:rsidR="00B251C9">
        <w:rPr>
          <w:i/>
          <w:iCs/>
          <w:lang w:val="fr-FR"/>
        </w:rPr>
        <w:t>’</w:t>
      </w:r>
      <w:r w:rsidRPr="00372CB6">
        <w:rPr>
          <w:i/>
          <w:iCs/>
          <w:lang w:val="fr-FR"/>
        </w:rPr>
        <w:t>ancien paragraphe 2.5.1.4 devient le paragraphe 2.5.1.5</w:t>
      </w:r>
      <w:r w:rsidRPr="00372CB6">
        <w:rPr>
          <w:lang w:val="fr-FR"/>
        </w:rPr>
        <w:t>.</w:t>
      </w:r>
    </w:p>
    <w:p w:rsidR="00372CB6" w:rsidRPr="00372CB6" w:rsidRDefault="00B251C9" w:rsidP="00B251C9">
      <w:pPr>
        <w:pStyle w:val="HChG"/>
      </w:pPr>
      <w:r>
        <w:rPr>
          <w:lang w:val="fr-FR"/>
        </w:rPr>
        <w:tab/>
      </w:r>
      <w:r w:rsidR="00372CB6" w:rsidRPr="00372CB6">
        <w:rPr>
          <w:lang w:val="fr-FR"/>
        </w:rPr>
        <w:t>II.</w:t>
      </w:r>
      <w:r w:rsidR="00372CB6" w:rsidRPr="00372CB6">
        <w:rPr>
          <w:lang w:val="fr-FR"/>
        </w:rPr>
        <w:tab/>
        <w:t>Justification</w:t>
      </w:r>
    </w:p>
    <w:p w:rsidR="00F9573C" w:rsidRDefault="00372CB6" w:rsidP="00B251C9">
      <w:pPr>
        <w:pStyle w:val="SingleTxtG"/>
        <w:ind w:firstLine="567"/>
        <w:rPr>
          <w:lang w:val="fr-FR"/>
        </w:rPr>
      </w:pPr>
      <w:r w:rsidRPr="00372CB6">
        <w:rPr>
          <w:lang w:val="fr-FR"/>
        </w:rPr>
        <w:t xml:space="preserve">La présente proposition vise à modifier le Règlement ONU </w:t>
      </w:r>
      <w:r w:rsidR="00CD003D" w:rsidRPr="00CD003D">
        <w:rPr>
          <w:rFonts w:eastAsia="MS Mincho"/>
          <w:szCs w:val="22"/>
          <w:lang w:val="fr-FR"/>
        </w:rPr>
        <w:t>n</w:t>
      </w:r>
      <w:r w:rsidR="00CD003D" w:rsidRPr="00CD003D">
        <w:rPr>
          <w:rFonts w:eastAsia="MS Mincho"/>
          <w:szCs w:val="22"/>
          <w:vertAlign w:val="superscript"/>
          <w:lang w:val="fr-FR"/>
        </w:rPr>
        <w:t>o</w:t>
      </w:r>
      <w:r w:rsidR="00CD003D">
        <w:rPr>
          <w:lang w:val="fr-FR"/>
        </w:rPr>
        <w:t> </w:t>
      </w:r>
      <w:r w:rsidRPr="00372CB6">
        <w:rPr>
          <w:lang w:val="fr-FR"/>
        </w:rPr>
        <w:t>115 afin d</w:t>
      </w:r>
      <w:r w:rsidR="00B251C9">
        <w:rPr>
          <w:lang w:val="fr-FR"/>
        </w:rPr>
        <w:t>’</w:t>
      </w:r>
      <w:r w:rsidRPr="00372CB6">
        <w:rPr>
          <w:lang w:val="fr-FR"/>
        </w:rPr>
        <w:t>énoncer les conditions que doivent remplir les véhicules à injection directe et à injection indirecte pour être considérés comme des véhicules appartenant à la même famille de véhicules. Les véhicules à injection directe d</w:t>
      </w:r>
      <w:r w:rsidR="00B251C9">
        <w:rPr>
          <w:lang w:val="fr-FR"/>
        </w:rPr>
        <w:t>’</w:t>
      </w:r>
      <w:r w:rsidRPr="00372CB6">
        <w:rPr>
          <w:lang w:val="fr-FR"/>
        </w:rPr>
        <w:t>essence qui fonctionnent en mode d</w:t>
      </w:r>
      <w:r w:rsidR="00B251C9">
        <w:rPr>
          <w:lang w:val="fr-FR"/>
        </w:rPr>
        <w:t>’</w:t>
      </w:r>
      <w:r w:rsidRPr="00372CB6">
        <w:rPr>
          <w:lang w:val="fr-FR"/>
        </w:rPr>
        <w:t>injection indirecte devraient être répertoriés dans la même famille que les véhicules à injection indirecte d</w:t>
      </w:r>
      <w:r w:rsidR="00B251C9">
        <w:rPr>
          <w:lang w:val="fr-FR"/>
        </w:rPr>
        <w:t>’</w:t>
      </w:r>
      <w:r w:rsidRPr="00372CB6">
        <w:rPr>
          <w:lang w:val="fr-FR"/>
        </w:rPr>
        <w:t>essence, sachant que la technologie d</w:t>
      </w:r>
      <w:r w:rsidR="00B251C9">
        <w:rPr>
          <w:lang w:val="fr-FR"/>
        </w:rPr>
        <w:t>’</w:t>
      </w:r>
      <w:r w:rsidRPr="00372CB6">
        <w:rPr>
          <w:lang w:val="fr-FR"/>
        </w:rPr>
        <w:t>injection appliquée est la même et dans la mesure où au moins un véhicule de ce type a été éprouvé en tant que véhicule de base conformément aux prescriptions du présent Règlement.</w:t>
      </w:r>
    </w:p>
    <w:p w:rsidR="00B251C9" w:rsidRPr="00B251C9" w:rsidRDefault="00B251C9" w:rsidP="00B251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51C9" w:rsidRPr="00B251C9" w:rsidSect="000836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0B" w:rsidRDefault="00CB520B" w:rsidP="00F95C08">
      <w:pPr>
        <w:spacing w:line="240" w:lineRule="auto"/>
      </w:pPr>
    </w:p>
  </w:endnote>
  <w:endnote w:type="continuationSeparator" w:id="0">
    <w:p w:rsidR="00CB520B" w:rsidRPr="00AC3823" w:rsidRDefault="00CB520B" w:rsidP="00AC3823">
      <w:pPr>
        <w:pStyle w:val="Pieddepage"/>
      </w:pPr>
    </w:p>
  </w:endnote>
  <w:endnote w:type="continuationNotice" w:id="1">
    <w:p w:rsidR="00CB520B" w:rsidRDefault="00CB52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1E" w:rsidRPr="0008361E" w:rsidRDefault="0008361E" w:rsidP="0008361E">
    <w:pPr>
      <w:pStyle w:val="Pieddepage"/>
      <w:tabs>
        <w:tab w:val="right" w:pos="9638"/>
      </w:tabs>
    </w:pPr>
    <w:r w:rsidRPr="0008361E">
      <w:rPr>
        <w:b/>
        <w:sz w:val="18"/>
      </w:rPr>
      <w:fldChar w:fldCharType="begin"/>
    </w:r>
    <w:r w:rsidRPr="0008361E">
      <w:rPr>
        <w:b/>
        <w:sz w:val="18"/>
      </w:rPr>
      <w:instrText xml:space="preserve"> PAGE  \* MERGEFORMAT </w:instrText>
    </w:r>
    <w:r w:rsidRPr="0008361E">
      <w:rPr>
        <w:b/>
        <w:sz w:val="18"/>
      </w:rPr>
      <w:fldChar w:fldCharType="separate"/>
    </w:r>
    <w:r w:rsidRPr="0008361E">
      <w:rPr>
        <w:b/>
        <w:noProof/>
        <w:sz w:val="18"/>
      </w:rPr>
      <w:t>2</w:t>
    </w:r>
    <w:r w:rsidRPr="0008361E">
      <w:rPr>
        <w:b/>
        <w:sz w:val="18"/>
      </w:rPr>
      <w:fldChar w:fldCharType="end"/>
    </w:r>
    <w:r>
      <w:rPr>
        <w:b/>
        <w:sz w:val="18"/>
      </w:rPr>
      <w:tab/>
    </w:r>
    <w:r>
      <w:t>GE.19-04003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1E" w:rsidRPr="0008361E" w:rsidRDefault="0008361E" w:rsidP="0008361E">
    <w:pPr>
      <w:pStyle w:val="Pieddepage"/>
      <w:tabs>
        <w:tab w:val="right" w:pos="9638"/>
      </w:tabs>
      <w:rPr>
        <w:b/>
        <w:sz w:val="18"/>
      </w:rPr>
    </w:pPr>
    <w:r>
      <w:t>GE.19-04003</w:t>
    </w:r>
    <w:r>
      <w:tab/>
    </w:r>
    <w:r w:rsidRPr="0008361E">
      <w:rPr>
        <w:b/>
        <w:sz w:val="18"/>
      </w:rPr>
      <w:fldChar w:fldCharType="begin"/>
    </w:r>
    <w:r w:rsidRPr="0008361E">
      <w:rPr>
        <w:b/>
        <w:sz w:val="18"/>
      </w:rPr>
      <w:instrText xml:space="preserve"> PAGE  \* MERGEFORMAT </w:instrText>
    </w:r>
    <w:r w:rsidRPr="0008361E">
      <w:rPr>
        <w:b/>
        <w:sz w:val="18"/>
      </w:rPr>
      <w:fldChar w:fldCharType="separate"/>
    </w:r>
    <w:r w:rsidRPr="0008361E">
      <w:rPr>
        <w:b/>
        <w:noProof/>
        <w:sz w:val="18"/>
      </w:rPr>
      <w:t>3</w:t>
    </w:r>
    <w:r w:rsidRPr="000836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8361E" w:rsidRDefault="0008361E" w:rsidP="0008361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19-04003  (F)</w:t>
    </w:r>
    <w:r w:rsidR="002C2210">
      <w:rPr>
        <w:sz w:val="20"/>
      </w:rPr>
      <w:t xml:space="preserve">    </w:t>
    </w:r>
    <w:r w:rsidR="009E5A1C">
      <w:rPr>
        <w:sz w:val="20"/>
      </w:rPr>
      <w:t>140319    090419</w:t>
    </w:r>
    <w:r>
      <w:rPr>
        <w:sz w:val="20"/>
      </w:rPr>
      <w:br/>
    </w:r>
    <w:r w:rsidRPr="0008361E">
      <w:rPr>
        <w:rFonts w:ascii="C39T30Lfz" w:hAnsi="C39T30Lfz"/>
        <w:sz w:val="56"/>
      </w:rPr>
      <w:t></w:t>
    </w:r>
    <w:r w:rsidRPr="0008361E">
      <w:rPr>
        <w:rFonts w:ascii="C39T30Lfz" w:hAnsi="C39T30Lfz"/>
        <w:sz w:val="56"/>
      </w:rPr>
      <w:t></w:t>
    </w:r>
    <w:r w:rsidRPr="0008361E">
      <w:rPr>
        <w:rFonts w:ascii="C39T30Lfz" w:hAnsi="C39T30Lfz"/>
        <w:sz w:val="56"/>
      </w:rPr>
      <w:t></w:t>
    </w:r>
    <w:r w:rsidRPr="0008361E">
      <w:rPr>
        <w:rFonts w:ascii="C39T30Lfz" w:hAnsi="C39T30Lfz"/>
        <w:sz w:val="56"/>
      </w:rPr>
      <w:t></w:t>
    </w:r>
    <w:r w:rsidRPr="0008361E">
      <w:rPr>
        <w:rFonts w:ascii="C39T30Lfz" w:hAnsi="C39T30Lfz"/>
        <w:sz w:val="56"/>
      </w:rPr>
      <w:t></w:t>
    </w:r>
    <w:r w:rsidRPr="0008361E">
      <w:rPr>
        <w:rFonts w:ascii="C39T30Lfz" w:hAnsi="C39T30Lfz"/>
        <w:sz w:val="56"/>
      </w:rPr>
      <w:t></w:t>
    </w:r>
    <w:r w:rsidRPr="0008361E">
      <w:rPr>
        <w:rFonts w:ascii="C39T30Lfz" w:hAnsi="C39T30Lfz"/>
        <w:sz w:val="56"/>
      </w:rPr>
      <w:t></w:t>
    </w:r>
    <w:r w:rsidRPr="0008361E">
      <w:rPr>
        <w:rFonts w:ascii="C39T30Lfz" w:hAnsi="C39T30Lfz"/>
        <w:sz w:val="56"/>
      </w:rPr>
      <w:t></w:t>
    </w:r>
    <w:r w:rsidRPr="0008361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19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0B" w:rsidRPr="00AC3823" w:rsidRDefault="00CB52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520B" w:rsidRPr="00AC3823" w:rsidRDefault="00CB52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520B" w:rsidRPr="00AC3823" w:rsidRDefault="00CB520B">
      <w:pPr>
        <w:spacing w:line="240" w:lineRule="auto"/>
        <w:rPr>
          <w:sz w:val="2"/>
          <w:szCs w:val="2"/>
        </w:rPr>
      </w:pPr>
    </w:p>
  </w:footnote>
  <w:footnote w:id="2">
    <w:p w:rsidR="00372CB6" w:rsidRPr="00A84D55" w:rsidRDefault="00372CB6" w:rsidP="00372CB6">
      <w:pPr>
        <w:pStyle w:val="Notedebasdepage"/>
      </w:pPr>
      <w:r>
        <w:rPr>
          <w:lang w:val="fr-FR"/>
        </w:rPr>
        <w:tab/>
      </w:r>
      <w:r w:rsidRPr="002C2210">
        <w:rPr>
          <w:sz w:val="20"/>
          <w:lang w:val="fr-FR"/>
        </w:rPr>
        <w:t>*</w:t>
      </w:r>
      <w:r>
        <w:rPr>
          <w:lang w:val="fr-FR"/>
        </w:rPr>
        <w:tab/>
      </w:r>
      <w:r w:rsidRPr="002C2210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</w:t>
      </w:r>
      <w:r w:rsidR="002C2210">
        <w:rPr>
          <w:lang w:val="fr-FR"/>
        </w:rPr>
        <w:t> </w:t>
      </w:r>
      <w:r>
        <w:rPr>
          <w:lang w:val="fr-FR"/>
        </w:rPr>
        <w:t>123, et ECE/TRANS/2018/21 et Add.1, module 3),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1E" w:rsidRPr="0008361E" w:rsidRDefault="0008361E">
    <w:pPr>
      <w:pStyle w:val="En-tte"/>
    </w:pPr>
    <w:fldSimple w:instr=" TITLE  \* MERGEFORMAT ">
      <w:r w:rsidR="00CD003D">
        <w:t>ECE/TRANS/WP.29/GRPE/2019/10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1E" w:rsidRPr="0008361E" w:rsidRDefault="0008361E" w:rsidP="0008361E">
    <w:pPr>
      <w:pStyle w:val="En-tte"/>
      <w:jc w:val="right"/>
    </w:pPr>
    <w:fldSimple w:instr=" TITLE  \* MERGEFORMAT ">
      <w:r w:rsidR="00CD003D">
        <w:t>ECE/TRANS/WP.29/GRPE/2019/10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520B"/>
    <w:rsid w:val="00017F94"/>
    <w:rsid w:val="00023842"/>
    <w:rsid w:val="000334F9"/>
    <w:rsid w:val="00045FEB"/>
    <w:rsid w:val="0007796D"/>
    <w:rsid w:val="0008361E"/>
    <w:rsid w:val="000B7790"/>
    <w:rsid w:val="00111F2F"/>
    <w:rsid w:val="0014365E"/>
    <w:rsid w:val="00143C66"/>
    <w:rsid w:val="00176178"/>
    <w:rsid w:val="001F525A"/>
    <w:rsid w:val="001F6857"/>
    <w:rsid w:val="00223272"/>
    <w:rsid w:val="0024779E"/>
    <w:rsid w:val="00257168"/>
    <w:rsid w:val="002744B8"/>
    <w:rsid w:val="002832AC"/>
    <w:rsid w:val="002C2210"/>
    <w:rsid w:val="002D7C93"/>
    <w:rsid w:val="00305801"/>
    <w:rsid w:val="00372CB6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40F68"/>
    <w:rsid w:val="007A62E6"/>
    <w:rsid w:val="007F20FA"/>
    <w:rsid w:val="0080684C"/>
    <w:rsid w:val="00871C75"/>
    <w:rsid w:val="008776DC"/>
    <w:rsid w:val="009446C0"/>
    <w:rsid w:val="009701D1"/>
    <w:rsid w:val="009705C8"/>
    <w:rsid w:val="009C1CF4"/>
    <w:rsid w:val="009E5A1C"/>
    <w:rsid w:val="009F6B74"/>
    <w:rsid w:val="00A3029F"/>
    <w:rsid w:val="00A30353"/>
    <w:rsid w:val="00AC3823"/>
    <w:rsid w:val="00AE323C"/>
    <w:rsid w:val="00AF0CB5"/>
    <w:rsid w:val="00B00181"/>
    <w:rsid w:val="00B00B0D"/>
    <w:rsid w:val="00B251C9"/>
    <w:rsid w:val="00B45F2E"/>
    <w:rsid w:val="00B765F7"/>
    <w:rsid w:val="00BA0CA9"/>
    <w:rsid w:val="00C02897"/>
    <w:rsid w:val="00C97039"/>
    <w:rsid w:val="00CA7B4D"/>
    <w:rsid w:val="00CB520B"/>
    <w:rsid w:val="00CD003D"/>
    <w:rsid w:val="00D3439C"/>
    <w:rsid w:val="00D904C5"/>
    <w:rsid w:val="00DB1831"/>
    <w:rsid w:val="00DD3BFD"/>
    <w:rsid w:val="00DE7560"/>
    <w:rsid w:val="00DF6678"/>
    <w:rsid w:val="00E0299A"/>
    <w:rsid w:val="00E50B99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EC41BF"/>
  <w15:docId w15:val="{CC42CD75-B5BC-448E-8D85-5111E44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329</Words>
  <Characters>2309</Characters>
  <Application>Microsoft Office Word</Application>
  <DocSecurity>0</DocSecurity>
  <Lines>192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ECE/TRANS/WP.29/GRPE/2019/10</vt:lpstr>
    </vt:vector>
  </TitlesOfParts>
  <Company>DCM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ECE/TRANS/WP.29/GRPE/2019/10</dc:title>
  <dc:subject/>
  <dc:creator>Corinne ROBERT</dc:creator>
  <cp:keywords/>
  <cp:lastModifiedBy>Corinne Robert</cp:lastModifiedBy>
  <cp:revision>2</cp:revision>
  <cp:lastPrinted>2019-04-09T05:59:00Z</cp:lastPrinted>
  <dcterms:created xsi:type="dcterms:W3CDTF">2019-04-09T06:02:00Z</dcterms:created>
  <dcterms:modified xsi:type="dcterms:W3CDTF">2019-04-09T06:02:00Z</dcterms:modified>
</cp:coreProperties>
</file>