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D7D5B" w:rsidTr="00C97039">
        <w:trPr>
          <w:trHeight w:hRule="exact" w:val="851"/>
        </w:trPr>
        <w:tc>
          <w:tcPr>
            <w:tcW w:w="1276" w:type="dxa"/>
            <w:tcBorders>
              <w:bottom w:val="single" w:sz="4" w:space="0" w:color="auto"/>
            </w:tcBorders>
          </w:tcPr>
          <w:p w:rsidR="00F35BAF" w:rsidRPr="00DD7D5B" w:rsidRDefault="00F35BAF" w:rsidP="008D7846"/>
        </w:tc>
        <w:tc>
          <w:tcPr>
            <w:tcW w:w="2268" w:type="dxa"/>
            <w:tcBorders>
              <w:bottom w:val="single" w:sz="4" w:space="0" w:color="auto"/>
            </w:tcBorders>
            <w:vAlign w:val="bottom"/>
          </w:tcPr>
          <w:p w:rsidR="00F35BAF" w:rsidRPr="00DD7D5B" w:rsidRDefault="00F35BAF" w:rsidP="00C97039">
            <w:pPr>
              <w:spacing w:after="80" w:line="300" w:lineRule="exact"/>
              <w:rPr>
                <w:sz w:val="28"/>
              </w:rPr>
            </w:pPr>
            <w:r w:rsidRPr="00DD7D5B">
              <w:rPr>
                <w:sz w:val="28"/>
              </w:rPr>
              <w:t>Nations Unies</w:t>
            </w:r>
          </w:p>
        </w:tc>
        <w:tc>
          <w:tcPr>
            <w:tcW w:w="6095" w:type="dxa"/>
            <w:gridSpan w:val="2"/>
            <w:tcBorders>
              <w:bottom w:val="single" w:sz="4" w:space="0" w:color="auto"/>
            </w:tcBorders>
            <w:vAlign w:val="bottom"/>
          </w:tcPr>
          <w:p w:rsidR="00F35BAF" w:rsidRPr="00DD7D5B" w:rsidRDefault="008D7846" w:rsidP="008D7846">
            <w:pPr>
              <w:jc w:val="right"/>
            </w:pPr>
            <w:r w:rsidRPr="00DD7D5B">
              <w:rPr>
                <w:sz w:val="40"/>
              </w:rPr>
              <w:t>ECE</w:t>
            </w:r>
            <w:r w:rsidRPr="00DD7D5B">
              <w:t>/TRANS/WP.29/GRE/2019/16</w:t>
            </w:r>
          </w:p>
        </w:tc>
      </w:tr>
      <w:tr w:rsidR="00F35BAF" w:rsidRPr="00DD7D5B" w:rsidTr="00C97039">
        <w:trPr>
          <w:trHeight w:hRule="exact" w:val="2835"/>
        </w:trPr>
        <w:tc>
          <w:tcPr>
            <w:tcW w:w="1276" w:type="dxa"/>
            <w:tcBorders>
              <w:top w:val="single" w:sz="4" w:space="0" w:color="auto"/>
              <w:bottom w:val="single" w:sz="12" w:space="0" w:color="auto"/>
            </w:tcBorders>
          </w:tcPr>
          <w:p w:rsidR="00F35BAF" w:rsidRPr="00DD7D5B" w:rsidRDefault="00F35BAF" w:rsidP="00C97039">
            <w:pPr>
              <w:spacing w:before="120"/>
              <w:jc w:val="center"/>
            </w:pPr>
            <w:r w:rsidRPr="00DD7D5B">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D7D5B" w:rsidRDefault="00F35BAF" w:rsidP="00C97039">
            <w:pPr>
              <w:spacing w:before="120" w:line="420" w:lineRule="exact"/>
              <w:rPr>
                <w:b/>
                <w:sz w:val="40"/>
                <w:szCs w:val="40"/>
              </w:rPr>
            </w:pPr>
            <w:r w:rsidRPr="00DD7D5B">
              <w:rPr>
                <w:b/>
                <w:sz w:val="40"/>
                <w:szCs w:val="40"/>
              </w:rPr>
              <w:t>Conseil économique et social</w:t>
            </w:r>
          </w:p>
        </w:tc>
        <w:tc>
          <w:tcPr>
            <w:tcW w:w="2835" w:type="dxa"/>
            <w:tcBorders>
              <w:top w:val="single" w:sz="4" w:space="0" w:color="auto"/>
              <w:bottom w:val="single" w:sz="12" w:space="0" w:color="auto"/>
            </w:tcBorders>
          </w:tcPr>
          <w:p w:rsidR="00F35BAF" w:rsidRPr="00DD7D5B" w:rsidRDefault="008D7846" w:rsidP="00C97039">
            <w:pPr>
              <w:spacing w:before="240"/>
            </w:pPr>
            <w:r w:rsidRPr="00DD7D5B">
              <w:t>Distr. générale</w:t>
            </w:r>
          </w:p>
          <w:p w:rsidR="008D7846" w:rsidRPr="00DD7D5B" w:rsidRDefault="008D7846" w:rsidP="008D7846">
            <w:pPr>
              <w:spacing w:line="240" w:lineRule="exact"/>
            </w:pPr>
            <w:r w:rsidRPr="00DD7D5B">
              <w:t>6 juin 2019</w:t>
            </w:r>
          </w:p>
          <w:p w:rsidR="008D7846" w:rsidRPr="00DD7D5B" w:rsidRDefault="008D7846" w:rsidP="008D7846">
            <w:pPr>
              <w:spacing w:line="240" w:lineRule="exact"/>
            </w:pPr>
            <w:r w:rsidRPr="00DD7D5B">
              <w:t>Français</w:t>
            </w:r>
          </w:p>
          <w:p w:rsidR="008D7846" w:rsidRPr="00DD7D5B" w:rsidRDefault="008D7846" w:rsidP="008D7846">
            <w:pPr>
              <w:spacing w:line="240" w:lineRule="exact"/>
            </w:pPr>
            <w:r w:rsidRPr="00DD7D5B">
              <w:t>Original</w:t>
            </w:r>
            <w:r w:rsidR="00DD7D5B" w:rsidRPr="00DD7D5B">
              <w:t> </w:t>
            </w:r>
            <w:r w:rsidRPr="00DD7D5B">
              <w:t>: anglais</w:t>
            </w:r>
          </w:p>
        </w:tc>
      </w:tr>
    </w:tbl>
    <w:p w:rsidR="007F20FA" w:rsidRPr="00DD7D5B" w:rsidRDefault="007F20FA" w:rsidP="007F20FA">
      <w:pPr>
        <w:spacing w:before="120"/>
        <w:rPr>
          <w:b/>
          <w:sz w:val="28"/>
          <w:szCs w:val="28"/>
        </w:rPr>
      </w:pPr>
      <w:r w:rsidRPr="00DD7D5B">
        <w:rPr>
          <w:b/>
          <w:sz w:val="28"/>
          <w:szCs w:val="28"/>
        </w:rPr>
        <w:t>Commission économique pour l’Europe</w:t>
      </w:r>
    </w:p>
    <w:p w:rsidR="007F20FA" w:rsidRPr="00DD7D5B" w:rsidRDefault="007F20FA" w:rsidP="007F20FA">
      <w:pPr>
        <w:spacing w:before="120"/>
        <w:rPr>
          <w:sz w:val="28"/>
          <w:szCs w:val="28"/>
        </w:rPr>
      </w:pPr>
      <w:r w:rsidRPr="00DD7D5B">
        <w:rPr>
          <w:sz w:val="28"/>
          <w:szCs w:val="28"/>
        </w:rPr>
        <w:t>Comité des transports intérieurs</w:t>
      </w:r>
    </w:p>
    <w:p w:rsidR="006C50FF" w:rsidRPr="00DD7D5B" w:rsidRDefault="006C50FF" w:rsidP="006C50FF">
      <w:pPr>
        <w:kinsoku/>
        <w:overflowPunct/>
        <w:autoSpaceDE/>
        <w:autoSpaceDN/>
        <w:adjustRightInd/>
        <w:snapToGrid/>
        <w:spacing w:before="120"/>
        <w:rPr>
          <w:rFonts w:eastAsia="Times New Roman"/>
          <w:b/>
          <w:sz w:val="24"/>
          <w:szCs w:val="24"/>
        </w:rPr>
      </w:pPr>
      <w:r w:rsidRPr="00DD7D5B">
        <w:rPr>
          <w:rFonts w:eastAsia="Times New Roman"/>
          <w:b/>
          <w:sz w:val="24"/>
          <w:szCs w:val="24"/>
        </w:rPr>
        <w:t xml:space="preserve">Forum mondial de l’harmonisation </w:t>
      </w:r>
      <w:r w:rsidR="00DD7D5B" w:rsidRPr="00DD7D5B">
        <w:rPr>
          <w:rFonts w:eastAsia="Times New Roman"/>
          <w:b/>
          <w:sz w:val="24"/>
          <w:szCs w:val="24"/>
        </w:rPr>
        <w:br/>
      </w:r>
      <w:r w:rsidRPr="00DD7D5B">
        <w:rPr>
          <w:rFonts w:eastAsia="Times New Roman"/>
          <w:b/>
          <w:sz w:val="24"/>
          <w:szCs w:val="24"/>
        </w:rPr>
        <w:t>des Règlements concernant les véhicules</w:t>
      </w:r>
    </w:p>
    <w:p w:rsidR="006C50FF" w:rsidRPr="00DD7D5B" w:rsidRDefault="006C50FF" w:rsidP="006C50FF">
      <w:pPr>
        <w:kinsoku/>
        <w:overflowPunct/>
        <w:autoSpaceDE/>
        <w:autoSpaceDN/>
        <w:adjustRightInd/>
        <w:snapToGrid/>
        <w:spacing w:before="120" w:after="120"/>
        <w:rPr>
          <w:rFonts w:eastAsia="Times New Roman"/>
          <w:b/>
          <w:bCs/>
        </w:rPr>
      </w:pPr>
      <w:r w:rsidRPr="00DD7D5B">
        <w:rPr>
          <w:rFonts w:eastAsia="Times New Roman"/>
          <w:b/>
          <w:bCs/>
        </w:rPr>
        <w:t>Groupe de travail de l’éclairage et de la signalisation lumineuse</w:t>
      </w:r>
    </w:p>
    <w:p w:rsidR="006C50FF" w:rsidRPr="00DD7D5B" w:rsidRDefault="006C50FF" w:rsidP="006C50FF">
      <w:pPr>
        <w:kinsoku/>
        <w:overflowPunct/>
        <w:autoSpaceDE/>
        <w:autoSpaceDN/>
        <w:adjustRightInd/>
        <w:snapToGrid/>
        <w:ind w:right="1134"/>
        <w:rPr>
          <w:rFonts w:eastAsia="Times New Roman"/>
          <w:b/>
        </w:rPr>
      </w:pPr>
      <w:r w:rsidRPr="00DD7D5B">
        <w:rPr>
          <w:rFonts w:eastAsia="Times New Roman"/>
          <w:b/>
        </w:rPr>
        <w:t>Quatre-vingt-deuxième session</w:t>
      </w:r>
    </w:p>
    <w:p w:rsidR="006C50FF" w:rsidRPr="00DD7D5B" w:rsidRDefault="006C50FF" w:rsidP="006C50FF">
      <w:pPr>
        <w:kinsoku/>
        <w:overflowPunct/>
        <w:autoSpaceDE/>
        <w:autoSpaceDN/>
        <w:adjustRightInd/>
        <w:snapToGrid/>
        <w:ind w:right="1134"/>
        <w:rPr>
          <w:rFonts w:eastAsia="Times New Roman"/>
        </w:rPr>
      </w:pPr>
      <w:r w:rsidRPr="00DD7D5B">
        <w:rPr>
          <w:rFonts w:eastAsia="Times New Roman"/>
        </w:rPr>
        <w:t>Genève, 22-25 octobre 2019</w:t>
      </w:r>
    </w:p>
    <w:p w:rsidR="006C50FF" w:rsidRPr="00DD7D5B" w:rsidRDefault="006C50FF" w:rsidP="006C50FF">
      <w:pPr>
        <w:kinsoku/>
        <w:overflowPunct/>
        <w:autoSpaceDE/>
        <w:autoSpaceDN/>
        <w:adjustRightInd/>
        <w:snapToGrid/>
        <w:ind w:right="1134"/>
        <w:rPr>
          <w:rFonts w:eastAsia="Times New Roman"/>
          <w:bCs/>
        </w:rPr>
      </w:pPr>
      <w:r w:rsidRPr="00DD7D5B">
        <w:rPr>
          <w:rFonts w:eastAsia="Times New Roman"/>
          <w:bCs/>
        </w:rPr>
        <w:t>Point 5 de l’ordre du jour provisoire</w:t>
      </w:r>
    </w:p>
    <w:p w:rsidR="006C50FF" w:rsidRPr="00DD7D5B" w:rsidRDefault="006C50FF" w:rsidP="00DD7D5B">
      <w:pPr>
        <w:kinsoku/>
        <w:overflowPunct/>
        <w:autoSpaceDE/>
        <w:autoSpaceDN/>
        <w:adjustRightInd/>
        <w:snapToGrid/>
        <w:ind w:right="1467"/>
        <w:rPr>
          <w:rFonts w:eastAsia="Times New Roman"/>
          <w:bCs/>
        </w:rPr>
      </w:pPr>
      <w:r w:rsidRPr="00DD7D5B">
        <w:rPr>
          <w:rFonts w:eastAsia="Times New Roman"/>
          <w:b/>
          <w:bCs/>
        </w:rPr>
        <w:t>Règlements n</w:t>
      </w:r>
      <w:r w:rsidRPr="00DD7D5B">
        <w:rPr>
          <w:rFonts w:eastAsia="Times New Roman"/>
          <w:b/>
          <w:bCs/>
          <w:vertAlign w:val="superscript"/>
        </w:rPr>
        <w:t>os</w:t>
      </w:r>
      <w:r w:rsidRPr="00DD7D5B">
        <w:rPr>
          <w:rFonts w:eastAsia="Times New Roman"/>
          <w:b/>
          <w:bCs/>
        </w:rPr>
        <w:t xml:space="preserve"> 37 (Lampes à incandescence), 99 (Sources lumineuses </w:t>
      </w:r>
      <w:r w:rsidR="00DD7D5B" w:rsidRPr="00DD7D5B">
        <w:rPr>
          <w:rFonts w:eastAsia="Times New Roman"/>
          <w:b/>
          <w:bCs/>
        </w:rPr>
        <w:br/>
      </w:r>
      <w:r w:rsidRPr="00DD7D5B">
        <w:rPr>
          <w:rFonts w:eastAsia="Times New Roman"/>
          <w:b/>
          <w:bCs/>
        </w:rPr>
        <w:t xml:space="preserve">à décharge), 128 (Sources lumineuses à diodes électroluminescentes) </w:t>
      </w:r>
      <w:r w:rsidR="00DD7D5B" w:rsidRPr="00DD7D5B">
        <w:rPr>
          <w:rFonts w:eastAsia="Times New Roman"/>
          <w:b/>
          <w:bCs/>
        </w:rPr>
        <w:br/>
      </w:r>
      <w:r w:rsidRPr="00DD7D5B">
        <w:rPr>
          <w:rFonts w:eastAsia="Times New Roman"/>
          <w:b/>
          <w:bCs/>
        </w:rPr>
        <w:t xml:space="preserve">et Résolution d’ensemble sur une spécification commune </w:t>
      </w:r>
      <w:r w:rsidR="00DD7D5B" w:rsidRPr="00DD7D5B">
        <w:rPr>
          <w:rFonts w:eastAsia="Times New Roman"/>
          <w:b/>
          <w:bCs/>
        </w:rPr>
        <w:br/>
      </w:r>
      <w:r w:rsidRPr="00DD7D5B">
        <w:rPr>
          <w:rFonts w:eastAsia="Times New Roman"/>
          <w:b/>
          <w:bCs/>
        </w:rPr>
        <w:t>des catégories de sources lumineuses</w:t>
      </w:r>
    </w:p>
    <w:p w:rsidR="006C50FF" w:rsidRPr="00DD7D5B" w:rsidRDefault="006C50FF" w:rsidP="00DD7D5B">
      <w:pPr>
        <w:pStyle w:val="HChG"/>
      </w:pPr>
      <w:r w:rsidRPr="00DD7D5B">
        <w:tab/>
      </w:r>
      <w:r w:rsidRPr="00DD7D5B">
        <w:tab/>
        <w:t xml:space="preserve">Proposition d’amendement [1] à la version [2] </w:t>
      </w:r>
      <w:r w:rsidR="00DD7D5B" w:rsidRPr="00DD7D5B">
        <w:br/>
      </w:r>
      <w:r w:rsidRPr="00DD7D5B">
        <w:t xml:space="preserve">de la Résolution d’ensemble sur une spécification </w:t>
      </w:r>
      <w:r w:rsidR="00DD7D5B" w:rsidRPr="00DD7D5B">
        <w:br/>
      </w:r>
      <w:r w:rsidRPr="00DD7D5B">
        <w:t>commune des catégories de sources lumineuses (R.E.5)</w:t>
      </w:r>
    </w:p>
    <w:p w:rsidR="006C50FF" w:rsidRPr="00DD7D5B" w:rsidRDefault="00DD7D5B" w:rsidP="00DD7D5B">
      <w:pPr>
        <w:pStyle w:val="H1G"/>
      </w:pPr>
      <w:r w:rsidRPr="00DD7D5B">
        <w:tab/>
      </w:r>
      <w:r w:rsidRPr="00DD7D5B">
        <w:tab/>
      </w:r>
      <w:r w:rsidR="006C50FF" w:rsidRPr="00DD7D5B">
        <w:t>Communication de l’expert du Groupe de travail « Bruxelles 1952 » (GTB)</w:t>
      </w:r>
      <w:r w:rsidR="006C50FF" w:rsidRPr="00DD7D5B">
        <w:rPr>
          <w:b w:val="0"/>
          <w:sz w:val="20"/>
        </w:rPr>
        <w:footnoteReference w:customMarkFollows="1" w:id="2"/>
        <w:t>*</w:t>
      </w:r>
    </w:p>
    <w:p w:rsidR="00F9573C" w:rsidRPr="00DD7D5B" w:rsidRDefault="006C50FF" w:rsidP="006C50FF">
      <w:pPr>
        <w:pStyle w:val="SingleTxtG"/>
        <w:ind w:firstLine="567"/>
      </w:pPr>
      <w:r w:rsidRPr="00DD7D5B">
        <w:t xml:space="preserve">Le texte ci-après, établi par l’expert du </w:t>
      </w:r>
      <w:r w:rsidRPr="00DD7D5B">
        <w:rPr>
          <w:szCs w:val="24"/>
        </w:rPr>
        <w:t xml:space="preserve">Groupe de travail « Bruxelles 1952 » </w:t>
      </w:r>
      <w:r w:rsidRPr="00DD7D5B">
        <w:t>(GTB), vise à modifier les prescriptions applicables aux catégories de sources lumineuses L1A/6 et L1B/6 dans la Résolution d’ensemble sur une spécification commune des catégories de sources lumineuses (R.E.5). Il est fondé sur la version initiale de la R.E.5 (ECE/TRANS/</w:t>
      </w:r>
      <w:r w:rsidR="00B477A1">
        <w:t xml:space="preserve"> </w:t>
      </w:r>
      <w:r w:rsidRPr="00DD7D5B">
        <w:t>WP.29/1127), telle que modifiée par le document ECE/TRANS/WP.29/</w:t>
      </w:r>
      <w:r w:rsidR="00B477A1">
        <w:t xml:space="preserve"> </w:t>
      </w:r>
      <w:r w:rsidRPr="00DD7D5B">
        <w:t>2018/33/Rev.1. On notera qu’un amendement connexe vise le Règlement n</w:t>
      </w:r>
      <w:r w:rsidRPr="00DD7D5B">
        <w:rPr>
          <w:vertAlign w:val="superscript"/>
        </w:rPr>
        <w:t>o</w:t>
      </w:r>
      <w:r w:rsidRPr="00DD7D5B">
        <w:t> 128 (ECE/TRANS/WP.29/GRE/</w:t>
      </w:r>
      <w:r w:rsidR="00B477A1">
        <w:t xml:space="preserve"> </w:t>
      </w:r>
      <w:r w:rsidRPr="00DD7D5B">
        <w:t>2019/15). Les modifications qu’il est proposé d’apporter au texte actuel de la Résolution figurent en caractères gras pour les ajouts et biffés pour les</w:t>
      </w:r>
      <w:r w:rsidR="00B477A1">
        <w:t xml:space="preserve"> </w:t>
      </w:r>
      <w:r w:rsidRPr="00DD7D5B">
        <w:t>suppressions.</w:t>
      </w:r>
    </w:p>
    <w:p w:rsidR="006C50FF" w:rsidRPr="00DD7D5B" w:rsidRDefault="006C50FF" w:rsidP="006C50FF">
      <w:pPr>
        <w:pStyle w:val="HChG"/>
      </w:pPr>
      <w:r w:rsidRPr="00DD7D5B">
        <w:br w:type="page"/>
      </w:r>
      <w:r w:rsidRPr="00DD7D5B">
        <w:lastRenderedPageBreak/>
        <w:tab/>
        <w:t>I.</w:t>
      </w:r>
      <w:r w:rsidRPr="00DD7D5B">
        <w:tab/>
        <w:t>Proposition</w:t>
      </w:r>
    </w:p>
    <w:p w:rsidR="006C50FF" w:rsidRPr="00DD7D5B" w:rsidRDefault="006C50FF" w:rsidP="006C50FF">
      <w:pPr>
        <w:pStyle w:val="SingleTxtG"/>
      </w:pPr>
      <w:r w:rsidRPr="00DD7D5B">
        <w:rPr>
          <w:i/>
        </w:rPr>
        <w:t>Tableau de situation</w:t>
      </w:r>
      <w:r w:rsidRPr="00DD7D5B">
        <w:t>, lire :</w:t>
      </w:r>
    </w:p>
    <w:p w:rsidR="006C50FF" w:rsidRPr="00DD7D5B" w:rsidRDefault="006C50FF" w:rsidP="006C50FF">
      <w:pPr>
        <w:pStyle w:val="SingleTxtG"/>
        <w:rPr>
          <w:b/>
        </w:rPr>
      </w:pPr>
      <w:r w:rsidRPr="00DD7D5B">
        <w:rPr>
          <w:rFonts w:eastAsia="MS Mincho"/>
        </w:rPr>
        <w:t>« </w:t>
      </w:r>
      <w:r w:rsidRPr="00DD7D5B">
        <w:rPr>
          <w:b/>
        </w:rPr>
        <w:t>Tableau de situation</w:t>
      </w:r>
    </w:p>
    <w:p w:rsidR="006C50FF" w:rsidRPr="00DD7D5B" w:rsidRDefault="006C50FF" w:rsidP="006C50FF">
      <w:pPr>
        <w:pStyle w:val="SingleTxtG"/>
        <w:ind w:firstLine="567"/>
      </w:pPr>
      <w:r w:rsidRPr="00DD7D5B">
        <w:t>Le texte de la présente résolution contient l’ensemble des dispositions et amendements adoptés à ce jour par le Forum mondial de l’harmonisation des Règlements concernant les véhicules (WP.29). Il entre en vigueur à compter de la date indiquée dans le tableau ci-dessous et demeure valable jusqu’à l’entrée en vigueur d’une révision de la présente résolution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4"/>
        <w:gridCol w:w="1286"/>
        <w:gridCol w:w="929"/>
        <w:gridCol w:w="2524"/>
        <w:gridCol w:w="3804"/>
      </w:tblGrid>
      <w:tr w:rsidR="006C50FF" w:rsidRPr="00DD7D5B" w:rsidTr="00DD7D5B">
        <w:tc>
          <w:tcPr>
            <w:tcW w:w="1074" w:type="dxa"/>
            <w:vMerge w:val="restar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tcPr>
          <w:p w:rsidR="006C50FF" w:rsidRPr="00DD7D5B" w:rsidRDefault="006C50FF" w:rsidP="00DD7D5B">
            <w:pPr>
              <w:kinsoku/>
              <w:overflowPunct/>
              <w:autoSpaceDE/>
              <w:autoSpaceDN/>
              <w:adjustRightInd/>
              <w:snapToGrid/>
              <w:spacing w:before="80" w:after="80" w:line="200" w:lineRule="exact"/>
              <w:ind w:left="57" w:right="57"/>
              <w:rPr>
                <w:rFonts w:eastAsia="Times New Roman"/>
                <w:i/>
                <w:sz w:val="16"/>
                <w:szCs w:val="16"/>
              </w:rPr>
            </w:pPr>
            <w:r w:rsidRPr="00DD7D5B">
              <w:rPr>
                <w:rFonts w:eastAsia="Times New Roman"/>
                <w:i/>
                <w:sz w:val="16"/>
                <w:szCs w:val="16"/>
              </w:rPr>
              <w:t xml:space="preserve">Version </w:t>
            </w:r>
            <w:r w:rsidRPr="00DD7D5B">
              <w:rPr>
                <w:rFonts w:eastAsia="Times New Roman"/>
                <w:i/>
                <w:sz w:val="16"/>
                <w:szCs w:val="16"/>
              </w:rPr>
              <w:br/>
              <w:t>de la résolution</w:t>
            </w:r>
          </w:p>
        </w:tc>
        <w:tc>
          <w:tcPr>
            <w:tcW w:w="1264" w:type="dxa"/>
            <w:vMerge w:val="restar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tcPr>
          <w:p w:rsidR="006C50FF" w:rsidRPr="00DD7D5B" w:rsidRDefault="006C50FF" w:rsidP="00DD7D5B">
            <w:pPr>
              <w:kinsoku/>
              <w:overflowPunct/>
              <w:autoSpaceDE/>
              <w:autoSpaceDN/>
              <w:adjustRightInd/>
              <w:snapToGrid/>
              <w:spacing w:before="80" w:after="80" w:line="200" w:lineRule="exact"/>
              <w:ind w:left="57" w:right="57"/>
              <w:rPr>
                <w:rFonts w:eastAsia="Times New Roman"/>
                <w:i/>
                <w:sz w:val="16"/>
                <w:szCs w:val="16"/>
              </w:rPr>
            </w:pPr>
            <w:r w:rsidRPr="00DD7D5B">
              <w:rPr>
                <w:rFonts w:eastAsia="Times New Roman"/>
                <w:i/>
                <w:sz w:val="16"/>
                <w:szCs w:val="16"/>
              </w:rPr>
              <w:t>Date d’entrée en</w:t>
            </w:r>
            <w:r w:rsidR="00B477A1">
              <w:rPr>
                <w:rFonts w:eastAsia="Times New Roman"/>
                <w:i/>
                <w:sz w:val="16"/>
                <w:szCs w:val="16"/>
              </w:rPr>
              <w:t> </w:t>
            </w:r>
            <w:r w:rsidRPr="00DD7D5B">
              <w:rPr>
                <w:rFonts w:eastAsia="Times New Roman"/>
                <w:i/>
                <w:sz w:val="16"/>
                <w:szCs w:val="16"/>
              </w:rPr>
              <w:t xml:space="preserve">vigueur </w:t>
            </w:r>
            <w:r w:rsidRPr="00DD7D5B">
              <w:rPr>
                <w:rFonts w:eastAsia="Times New Roman"/>
                <w:i/>
                <w:sz w:val="16"/>
                <w:szCs w:val="16"/>
              </w:rPr>
              <w:br/>
              <w:t>de la version*</w:t>
            </w:r>
          </w:p>
        </w:tc>
        <w:tc>
          <w:tcPr>
            <w:tcW w:w="33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C50FF" w:rsidRPr="00DD7D5B" w:rsidRDefault="006C50FF" w:rsidP="00DD7D5B">
            <w:pPr>
              <w:kinsoku/>
              <w:overflowPunct/>
              <w:autoSpaceDE/>
              <w:autoSpaceDN/>
              <w:adjustRightInd/>
              <w:snapToGrid/>
              <w:spacing w:before="80" w:after="80" w:line="200" w:lineRule="exact"/>
              <w:ind w:left="57" w:right="57"/>
              <w:jc w:val="center"/>
              <w:rPr>
                <w:rFonts w:eastAsia="Times New Roman"/>
                <w:i/>
                <w:sz w:val="16"/>
                <w:szCs w:val="16"/>
              </w:rPr>
            </w:pPr>
            <w:r w:rsidRPr="00DD7D5B">
              <w:rPr>
                <w:rFonts w:eastAsia="Times New Roman"/>
                <w:i/>
                <w:sz w:val="16"/>
                <w:szCs w:val="16"/>
              </w:rPr>
              <w:t>Adoptée par le WP.29</w:t>
            </w:r>
          </w:p>
        </w:tc>
        <w:tc>
          <w:tcPr>
            <w:tcW w:w="3738" w:type="dxa"/>
            <w:vMerge w:val="restar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6C50FF" w:rsidRPr="00DD7D5B" w:rsidRDefault="006C50FF" w:rsidP="00DD7D5B">
            <w:pPr>
              <w:kinsoku/>
              <w:overflowPunct/>
              <w:autoSpaceDE/>
              <w:autoSpaceDN/>
              <w:adjustRightInd/>
              <w:snapToGrid/>
              <w:spacing w:before="80" w:after="80" w:line="200" w:lineRule="exact"/>
              <w:ind w:left="57" w:right="57"/>
              <w:jc w:val="center"/>
              <w:rPr>
                <w:rFonts w:eastAsia="Times New Roman"/>
                <w:i/>
                <w:sz w:val="16"/>
                <w:szCs w:val="16"/>
              </w:rPr>
            </w:pPr>
            <w:r w:rsidRPr="00DD7D5B">
              <w:rPr>
                <w:rFonts w:eastAsia="Times New Roman"/>
                <w:i/>
                <w:sz w:val="16"/>
                <w:szCs w:val="16"/>
              </w:rPr>
              <w:t>Observations</w:t>
            </w:r>
          </w:p>
        </w:tc>
      </w:tr>
      <w:tr w:rsidR="006C50FF" w:rsidRPr="00DD7D5B" w:rsidTr="00DD7D5B">
        <w:tc>
          <w:tcPr>
            <w:tcW w:w="1074" w:type="dxa"/>
            <w:vMerge/>
            <w:tcBorders>
              <w:top w:val="single" w:sz="4" w:space="0" w:color="auto"/>
              <w:left w:val="single" w:sz="4" w:space="0" w:color="auto"/>
              <w:bottom w:val="single" w:sz="12" w:space="0" w:color="auto"/>
              <w:right w:val="single" w:sz="4" w:space="0" w:color="auto"/>
            </w:tcBorders>
            <w:vAlign w:val="center"/>
            <w:hideMark/>
          </w:tcPr>
          <w:p w:rsidR="006C50FF" w:rsidRPr="00DD7D5B" w:rsidRDefault="006C50FF" w:rsidP="00DD7D5B">
            <w:pPr>
              <w:kinsoku/>
              <w:overflowPunct/>
              <w:autoSpaceDE/>
              <w:autoSpaceDN/>
              <w:adjustRightInd/>
              <w:snapToGrid/>
              <w:ind w:left="57" w:right="57"/>
              <w:rPr>
                <w:rFonts w:eastAsia="Times New Roman"/>
                <w:i/>
                <w:sz w:val="16"/>
                <w:szCs w:val="16"/>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C50FF" w:rsidRPr="00DD7D5B" w:rsidRDefault="006C50FF" w:rsidP="00DD7D5B">
            <w:pPr>
              <w:kinsoku/>
              <w:overflowPunct/>
              <w:autoSpaceDE/>
              <w:autoSpaceDN/>
              <w:adjustRightInd/>
              <w:snapToGrid/>
              <w:ind w:left="57" w:right="57"/>
              <w:rPr>
                <w:rFonts w:eastAsia="Times New Roman"/>
                <w:i/>
                <w:sz w:val="16"/>
                <w:szCs w:val="16"/>
              </w:rPr>
            </w:pPr>
          </w:p>
        </w:tc>
        <w:tc>
          <w:tcPr>
            <w:tcW w:w="913"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hideMark/>
          </w:tcPr>
          <w:p w:rsidR="006C50FF" w:rsidRPr="00DD7D5B" w:rsidRDefault="006C50FF" w:rsidP="00DD7D5B">
            <w:pPr>
              <w:kinsoku/>
              <w:overflowPunct/>
              <w:autoSpaceDE/>
              <w:autoSpaceDN/>
              <w:adjustRightInd/>
              <w:snapToGrid/>
              <w:spacing w:before="80" w:after="80" w:line="200" w:lineRule="exact"/>
              <w:ind w:left="57" w:right="57"/>
              <w:rPr>
                <w:rFonts w:eastAsia="Times New Roman"/>
                <w:i/>
                <w:sz w:val="16"/>
                <w:szCs w:val="16"/>
              </w:rPr>
            </w:pPr>
            <w:r w:rsidRPr="00DD7D5B">
              <w:rPr>
                <w:rFonts w:eastAsia="Times New Roman"/>
                <w:i/>
                <w:sz w:val="16"/>
                <w:szCs w:val="16"/>
              </w:rPr>
              <w:t>Session n</w:t>
            </w:r>
            <w:r w:rsidRPr="00DD7D5B">
              <w:rPr>
                <w:rFonts w:eastAsia="Times New Roman"/>
                <w:i/>
                <w:sz w:val="16"/>
                <w:szCs w:val="16"/>
                <w:vertAlign w:val="superscript"/>
              </w:rPr>
              <w:t>o</w:t>
            </w:r>
          </w:p>
        </w:tc>
        <w:tc>
          <w:tcPr>
            <w:tcW w:w="2480" w:type="dxa"/>
            <w:tcBorders>
              <w:top w:val="single" w:sz="4" w:space="0" w:color="auto"/>
              <w:left w:val="single" w:sz="4" w:space="0" w:color="auto"/>
              <w:bottom w:val="single" w:sz="12" w:space="0" w:color="auto"/>
              <w:right w:val="single" w:sz="4" w:space="0" w:color="auto"/>
            </w:tcBorders>
            <w:hideMark/>
          </w:tcPr>
          <w:p w:rsidR="006C50FF" w:rsidRPr="00DD7D5B" w:rsidRDefault="006C50FF" w:rsidP="00DD7D5B">
            <w:pPr>
              <w:kinsoku/>
              <w:overflowPunct/>
              <w:autoSpaceDE/>
              <w:autoSpaceDN/>
              <w:adjustRightInd/>
              <w:snapToGrid/>
              <w:spacing w:before="80" w:after="80" w:line="200" w:lineRule="exact"/>
              <w:ind w:left="57" w:right="57"/>
              <w:rPr>
                <w:rFonts w:eastAsia="Times New Roman"/>
                <w:i/>
                <w:sz w:val="16"/>
                <w:szCs w:val="16"/>
              </w:rPr>
            </w:pPr>
            <w:r w:rsidRPr="00DD7D5B">
              <w:rPr>
                <w:rFonts w:eastAsia="Times New Roman"/>
                <w:i/>
                <w:sz w:val="16"/>
                <w:szCs w:val="16"/>
              </w:rPr>
              <w:t xml:space="preserve">Cote du document </w:t>
            </w:r>
            <w:r w:rsidRPr="00DD7D5B">
              <w:rPr>
                <w:rFonts w:eastAsia="Times New Roman"/>
                <w:i/>
                <w:sz w:val="16"/>
                <w:szCs w:val="16"/>
              </w:rPr>
              <w:br/>
              <w:t>portant modification</w:t>
            </w:r>
          </w:p>
        </w:tc>
        <w:tc>
          <w:tcPr>
            <w:tcW w:w="3738" w:type="dxa"/>
            <w:vMerge/>
            <w:tcBorders>
              <w:top w:val="single" w:sz="4" w:space="0" w:color="auto"/>
              <w:left w:val="single" w:sz="4" w:space="0" w:color="auto"/>
              <w:bottom w:val="single" w:sz="12" w:space="0" w:color="auto"/>
              <w:right w:val="single" w:sz="4" w:space="0" w:color="auto"/>
            </w:tcBorders>
            <w:vAlign w:val="center"/>
            <w:hideMark/>
          </w:tcPr>
          <w:p w:rsidR="006C50FF" w:rsidRPr="00DD7D5B" w:rsidRDefault="006C50FF" w:rsidP="00DD7D5B">
            <w:pPr>
              <w:kinsoku/>
              <w:overflowPunct/>
              <w:autoSpaceDE/>
              <w:autoSpaceDN/>
              <w:adjustRightInd/>
              <w:snapToGrid/>
              <w:ind w:left="57" w:right="57"/>
              <w:rPr>
                <w:rFonts w:eastAsia="Times New Roman"/>
                <w:i/>
                <w:sz w:val="16"/>
                <w:szCs w:val="16"/>
              </w:rPr>
            </w:pPr>
          </w:p>
        </w:tc>
      </w:tr>
      <w:tr w:rsidR="006C50FF" w:rsidRPr="00DD7D5B" w:rsidTr="00DD7D5B">
        <w:tc>
          <w:tcPr>
            <w:tcW w:w="1074" w:type="dxa"/>
            <w:tcBorders>
              <w:top w:val="single" w:sz="12" w:space="0" w:color="auto"/>
              <w:left w:val="single" w:sz="4" w:space="0" w:color="auto"/>
              <w:bottom w:val="single" w:sz="6" w:space="0" w:color="auto"/>
              <w:right w:val="single" w:sz="4" w:space="0" w:color="auto"/>
            </w:tcBorders>
            <w:tcMar>
              <w:top w:w="0" w:type="dxa"/>
              <w:left w:w="0" w:type="dxa"/>
              <w:bottom w:w="0" w:type="dxa"/>
              <w:right w:w="0" w:type="dxa"/>
            </w:tcMar>
            <w:hideMark/>
          </w:tcPr>
          <w:p w:rsidR="006C50FF" w:rsidRPr="00DD7D5B" w:rsidRDefault="006C50FF" w:rsidP="00DD7D5B">
            <w:pPr>
              <w:kinsoku/>
              <w:overflowPunct/>
              <w:autoSpaceDE/>
              <w:autoSpaceDN/>
              <w:adjustRightInd/>
              <w:snapToGrid/>
              <w:spacing w:before="60" w:after="60"/>
              <w:ind w:left="57" w:right="57"/>
              <w:rPr>
                <w:rFonts w:eastAsia="Times New Roman"/>
                <w:sz w:val="18"/>
                <w:szCs w:val="18"/>
              </w:rPr>
            </w:pPr>
            <w:r w:rsidRPr="00DD7D5B">
              <w:rPr>
                <w:rFonts w:eastAsia="Times New Roman"/>
                <w:b/>
                <w:sz w:val="18"/>
                <w:szCs w:val="18"/>
              </w:rPr>
              <w:t>1 (</w:t>
            </w:r>
            <w:r w:rsidRPr="00DD7D5B">
              <w:rPr>
                <w:rFonts w:eastAsia="Times New Roman"/>
                <w:sz w:val="18"/>
                <w:szCs w:val="18"/>
              </w:rPr>
              <w:t>Initiale</w:t>
            </w:r>
            <w:r w:rsidRPr="00DD7D5B">
              <w:rPr>
                <w:rFonts w:eastAsia="Times New Roman"/>
                <w:b/>
                <w:sz w:val="18"/>
                <w:szCs w:val="18"/>
              </w:rPr>
              <w:t>)</w:t>
            </w:r>
          </w:p>
        </w:tc>
        <w:tc>
          <w:tcPr>
            <w:tcW w:w="1264" w:type="dxa"/>
            <w:tcBorders>
              <w:top w:val="single" w:sz="12" w:space="0" w:color="auto"/>
              <w:left w:val="single" w:sz="4" w:space="0" w:color="auto"/>
              <w:bottom w:val="single" w:sz="6" w:space="0" w:color="auto"/>
              <w:right w:val="single" w:sz="4" w:space="0" w:color="auto"/>
            </w:tcBorders>
            <w:tcMar>
              <w:top w:w="0" w:type="dxa"/>
              <w:left w:w="0" w:type="dxa"/>
              <w:bottom w:w="0" w:type="dxa"/>
              <w:right w:w="0" w:type="dxa"/>
            </w:tcMar>
            <w:hideMark/>
          </w:tcPr>
          <w:p w:rsidR="006C50FF" w:rsidRPr="00DD7D5B" w:rsidRDefault="006C50FF" w:rsidP="00DD7D5B">
            <w:pPr>
              <w:kinsoku/>
              <w:overflowPunct/>
              <w:autoSpaceDE/>
              <w:autoSpaceDN/>
              <w:adjustRightInd/>
              <w:snapToGrid/>
              <w:spacing w:before="60" w:after="60"/>
              <w:ind w:left="57" w:right="57"/>
              <w:rPr>
                <w:rFonts w:eastAsia="Times New Roman"/>
                <w:sz w:val="18"/>
                <w:szCs w:val="18"/>
              </w:rPr>
            </w:pPr>
            <w:r w:rsidRPr="00DD7D5B">
              <w:rPr>
                <w:rFonts w:eastAsia="Times New Roman"/>
                <w:sz w:val="18"/>
                <w:szCs w:val="18"/>
              </w:rPr>
              <w:t>22.06.2017</w:t>
            </w:r>
          </w:p>
        </w:tc>
        <w:tc>
          <w:tcPr>
            <w:tcW w:w="913" w:type="dxa"/>
            <w:tcBorders>
              <w:top w:val="single" w:sz="12" w:space="0" w:color="auto"/>
              <w:left w:val="single" w:sz="4" w:space="0" w:color="auto"/>
              <w:bottom w:val="single" w:sz="6" w:space="0" w:color="auto"/>
              <w:right w:val="single" w:sz="4" w:space="0" w:color="auto"/>
            </w:tcBorders>
            <w:tcMar>
              <w:top w:w="0" w:type="dxa"/>
              <w:left w:w="0" w:type="dxa"/>
              <w:bottom w:w="0" w:type="dxa"/>
              <w:right w:w="0" w:type="dxa"/>
            </w:tcMar>
            <w:hideMark/>
          </w:tcPr>
          <w:p w:rsidR="006C50FF" w:rsidRPr="00DD7D5B" w:rsidRDefault="006C50FF" w:rsidP="00DD7D5B">
            <w:pPr>
              <w:kinsoku/>
              <w:overflowPunct/>
              <w:autoSpaceDE/>
              <w:autoSpaceDN/>
              <w:adjustRightInd/>
              <w:snapToGrid/>
              <w:spacing w:before="60" w:after="60"/>
              <w:ind w:left="57" w:right="57"/>
              <w:rPr>
                <w:rFonts w:eastAsia="Times New Roman"/>
                <w:sz w:val="18"/>
                <w:szCs w:val="18"/>
              </w:rPr>
            </w:pPr>
            <w:r w:rsidRPr="00DD7D5B">
              <w:rPr>
                <w:rFonts w:eastAsia="Times New Roman"/>
                <w:sz w:val="18"/>
                <w:szCs w:val="18"/>
              </w:rPr>
              <w:t>170</w:t>
            </w:r>
          </w:p>
        </w:tc>
        <w:tc>
          <w:tcPr>
            <w:tcW w:w="2480" w:type="dxa"/>
            <w:tcBorders>
              <w:top w:val="single" w:sz="12" w:space="0" w:color="auto"/>
              <w:left w:val="single" w:sz="4" w:space="0" w:color="auto"/>
              <w:bottom w:val="single" w:sz="6" w:space="0" w:color="auto"/>
              <w:right w:val="single" w:sz="4" w:space="0" w:color="auto"/>
            </w:tcBorders>
            <w:hideMark/>
          </w:tcPr>
          <w:p w:rsidR="006C50FF" w:rsidRPr="00DD7D5B" w:rsidRDefault="006C50FF" w:rsidP="00DD7D5B">
            <w:pPr>
              <w:kinsoku/>
              <w:overflowPunct/>
              <w:autoSpaceDE/>
              <w:autoSpaceDN/>
              <w:adjustRightInd/>
              <w:snapToGrid/>
              <w:spacing w:before="60" w:after="60"/>
              <w:ind w:left="57" w:right="57"/>
              <w:rPr>
                <w:rFonts w:eastAsia="Times New Roman"/>
                <w:sz w:val="18"/>
                <w:szCs w:val="18"/>
              </w:rPr>
            </w:pPr>
            <w:r w:rsidRPr="00DD7D5B">
              <w:rPr>
                <w:rFonts w:eastAsia="Times New Roman"/>
                <w:sz w:val="18"/>
                <w:szCs w:val="18"/>
              </w:rPr>
              <w:t>ECE/TRANS/WP.29/2016/111</w:t>
            </w:r>
          </w:p>
        </w:tc>
        <w:tc>
          <w:tcPr>
            <w:tcW w:w="3738" w:type="dxa"/>
            <w:tcBorders>
              <w:top w:val="single" w:sz="12" w:space="0" w:color="auto"/>
              <w:bottom w:val="single" w:sz="4" w:space="0" w:color="auto"/>
            </w:tcBorders>
            <w:shd w:val="clear" w:color="auto" w:fill="auto"/>
            <w:tcMar>
              <w:top w:w="0" w:type="dxa"/>
              <w:left w:w="0" w:type="dxa"/>
              <w:bottom w:w="0" w:type="dxa"/>
              <w:right w:w="0" w:type="dxa"/>
            </w:tcMar>
            <w:hideMark/>
          </w:tcPr>
          <w:p w:rsidR="006C50FF" w:rsidRPr="00B477A1" w:rsidRDefault="006C50FF" w:rsidP="00B477A1">
            <w:pPr>
              <w:kinsoku/>
              <w:overflowPunct/>
              <w:autoSpaceDE/>
              <w:autoSpaceDN/>
              <w:adjustRightInd/>
              <w:snapToGrid/>
              <w:spacing w:before="60" w:after="60"/>
              <w:ind w:left="57" w:right="57"/>
              <w:rPr>
                <w:rFonts w:eastAsia="Times New Roman"/>
                <w:sz w:val="18"/>
                <w:szCs w:val="18"/>
              </w:rPr>
            </w:pPr>
            <w:r w:rsidRPr="00B477A1">
              <w:rPr>
                <w:rFonts w:eastAsia="Times New Roman"/>
                <w:sz w:val="18"/>
                <w:szCs w:val="18"/>
              </w:rPr>
              <w:t>Fondée sur l’annexe</w:t>
            </w:r>
            <w:r w:rsidR="00DD7D5B" w:rsidRPr="00B477A1">
              <w:rPr>
                <w:rFonts w:eastAsia="Times New Roman"/>
                <w:sz w:val="18"/>
                <w:szCs w:val="18"/>
              </w:rPr>
              <w:t xml:space="preserve"> </w:t>
            </w:r>
            <w:r w:rsidRPr="00B477A1">
              <w:rPr>
                <w:rFonts w:eastAsia="Times New Roman"/>
                <w:sz w:val="18"/>
                <w:szCs w:val="18"/>
              </w:rPr>
              <w:t>1 des Règlements suivants :</w:t>
            </w:r>
          </w:p>
          <w:p w:rsidR="006C50FF" w:rsidRPr="00B477A1" w:rsidRDefault="006C50FF" w:rsidP="00B477A1">
            <w:pPr>
              <w:pStyle w:val="Bullet1G"/>
              <w:spacing w:before="60" w:after="60"/>
              <w:ind w:left="454" w:right="57"/>
              <w:rPr>
                <w:sz w:val="18"/>
                <w:szCs w:val="18"/>
              </w:rPr>
            </w:pPr>
            <w:r w:rsidRPr="00B477A1">
              <w:rPr>
                <w:sz w:val="18"/>
                <w:szCs w:val="18"/>
              </w:rPr>
              <w:t>N</w:t>
            </w:r>
            <w:r w:rsidRPr="00B477A1">
              <w:rPr>
                <w:sz w:val="18"/>
                <w:szCs w:val="18"/>
                <w:vertAlign w:val="superscript"/>
              </w:rPr>
              <w:t>o</w:t>
            </w:r>
            <w:r w:rsidRPr="00B477A1">
              <w:rPr>
                <w:sz w:val="18"/>
                <w:szCs w:val="18"/>
              </w:rPr>
              <w:t> 37, jusqu’au complément</w:t>
            </w:r>
            <w:r w:rsidR="00DD7D5B" w:rsidRPr="00B477A1">
              <w:rPr>
                <w:sz w:val="18"/>
                <w:szCs w:val="18"/>
              </w:rPr>
              <w:t xml:space="preserve"> </w:t>
            </w:r>
            <w:r w:rsidRPr="00B477A1">
              <w:rPr>
                <w:sz w:val="18"/>
                <w:szCs w:val="18"/>
              </w:rPr>
              <w:t>44 inclus</w:t>
            </w:r>
          </w:p>
          <w:p w:rsidR="006C50FF" w:rsidRPr="00B477A1" w:rsidRDefault="006C50FF" w:rsidP="00B477A1">
            <w:pPr>
              <w:pStyle w:val="Bullet1G"/>
              <w:spacing w:before="60" w:after="60"/>
              <w:ind w:left="454" w:right="57"/>
              <w:rPr>
                <w:rFonts w:eastAsia="Times New Roman"/>
                <w:sz w:val="18"/>
                <w:szCs w:val="18"/>
              </w:rPr>
            </w:pPr>
            <w:r w:rsidRPr="00B477A1">
              <w:rPr>
                <w:rFonts w:eastAsia="Times New Roman"/>
                <w:sz w:val="18"/>
                <w:szCs w:val="18"/>
              </w:rPr>
              <w:t>N</w:t>
            </w:r>
            <w:r w:rsidRPr="00B477A1">
              <w:rPr>
                <w:rFonts w:eastAsia="Times New Roman"/>
                <w:sz w:val="18"/>
                <w:szCs w:val="18"/>
                <w:vertAlign w:val="superscript"/>
              </w:rPr>
              <w:t>o</w:t>
            </w:r>
            <w:r w:rsidRPr="00B477A1">
              <w:rPr>
                <w:rFonts w:eastAsia="Times New Roman"/>
                <w:sz w:val="18"/>
                <w:szCs w:val="18"/>
              </w:rPr>
              <w:t xml:space="preserve"> 99, </w:t>
            </w:r>
            <w:r w:rsidRPr="00B477A1">
              <w:rPr>
                <w:sz w:val="18"/>
                <w:szCs w:val="18"/>
              </w:rPr>
              <w:t>jusqu’au</w:t>
            </w:r>
            <w:r w:rsidRPr="00B477A1">
              <w:rPr>
                <w:rFonts w:eastAsia="Times New Roman"/>
                <w:sz w:val="18"/>
                <w:szCs w:val="18"/>
              </w:rPr>
              <w:t xml:space="preserve"> complément</w:t>
            </w:r>
            <w:r w:rsidR="00DD7D5B" w:rsidRPr="00B477A1">
              <w:rPr>
                <w:rFonts w:eastAsia="Times New Roman"/>
                <w:sz w:val="18"/>
                <w:szCs w:val="18"/>
              </w:rPr>
              <w:t xml:space="preserve"> </w:t>
            </w:r>
            <w:r w:rsidRPr="00B477A1">
              <w:rPr>
                <w:rFonts w:eastAsia="Times New Roman"/>
                <w:sz w:val="18"/>
                <w:szCs w:val="18"/>
              </w:rPr>
              <w:t>11 inclus</w:t>
            </w:r>
          </w:p>
          <w:p w:rsidR="006C50FF" w:rsidRPr="00DD7D5B" w:rsidRDefault="006C50FF" w:rsidP="00DD7D5B">
            <w:pPr>
              <w:pStyle w:val="Bullet1G"/>
              <w:spacing w:before="60" w:after="60"/>
              <w:ind w:left="454" w:right="57"/>
              <w:rPr>
                <w:rFonts w:eastAsia="Times New Roman"/>
                <w:sz w:val="18"/>
                <w:szCs w:val="18"/>
              </w:rPr>
            </w:pPr>
            <w:r w:rsidRPr="00B477A1">
              <w:rPr>
                <w:rFonts w:eastAsia="Times New Roman"/>
                <w:sz w:val="18"/>
                <w:szCs w:val="18"/>
              </w:rPr>
              <w:t>N</w:t>
            </w:r>
            <w:r w:rsidRPr="00B477A1">
              <w:rPr>
                <w:rFonts w:eastAsia="Times New Roman"/>
                <w:sz w:val="18"/>
                <w:szCs w:val="18"/>
                <w:vertAlign w:val="superscript"/>
              </w:rPr>
              <w:t>o</w:t>
            </w:r>
            <w:r w:rsidRPr="00B477A1">
              <w:rPr>
                <w:rFonts w:eastAsia="Times New Roman"/>
                <w:sz w:val="18"/>
                <w:szCs w:val="18"/>
              </w:rPr>
              <w:t xml:space="preserve"> 128, </w:t>
            </w:r>
            <w:r w:rsidRPr="00B477A1">
              <w:rPr>
                <w:sz w:val="18"/>
                <w:szCs w:val="18"/>
              </w:rPr>
              <w:t>jusqu’au</w:t>
            </w:r>
            <w:r w:rsidRPr="00B477A1">
              <w:rPr>
                <w:rFonts w:eastAsia="Times New Roman"/>
                <w:sz w:val="18"/>
                <w:szCs w:val="18"/>
              </w:rPr>
              <w:t xml:space="preserve"> complément</w:t>
            </w:r>
            <w:r w:rsidR="00DD7D5B" w:rsidRPr="00B477A1">
              <w:rPr>
                <w:rFonts w:eastAsia="Times New Roman"/>
                <w:sz w:val="18"/>
                <w:szCs w:val="18"/>
              </w:rPr>
              <w:t xml:space="preserve"> </w:t>
            </w:r>
            <w:r w:rsidRPr="00B477A1">
              <w:rPr>
                <w:rFonts w:eastAsia="Times New Roman"/>
                <w:sz w:val="18"/>
                <w:szCs w:val="18"/>
              </w:rPr>
              <w:t>5 inclus</w:t>
            </w:r>
          </w:p>
        </w:tc>
      </w:tr>
      <w:tr w:rsidR="006C50FF" w:rsidRPr="00DD7D5B" w:rsidTr="00DD7D5B">
        <w:tc>
          <w:tcPr>
            <w:tcW w:w="1074" w:type="dxa"/>
            <w:tcBorders>
              <w:top w:val="single" w:sz="6" w:space="0" w:color="auto"/>
              <w:left w:val="single" w:sz="4" w:space="0" w:color="auto"/>
              <w:bottom w:val="single" w:sz="12" w:space="0" w:color="auto"/>
              <w:right w:val="single" w:sz="4" w:space="0" w:color="auto"/>
            </w:tcBorders>
            <w:tcMar>
              <w:top w:w="0" w:type="dxa"/>
              <w:left w:w="0" w:type="dxa"/>
              <w:bottom w:w="0" w:type="dxa"/>
              <w:right w:w="0" w:type="dxa"/>
            </w:tcMar>
          </w:tcPr>
          <w:p w:rsidR="006C50FF" w:rsidRPr="00DD7D5B" w:rsidRDefault="006C50FF" w:rsidP="00DD7D5B">
            <w:pPr>
              <w:kinsoku/>
              <w:overflowPunct/>
              <w:autoSpaceDE/>
              <w:autoSpaceDN/>
              <w:adjustRightInd/>
              <w:snapToGrid/>
              <w:spacing w:before="60" w:after="60"/>
              <w:ind w:left="57" w:right="57"/>
              <w:rPr>
                <w:rFonts w:eastAsia="Times New Roman"/>
                <w:b/>
                <w:sz w:val="18"/>
                <w:szCs w:val="18"/>
              </w:rPr>
            </w:pPr>
            <w:r w:rsidRPr="00DD7D5B">
              <w:rPr>
                <w:rFonts w:eastAsia="Times New Roman"/>
                <w:b/>
                <w:sz w:val="18"/>
                <w:szCs w:val="18"/>
              </w:rPr>
              <w:t>[2]</w:t>
            </w:r>
          </w:p>
        </w:tc>
        <w:tc>
          <w:tcPr>
            <w:tcW w:w="1264" w:type="dxa"/>
            <w:tcBorders>
              <w:top w:val="single" w:sz="6" w:space="0" w:color="auto"/>
              <w:left w:val="single" w:sz="4" w:space="0" w:color="auto"/>
              <w:bottom w:val="single" w:sz="12" w:space="0" w:color="auto"/>
              <w:right w:val="single" w:sz="4" w:space="0" w:color="auto"/>
            </w:tcBorders>
            <w:tcMar>
              <w:top w:w="0" w:type="dxa"/>
              <w:left w:w="0" w:type="dxa"/>
              <w:bottom w:w="0" w:type="dxa"/>
              <w:right w:w="0" w:type="dxa"/>
            </w:tcMar>
          </w:tcPr>
          <w:p w:rsidR="006C50FF" w:rsidRPr="00DD7D5B" w:rsidRDefault="006C50FF" w:rsidP="00DD7D5B">
            <w:pPr>
              <w:kinsoku/>
              <w:overflowPunct/>
              <w:autoSpaceDE/>
              <w:autoSpaceDN/>
              <w:adjustRightInd/>
              <w:snapToGrid/>
              <w:spacing w:before="60" w:after="60"/>
              <w:ind w:left="57" w:right="57"/>
              <w:rPr>
                <w:rFonts w:eastAsia="Times New Roman"/>
                <w:b/>
                <w:sz w:val="18"/>
                <w:szCs w:val="18"/>
              </w:rPr>
            </w:pPr>
            <w:r w:rsidRPr="00DD7D5B">
              <w:rPr>
                <w:rFonts w:eastAsia="Times New Roman"/>
                <w:b/>
                <w:sz w:val="18"/>
                <w:szCs w:val="18"/>
              </w:rPr>
              <w:t>[2020-xx-xx]</w:t>
            </w:r>
          </w:p>
        </w:tc>
        <w:tc>
          <w:tcPr>
            <w:tcW w:w="913" w:type="dxa"/>
            <w:tcBorders>
              <w:top w:val="single" w:sz="6" w:space="0" w:color="auto"/>
              <w:left w:val="single" w:sz="4" w:space="0" w:color="auto"/>
              <w:bottom w:val="single" w:sz="12" w:space="0" w:color="auto"/>
              <w:right w:val="single" w:sz="4" w:space="0" w:color="auto"/>
            </w:tcBorders>
            <w:tcMar>
              <w:top w:w="0" w:type="dxa"/>
              <w:left w:w="0" w:type="dxa"/>
              <w:bottom w:w="0" w:type="dxa"/>
              <w:right w:w="0" w:type="dxa"/>
            </w:tcMar>
          </w:tcPr>
          <w:p w:rsidR="006C50FF" w:rsidRPr="00DD7D5B" w:rsidRDefault="006C50FF" w:rsidP="00DD7D5B">
            <w:pPr>
              <w:kinsoku/>
              <w:overflowPunct/>
              <w:autoSpaceDE/>
              <w:autoSpaceDN/>
              <w:adjustRightInd/>
              <w:snapToGrid/>
              <w:spacing w:before="60" w:after="60"/>
              <w:ind w:left="57" w:right="57"/>
              <w:rPr>
                <w:rFonts w:eastAsia="Times New Roman"/>
                <w:b/>
                <w:sz w:val="18"/>
                <w:szCs w:val="18"/>
              </w:rPr>
            </w:pPr>
            <w:r w:rsidRPr="00DD7D5B">
              <w:rPr>
                <w:rFonts w:eastAsia="Times New Roman"/>
                <w:b/>
                <w:sz w:val="18"/>
                <w:szCs w:val="18"/>
              </w:rPr>
              <w:t>[180]</w:t>
            </w:r>
          </w:p>
        </w:tc>
        <w:tc>
          <w:tcPr>
            <w:tcW w:w="2480" w:type="dxa"/>
            <w:tcBorders>
              <w:top w:val="single" w:sz="6" w:space="0" w:color="auto"/>
              <w:left w:val="single" w:sz="4" w:space="0" w:color="auto"/>
              <w:bottom w:val="single" w:sz="12" w:space="0" w:color="auto"/>
              <w:right w:val="single" w:sz="4" w:space="0" w:color="auto"/>
            </w:tcBorders>
          </w:tcPr>
          <w:p w:rsidR="006C50FF" w:rsidRPr="00DD7D5B" w:rsidRDefault="006C50FF" w:rsidP="00DD7D5B">
            <w:pPr>
              <w:kinsoku/>
              <w:overflowPunct/>
              <w:autoSpaceDE/>
              <w:autoSpaceDN/>
              <w:adjustRightInd/>
              <w:snapToGrid/>
              <w:spacing w:before="60" w:after="60"/>
              <w:ind w:left="57" w:right="57"/>
              <w:rPr>
                <w:rFonts w:eastAsia="Times New Roman"/>
                <w:b/>
                <w:sz w:val="18"/>
                <w:szCs w:val="18"/>
              </w:rPr>
            </w:pPr>
            <w:r w:rsidRPr="00DD7D5B">
              <w:rPr>
                <w:rFonts w:eastAsia="Times New Roman"/>
                <w:b/>
                <w:sz w:val="18"/>
                <w:szCs w:val="18"/>
              </w:rPr>
              <w:t>[ECE/TRANS/WP.29/2020/xx]</w:t>
            </w:r>
          </w:p>
        </w:tc>
        <w:tc>
          <w:tcPr>
            <w:tcW w:w="3738"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tcPr>
          <w:p w:rsidR="006C50FF" w:rsidRPr="00DD7D5B" w:rsidRDefault="006C50FF" w:rsidP="00DD7D5B">
            <w:pPr>
              <w:kinsoku/>
              <w:overflowPunct/>
              <w:autoSpaceDE/>
              <w:autoSpaceDN/>
              <w:adjustRightInd/>
              <w:snapToGrid/>
              <w:spacing w:before="60" w:after="60"/>
              <w:ind w:left="57" w:right="57"/>
              <w:rPr>
                <w:rFonts w:eastAsia="Times New Roman"/>
                <w:b/>
                <w:sz w:val="18"/>
                <w:szCs w:val="18"/>
              </w:rPr>
            </w:pPr>
            <w:r w:rsidRPr="00DD7D5B">
              <w:rPr>
                <w:rFonts w:eastAsia="Times New Roman"/>
                <w:b/>
                <w:sz w:val="18"/>
                <w:szCs w:val="18"/>
              </w:rPr>
              <w:t>Amendement aux catégories de sources lumineuses L1A/6 et L1B/6, regroupé avec le complément [10] au Règlement ONU n</w:t>
            </w:r>
            <w:r w:rsidRPr="00DD7D5B">
              <w:rPr>
                <w:rFonts w:eastAsia="Times New Roman"/>
                <w:b/>
                <w:sz w:val="18"/>
                <w:szCs w:val="18"/>
                <w:vertAlign w:val="superscript"/>
              </w:rPr>
              <w:t>o</w:t>
            </w:r>
            <w:r w:rsidRPr="00DD7D5B">
              <w:rPr>
                <w:rFonts w:eastAsia="Times New Roman"/>
                <w:b/>
                <w:sz w:val="18"/>
                <w:szCs w:val="18"/>
              </w:rPr>
              <w:t> 128</w:t>
            </w:r>
          </w:p>
        </w:tc>
      </w:tr>
    </w:tbl>
    <w:p w:rsidR="006C50FF" w:rsidRPr="00DD7D5B" w:rsidRDefault="006C50FF" w:rsidP="00B477A1">
      <w:pPr>
        <w:pStyle w:val="SingleTxtG"/>
        <w:ind w:left="1701" w:hanging="567"/>
        <w:rPr>
          <w:rFonts w:eastAsia="Times New Roman"/>
        </w:rPr>
      </w:pPr>
      <w:r w:rsidRPr="00DD7D5B">
        <w:t>*</w:t>
      </w:r>
      <w:r w:rsidR="00B477A1">
        <w:tab/>
      </w:r>
      <w:r w:rsidRPr="00DD7D5B">
        <w:t>Date à laquelle le WP.29 a adopté l’amendement à la résolution ou date d’entrée en vigueur d’un amendement au</w:t>
      </w:r>
      <w:r w:rsidR="00DD7D5B" w:rsidRPr="00DD7D5B">
        <w:t xml:space="preserve"> </w:t>
      </w:r>
      <w:r w:rsidRPr="00DD7D5B">
        <w:t>Règlement n</w:t>
      </w:r>
      <w:r w:rsidRPr="00DD7D5B">
        <w:rPr>
          <w:vertAlign w:val="superscript"/>
        </w:rPr>
        <w:t>o</w:t>
      </w:r>
      <w:r w:rsidR="00DD7D5B" w:rsidRPr="00DD7D5B">
        <w:rPr>
          <w:vertAlign w:val="superscript"/>
        </w:rPr>
        <w:t>s</w:t>
      </w:r>
      <w:r w:rsidR="00DD7D5B" w:rsidRPr="00DD7D5B">
        <w:t> </w:t>
      </w:r>
      <w:r w:rsidRPr="00DD7D5B">
        <w:t>37, 99 ou 128, adopté par l’AC.1, à la même session du WP.29, conjointement à l’amendement à la résolution.</w:t>
      </w:r>
      <w:r w:rsidR="00DD7D5B" w:rsidRPr="00DD7D5B">
        <w:t> </w:t>
      </w:r>
      <w:r w:rsidRPr="00DD7D5B">
        <w:rPr>
          <w:rFonts w:eastAsia="Times New Roman"/>
        </w:rPr>
        <w:t>»</w:t>
      </w:r>
      <w:r w:rsidR="00DD7D5B" w:rsidRPr="00DD7D5B">
        <w:rPr>
          <w:rFonts w:eastAsia="Times New Roman"/>
        </w:rPr>
        <w:t>.</w:t>
      </w:r>
    </w:p>
    <w:p w:rsidR="006C50FF" w:rsidRPr="00DD7D5B" w:rsidRDefault="006C50FF" w:rsidP="00DD7D5B">
      <w:pPr>
        <w:pStyle w:val="SingleTxtG"/>
      </w:pPr>
      <w:r w:rsidRPr="00DD7D5B">
        <w:rPr>
          <w:i/>
          <w:lang w:eastAsia="ja-JP"/>
        </w:rPr>
        <w:t>Feuille L1/2</w:t>
      </w:r>
      <w:r w:rsidRPr="00DD7D5B">
        <w:rPr>
          <w:i/>
        </w:rPr>
        <w:t>, tableau</w:t>
      </w:r>
      <w:r w:rsidRPr="00DD7D5B">
        <w:t>, lire</w:t>
      </w:r>
      <w:r w:rsidR="00DD7D5B" w:rsidRPr="00DD7D5B">
        <w:t> </w:t>
      </w:r>
      <w:r w:rsidRPr="00DD7D5B">
        <w:t>:</w:t>
      </w:r>
    </w:p>
    <w:p w:rsidR="006C50FF" w:rsidRPr="00DD7D5B" w:rsidRDefault="006C50FF" w:rsidP="00DD7D5B">
      <w:pPr>
        <w:pStyle w:val="SingleTxtG"/>
      </w:pPr>
      <w:r w:rsidRPr="00DD7D5B">
        <w:t>« …</w:t>
      </w:r>
    </w:p>
    <w:tbl>
      <w:tblPr>
        <w:tblStyle w:val="TableGrid21"/>
        <w:tblW w:w="9637" w:type="dxa"/>
        <w:tblCellMar>
          <w:left w:w="115" w:type="dxa"/>
          <w:right w:w="115" w:type="dxa"/>
        </w:tblCellMar>
        <w:tblLook w:val="04A0" w:firstRow="1" w:lastRow="0" w:firstColumn="1" w:lastColumn="0" w:noHBand="0" w:noVBand="1"/>
      </w:tblPr>
      <w:tblGrid>
        <w:gridCol w:w="6255"/>
        <w:gridCol w:w="1737"/>
        <w:gridCol w:w="1645"/>
      </w:tblGrid>
      <w:tr w:rsidR="006C50FF" w:rsidRPr="00DD7D5B" w:rsidTr="00DD7D5B">
        <w:trPr>
          <w:trHeight w:val="213"/>
        </w:trPr>
        <w:tc>
          <w:tcPr>
            <w:tcW w:w="9372" w:type="dxa"/>
            <w:gridSpan w:val="3"/>
            <w:tcBorders>
              <w:top w:val="single" w:sz="12" w:space="0" w:color="auto"/>
              <w:bottom w:val="single" w:sz="12" w:space="0" w:color="auto"/>
            </w:tcBorders>
            <w:tcMar>
              <w:left w:w="0" w:type="dxa"/>
              <w:right w:w="0" w:type="dxa"/>
            </w:tcMar>
          </w:tcPr>
          <w:p w:rsidR="006C50FF" w:rsidRPr="00DD7D5B" w:rsidRDefault="006C50FF" w:rsidP="00DD7D5B">
            <w:pPr>
              <w:kinsoku/>
              <w:overflowPunct/>
              <w:autoSpaceDE/>
              <w:autoSpaceDN/>
              <w:adjustRightInd/>
              <w:snapToGrid/>
              <w:spacing w:before="80" w:after="80" w:line="220" w:lineRule="atLeast"/>
              <w:ind w:left="57" w:right="57"/>
              <w:jc w:val="center"/>
              <w:rPr>
                <w:spacing w:val="-1"/>
                <w:sz w:val="16"/>
                <w:szCs w:val="16"/>
                <w:lang w:val="fr-CH"/>
              </w:rPr>
            </w:pPr>
            <w:r w:rsidRPr="00DD7D5B">
              <w:rPr>
                <w:i/>
                <w:sz w:val="16"/>
                <w:szCs w:val="16"/>
                <w:lang w:val="fr-CH" w:eastAsia="de-DE"/>
              </w:rPr>
              <w:t>Caractéristiques de la zone d’émission de la lumière</w:t>
            </w:r>
          </w:p>
        </w:tc>
      </w:tr>
      <w:tr w:rsidR="006C50FF" w:rsidRPr="00DD7D5B" w:rsidTr="00DD7D5B">
        <w:trPr>
          <w:trHeight w:val="384"/>
        </w:trPr>
        <w:tc>
          <w:tcPr>
            <w:tcW w:w="6083" w:type="dxa"/>
            <w:tcBorders>
              <w:top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rPr>
                <w:spacing w:val="-1"/>
                <w:sz w:val="18"/>
                <w:szCs w:val="18"/>
                <w:lang w:val="fr-CH"/>
              </w:rPr>
            </w:pPr>
            <w:r w:rsidRPr="00DD7D5B">
              <w:rPr>
                <w:spacing w:val="-1"/>
                <w:sz w:val="18"/>
                <w:szCs w:val="18"/>
                <w:lang w:val="fr-CH"/>
              </w:rPr>
              <w:t>Contraste</w:t>
            </w:r>
          </w:p>
        </w:tc>
        <w:tc>
          <w:tcPr>
            <w:tcW w:w="1689" w:type="dxa"/>
            <w:tcBorders>
              <w:top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z w:val="18"/>
                <w:szCs w:val="18"/>
                <w:lang w:val="fr-CH"/>
              </w:rPr>
            </w:pPr>
            <w:r w:rsidRPr="00DD7D5B">
              <w:rPr>
                <w:spacing w:val="-1"/>
                <w:sz w:val="18"/>
                <w:szCs w:val="18"/>
                <w:lang w:val="fr-CH"/>
              </w:rPr>
              <w:t>200 min.</w:t>
            </w:r>
          </w:p>
        </w:tc>
        <w:tc>
          <w:tcPr>
            <w:tcW w:w="1600" w:type="dxa"/>
            <w:tcBorders>
              <w:top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z w:val="18"/>
                <w:szCs w:val="18"/>
                <w:lang w:val="fr-CH"/>
              </w:rPr>
            </w:pPr>
            <w:r w:rsidRPr="00DD7D5B">
              <w:rPr>
                <w:sz w:val="18"/>
                <w:szCs w:val="18"/>
                <w:lang w:val="fr-CH"/>
              </w:rPr>
              <w:t>200 min.</w:t>
            </w:r>
            <w:r w:rsidR="00B477A1">
              <w:rPr>
                <w:sz w:val="18"/>
                <w:szCs w:val="18"/>
                <w:lang w:val="fr-CH"/>
              </w:rPr>
              <w:br/>
            </w:r>
            <w:r w:rsidRPr="00DD7D5B">
              <w:rPr>
                <w:sz w:val="18"/>
                <w:szCs w:val="18"/>
                <w:lang w:val="fr-CH"/>
              </w:rPr>
              <w:t>400 max.</w:t>
            </w:r>
          </w:p>
        </w:tc>
      </w:tr>
      <w:tr w:rsidR="006C50FF" w:rsidRPr="00DD7D5B" w:rsidTr="00DD7D5B">
        <w:tc>
          <w:tcPr>
            <w:tcW w:w="6083" w:type="dxa"/>
            <w:tcMar>
              <w:left w:w="0" w:type="dxa"/>
              <w:right w:w="0" w:type="dxa"/>
            </w:tcMar>
          </w:tcPr>
          <w:p w:rsidR="006C50FF" w:rsidRPr="00DD7D5B" w:rsidRDefault="006C50FF" w:rsidP="00B477A1">
            <w:pPr>
              <w:kinsoku/>
              <w:overflowPunct/>
              <w:adjustRightInd/>
              <w:snapToGrid/>
              <w:spacing w:before="60" w:after="60"/>
              <w:ind w:left="57" w:right="57"/>
              <w:rPr>
                <w:spacing w:val="-1"/>
                <w:sz w:val="18"/>
                <w:szCs w:val="18"/>
                <w:lang w:val="fr-CH"/>
              </w:rPr>
            </w:pPr>
            <w:r w:rsidRPr="00DD7D5B">
              <w:rPr>
                <w:spacing w:val="-1"/>
                <w:sz w:val="18"/>
                <w:szCs w:val="18"/>
                <w:lang w:val="fr-CH"/>
              </w:rPr>
              <w:t>Taille de la zone d’émission de la lumière par rapport à celle du gabarit d’émission théorique</w:t>
            </w:r>
            <w:r w:rsidRPr="00DD7D5B">
              <w:rPr>
                <w:spacing w:val="-1"/>
                <w:sz w:val="18"/>
                <w:szCs w:val="18"/>
                <w:vertAlign w:val="superscript"/>
                <w:lang w:val="fr-CH"/>
              </w:rPr>
              <w:t>3</w:t>
            </w:r>
          </w:p>
        </w:tc>
        <w:tc>
          <w:tcPr>
            <w:tcW w:w="1689" w:type="dxa"/>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pacing w:val="-1"/>
                <w:sz w:val="18"/>
                <w:szCs w:val="18"/>
                <w:lang w:val="fr-CH"/>
              </w:rPr>
            </w:pPr>
            <w:r w:rsidRPr="00DD7D5B">
              <w:rPr>
                <w:spacing w:val="-1"/>
                <w:sz w:val="18"/>
                <w:szCs w:val="18"/>
                <w:lang w:val="fr-CH"/>
              </w:rPr>
              <w:t>75 % min.</w:t>
            </w:r>
          </w:p>
        </w:tc>
        <w:tc>
          <w:tcPr>
            <w:tcW w:w="1600" w:type="dxa"/>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z w:val="18"/>
                <w:szCs w:val="18"/>
                <w:lang w:val="fr-CH"/>
              </w:rPr>
            </w:pPr>
            <w:r w:rsidRPr="00DD7D5B">
              <w:rPr>
                <w:spacing w:val="-1"/>
                <w:sz w:val="18"/>
                <w:szCs w:val="18"/>
                <w:lang w:val="fr-CH"/>
              </w:rPr>
              <w:t>75 % min.</w:t>
            </w:r>
          </w:p>
        </w:tc>
      </w:tr>
      <w:tr w:rsidR="006C50FF" w:rsidRPr="00DD7D5B" w:rsidTr="00DD7D5B">
        <w:tc>
          <w:tcPr>
            <w:tcW w:w="6083" w:type="dxa"/>
            <w:tcBorders>
              <w:bottom w:val="single" w:sz="4"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rPr>
                <w:spacing w:val="-6"/>
                <w:sz w:val="18"/>
                <w:szCs w:val="18"/>
                <w:lang w:val="fr-CH"/>
              </w:rPr>
            </w:pPr>
            <w:r w:rsidRPr="00DD7D5B">
              <w:rPr>
                <w:spacing w:val="-6"/>
                <w:sz w:val="18"/>
                <w:szCs w:val="18"/>
                <w:lang w:val="fr-CH"/>
              </w:rPr>
              <w:t>Paramètre d’uniformité R</w:t>
            </w:r>
            <w:r w:rsidRPr="00DD7D5B">
              <w:rPr>
                <w:spacing w:val="-6"/>
                <w:sz w:val="18"/>
                <w:szCs w:val="18"/>
                <w:vertAlign w:val="subscript"/>
                <w:lang w:val="fr-CH"/>
              </w:rPr>
              <w:t>0</w:t>
            </w:r>
            <w:r w:rsidR="00B477A1">
              <w:rPr>
                <w:spacing w:val="-6"/>
                <w:sz w:val="18"/>
                <w:szCs w:val="18"/>
                <w:vertAlign w:val="subscript"/>
                <w:lang w:val="fr-CH"/>
              </w:rPr>
              <w:t>,</w:t>
            </w:r>
            <w:r w:rsidRPr="00DD7D5B">
              <w:rPr>
                <w:spacing w:val="-6"/>
                <w:sz w:val="18"/>
                <w:szCs w:val="18"/>
                <w:vertAlign w:val="subscript"/>
                <w:lang w:val="fr-CH"/>
              </w:rPr>
              <w:t>1</w:t>
            </w:r>
            <w:r w:rsidRPr="00DD7D5B">
              <w:rPr>
                <w:spacing w:val="-6"/>
                <w:sz w:val="18"/>
                <w:szCs w:val="18"/>
                <w:lang w:val="fr-CH"/>
              </w:rPr>
              <w:t xml:space="preserve"> </w:t>
            </w:r>
            <w:r w:rsidR="00B477A1">
              <w:rPr>
                <w:spacing w:val="-6"/>
                <w:sz w:val="18"/>
                <w:szCs w:val="18"/>
                <w:lang w:val="fr-CH"/>
              </w:rPr>
              <w:t>−</w:t>
            </w:r>
            <w:r w:rsidRPr="00DD7D5B">
              <w:rPr>
                <w:spacing w:val="-6"/>
                <w:sz w:val="18"/>
                <w:szCs w:val="18"/>
                <w:lang w:val="fr-CH"/>
              </w:rPr>
              <w:t xml:space="preserve"> proportion de la surface dont la luminance est supérieure à 10</w:t>
            </w:r>
            <w:r w:rsidR="00B477A1">
              <w:rPr>
                <w:spacing w:val="-6"/>
                <w:sz w:val="18"/>
                <w:szCs w:val="18"/>
                <w:lang w:val="fr-CH"/>
              </w:rPr>
              <w:t> </w:t>
            </w:r>
            <w:r w:rsidRPr="00DD7D5B">
              <w:rPr>
                <w:spacing w:val="-6"/>
                <w:sz w:val="18"/>
                <w:szCs w:val="18"/>
                <w:lang w:val="fr-CH"/>
              </w:rPr>
              <w:t>% de la luminance moyenne</w:t>
            </w:r>
          </w:p>
        </w:tc>
        <w:tc>
          <w:tcPr>
            <w:tcW w:w="1689" w:type="dxa"/>
            <w:tcBorders>
              <w:bottom w:val="single" w:sz="4"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z w:val="18"/>
                <w:szCs w:val="18"/>
                <w:lang w:val="fr-CH"/>
              </w:rPr>
            </w:pPr>
            <w:r w:rsidRPr="00DD7D5B">
              <w:rPr>
                <w:spacing w:val="-1"/>
                <w:sz w:val="18"/>
                <w:szCs w:val="18"/>
                <w:lang w:val="fr-CH"/>
              </w:rPr>
              <w:t>75 % min.</w:t>
            </w:r>
          </w:p>
        </w:tc>
        <w:tc>
          <w:tcPr>
            <w:tcW w:w="1600" w:type="dxa"/>
            <w:tcBorders>
              <w:bottom w:val="single" w:sz="4"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z w:val="18"/>
                <w:szCs w:val="18"/>
                <w:lang w:val="fr-CH"/>
              </w:rPr>
            </w:pPr>
            <w:r w:rsidRPr="00DD7D5B">
              <w:rPr>
                <w:sz w:val="18"/>
                <w:szCs w:val="18"/>
                <w:lang w:val="fr-CH"/>
              </w:rPr>
              <w:t>85 </w:t>
            </w:r>
            <w:r w:rsidRPr="00DD7D5B">
              <w:rPr>
                <w:spacing w:val="-1"/>
                <w:sz w:val="18"/>
                <w:szCs w:val="18"/>
                <w:lang w:val="fr-CH"/>
              </w:rPr>
              <w:t>% min.</w:t>
            </w:r>
          </w:p>
        </w:tc>
      </w:tr>
      <w:tr w:rsidR="006C50FF" w:rsidRPr="00DD7D5B" w:rsidTr="00DD7D5B">
        <w:tc>
          <w:tcPr>
            <w:tcW w:w="6083" w:type="dxa"/>
            <w:tcBorders>
              <w:bottom w:val="single" w:sz="4"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rPr>
                <w:spacing w:val="-6"/>
                <w:sz w:val="18"/>
                <w:szCs w:val="18"/>
                <w:lang w:val="fr-CH"/>
              </w:rPr>
            </w:pPr>
            <w:r w:rsidRPr="00DD7D5B">
              <w:rPr>
                <w:spacing w:val="-6"/>
                <w:sz w:val="18"/>
                <w:szCs w:val="18"/>
                <w:lang w:val="fr-CH"/>
              </w:rPr>
              <w:t>Paramètre d’uniformité R</w:t>
            </w:r>
            <w:r w:rsidRPr="00DD7D5B">
              <w:rPr>
                <w:spacing w:val="-6"/>
                <w:sz w:val="18"/>
                <w:szCs w:val="18"/>
                <w:vertAlign w:val="subscript"/>
                <w:lang w:val="fr-CH"/>
              </w:rPr>
              <w:t>0</w:t>
            </w:r>
            <w:r w:rsidR="00B477A1">
              <w:rPr>
                <w:spacing w:val="-6"/>
                <w:sz w:val="18"/>
                <w:szCs w:val="18"/>
                <w:vertAlign w:val="subscript"/>
                <w:lang w:val="fr-CH"/>
              </w:rPr>
              <w:t>,</w:t>
            </w:r>
            <w:r w:rsidRPr="00DD7D5B">
              <w:rPr>
                <w:spacing w:val="-6"/>
                <w:sz w:val="18"/>
                <w:szCs w:val="18"/>
                <w:vertAlign w:val="subscript"/>
                <w:lang w:val="fr-CH"/>
              </w:rPr>
              <w:t>7</w:t>
            </w:r>
            <w:r w:rsidRPr="00B477A1">
              <w:rPr>
                <w:sz w:val="18"/>
                <w:szCs w:val="18"/>
                <w:lang w:val="fr-CH"/>
              </w:rPr>
              <w:t xml:space="preserve"> </w:t>
            </w:r>
            <w:r w:rsidR="00B477A1">
              <w:rPr>
                <w:sz w:val="18"/>
                <w:szCs w:val="18"/>
                <w:lang w:val="fr-CH"/>
              </w:rPr>
              <w:t>−</w:t>
            </w:r>
            <w:r w:rsidRPr="00B477A1">
              <w:rPr>
                <w:sz w:val="18"/>
                <w:szCs w:val="18"/>
                <w:lang w:val="fr-CH"/>
              </w:rPr>
              <w:t xml:space="preserve"> </w:t>
            </w:r>
            <w:r w:rsidRPr="00B477A1">
              <w:rPr>
                <w:spacing w:val="-6"/>
                <w:sz w:val="18"/>
                <w:szCs w:val="18"/>
                <w:lang w:val="fr-CH"/>
              </w:rPr>
              <w:t>p</w:t>
            </w:r>
            <w:r w:rsidRPr="00DD7D5B">
              <w:rPr>
                <w:spacing w:val="-6"/>
                <w:sz w:val="18"/>
                <w:szCs w:val="18"/>
                <w:lang w:val="fr-CH"/>
              </w:rPr>
              <w:t>roportion de la surface dont la luminance est supérieure à 70</w:t>
            </w:r>
            <w:r w:rsidR="00B477A1">
              <w:rPr>
                <w:spacing w:val="-6"/>
                <w:sz w:val="18"/>
                <w:szCs w:val="18"/>
                <w:lang w:val="fr-CH"/>
              </w:rPr>
              <w:t> </w:t>
            </w:r>
            <w:r w:rsidRPr="00DD7D5B">
              <w:rPr>
                <w:spacing w:val="-6"/>
                <w:sz w:val="18"/>
                <w:szCs w:val="18"/>
                <w:lang w:val="fr-CH"/>
              </w:rPr>
              <w:t>% de la luminance moyenne</w:t>
            </w:r>
          </w:p>
        </w:tc>
        <w:tc>
          <w:tcPr>
            <w:tcW w:w="1689" w:type="dxa"/>
            <w:tcBorders>
              <w:bottom w:val="single" w:sz="4"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pacing w:val="-1"/>
                <w:sz w:val="18"/>
                <w:szCs w:val="18"/>
                <w:lang w:val="fr-CH"/>
              </w:rPr>
            </w:pPr>
            <w:r w:rsidRPr="00DD7D5B">
              <w:rPr>
                <w:spacing w:val="-1"/>
                <w:sz w:val="18"/>
                <w:szCs w:val="18"/>
                <w:lang w:val="fr-CH"/>
              </w:rPr>
              <w:t>55 % min.</w:t>
            </w:r>
          </w:p>
        </w:tc>
        <w:tc>
          <w:tcPr>
            <w:tcW w:w="1600" w:type="dxa"/>
            <w:tcBorders>
              <w:bottom w:val="single" w:sz="4"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z w:val="18"/>
                <w:szCs w:val="18"/>
                <w:lang w:val="fr-CH"/>
              </w:rPr>
            </w:pPr>
            <w:r w:rsidRPr="00DD7D5B">
              <w:rPr>
                <w:spacing w:val="-1"/>
                <w:sz w:val="18"/>
                <w:szCs w:val="18"/>
                <w:lang w:val="fr-CH"/>
              </w:rPr>
              <w:t>65 % min.</w:t>
            </w:r>
          </w:p>
        </w:tc>
      </w:tr>
      <w:tr w:rsidR="006C50FF" w:rsidRPr="00DD7D5B" w:rsidTr="00DD7D5B">
        <w:tc>
          <w:tcPr>
            <w:tcW w:w="6083" w:type="dxa"/>
            <w:tcBorders>
              <w:top w:val="single" w:sz="4" w:space="0" w:color="auto"/>
              <w:bottom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rPr>
                <w:b/>
                <w:spacing w:val="-6"/>
                <w:sz w:val="18"/>
                <w:szCs w:val="18"/>
                <w:lang w:val="fr-CH"/>
              </w:rPr>
            </w:pPr>
            <w:r w:rsidRPr="00DD7D5B">
              <w:rPr>
                <w:b/>
                <w:spacing w:val="-6"/>
                <w:sz w:val="18"/>
                <w:szCs w:val="18"/>
                <w:lang w:val="fr-CH"/>
              </w:rPr>
              <w:t xml:space="preserve">Gradient maximal de luminance </w:t>
            </w:r>
            <w:r w:rsidRPr="00DD7D5B">
              <w:rPr>
                <w:b/>
                <w:color w:val="000000"/>
                <w:sz w:val="18"/>
                <w:szCs w:val="18"/>
                <w:lang w:val="fr-CH"/>
              </w:rPr>
              <w:t>G</w:t>
            </w:r>
            <w:r w:rsidRPr="00DD7D5B">
              <w:rPr>
                <w:b/>
                <w:color w:val="000000"/>
                <w:sz w:val="18"/>
                <w:szCs w:val="18"/>
                <w:vertAlign w:val="subscript"/>
                <w:lang w:val="fr-CH"/>
              </w:rPr>
              <w:t>50</w:t>
            </w:r>
            <w:r w:rsidRPr="00DD7D5B">
              <w:rPr>
                <w:rFonts w:ascii="Symbol" w:hAnsi="Symbol"/>
                <w:b/>
                <w:color w:val="000000"/>
                <w:sz w:val="18"/>
                <w:szCs w:val="18"/>
                <w:vertAlign w:val="subscript"/>
                <w:lang w:val="fr-CH"/>
              </w:rPr>
              <w:t></w:t>
            </w:r>
            <w:r w:rsidRPr="00DD7D5B">
              <w:rPr>
                <w:b/>
                <w:color w:val="000000"/>
                <w:sz w:val="18"/>
                <w:szCs w:val="18"/>
                <w:vertAlign w:val="subscript"/>
                <w:lang w:val="fr-CH"/>
              </w:rPr>
              <w:t>m,max</w:t>
            </w:r>
            <w:r w:rsidRPr="00DD7D5B">
              <w:rPr>
                <w:rFonts w:ascii="ArialMT" w:hAnsi="ArialMT"/>
                <w:b/>
                <w:color w:val="000000"/>
                <w:sz w:val="32"/>
                <w:szCs w:val="32"/>
                <w:vertAlign w:val="subscript"/>
                <w:lang w:val="fr-CH"/>
              </w:rPr>
              <w:t xml:space="preserve"> </w:t>
            </w:r>
            <w:r w:rsidRPr="00DD7D5B">
              <w:rPr>
                <w:b/>
                <w:spacing w:val="-6"/>
                <w:sz w:val="18"/>
                <w:szCs w:val="18"/>
                <w:lang w:val="fr-CH"/>
              </w:rPr>
              <w:t>du côté de la ligne de coupure</w:t>
            </w:r>
            <w:r w:rsidRPr="00DD7D5B">
              <w:rPr>
                <w:b/>
                <w:spacing w:val="-6"/>
                <w:sz w:val="18"/>
                <w:szCs w:val="18"/>
                <w:vertAlign w:val="superscript"/>
                <w:lang w:val="fr-CH"/>
              </w:rPr>
              <w:t>11</w:t>
            </w:r>
          </w:p>
        </w:tc>
        <w:tc>
          <w:tcPr>
            <w:tcW w:w="1689" w:type="dxa"/>
            <w:tcBorders>
              <w:top w:val="single" w:sz="4" w:space="0" w:color="auto"/>
              <w:bottom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b/>
                <w:spacing w:val="-1"/>
                <w:sz w:val="18"/>
                <w:szCs w:val="18"/>
                <w:lang w:val="fr-CH"/>
              </w:rPr>
            </w:pPr>
            <w:r w:rsidRPr="00DD7D5B">
              <w:rPr>
                <w:b/>
                <w:spacing w:val="-1"/>
                <w:sz w:val="18"/>
                <w:szCs w:val="18"/>
                <w:lang w:val="fr-CH"/>
              </w:rPr>
              <w:t>0,20 min.</w:t>
            </w:r>
          </w:p>
        </w:tc>
        <w:tc>
          <w:tcPr>
            <w:tcW w:w="1600" w:type="dxa"/>
            <w:tcBorders>
              <w:top w:val="single" w:sz="4" w:space="0" w:color="auto"/>
              <w:bottom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b/>
                <w:spacing w:val="-1"/>
                <w:sz w:val="18"/>
                <w:szCs w:val="18"/>
                <w:lang w:val="fr-CH"/>
              </w:rPr>
            </w:pPr>
            <w:r w:rsidRPr="00DD7D5B">
              <w:rPr>
                <w:b/>
                <w:spacing w:val="-1"/>
                <w:sz w:val="18"/>
                <w:szCs w:val="18"/>
                <w:lang w:val="fr-CH"/>
              </w:rPr>
              <w:t>0,20 min.</w:t>
            </w:r>
          </w:p>
        </w:tc>
      </w:tr>
      <w:tr w:rsidR="006C50FF" w:rsidRPr="00DD7D5B" w:rsidTr="00DD7D5B">
        <w:trPr>
          <w:trHeight w:val="249"/>
        </w:trPr>
        <w:tc>
          <w:tcPr>
            <w:tcW w:w="9372" w:type="dxa"/>
            <w:gridSpan w:val="3"/>
            <w:tcBorders>
              <w:top w:val="single" w:sz="12" w:space="0" w:color="auto"/>
              <w:bottom w:val="single" w:sz="12" w:space="0" w:color="auto"/>
            </w:tcBorders>
            <w:tcMar>
              <w:left w:w="0" w:type="dxa"/>
              <w:right w:w="0" w:type="dxa"/>
            </w:tcMar>
          </w:tcPr>
          <w:p w:rsidR="006C50FF" w:rsidRPr="00DD7D5B" w:rsidRDefault="006C50FF" w:rsidP="00B477A1">
            <w:pPr>
              <w:kinsoku/>
              <w:overflowPunct/>
              <w:autoSpaceDE/>
              <w:autoSpaceDN/>
              <w:adjustRightInd/>
              <w:snapToGrid/>
              <w:spacing w:before="80" w:after="80" w:line="220" w:lineRule="atLeast"/>
              <w:ind w:left="57" w:right="57"/>
              <w:jc w:val="center"/>
              <w:rPr>
                <w:spacing w:val="-1"/>
                <w:sz w:val="18"/>
                <w:szCs w:val="18"/>
                <w:lang w:val="fr-CH"/>
              </w:rPr>
            </w:pPr>
            <w:r w:rsidRPr="00DD7D5B">
              <w:rPr>
                <w:i/>
                <w:sz w:val="16"/>
                <w:szCs w:val="16"/>
                <w:lang w:val="fr-CH" w:eastAsia="de-DE"/>
              </w:rPr>
              <w:t>Conditions particulières pour l’essai thermique</w:t>
            </w:r>
          </w:p>
        </w:tc>
      </w:tr>
      <w:tr w:rsidR="006C50FF" w:rsidRPr="00DD7D5B" w:rsidTr="00DD7D5B">
        <w:tc>
          <w:tcPr>
            <w:tcW w:w="6083" w:type="dxa"/>
            <w:tcBorders>
              <w:top w:val="single" w:sz="12" w:space="0" w:color="auto"/>
              <w:bottom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rPr>
                <w:spacing w:val="-1"/>
                <w:sz w:val="18"/>
                <w:szCs w:val="18"/>
                <w:lang w:val="fr-CH"/>
              </w:rPr>
            </w:pPr>
            <w:r w:rsidRPr="00DD7D5B">
              <w:rPr>
                <w:spacing w:val="-1"/>
                <w:sz w:val="18"/>
                <w:szCs w:val="18"/>
                <w:lang w:val="fr-CH"/>
              </w:rPr>
              <w:t>Température d’essai maximale</w:t>
            </w:r>
          </w:p>
        </w:tc>
        <w:tc>
          <w:tcPr>
            <w:tcW w:w="1689" w:type="dxa"/>
            <w:tcBorders>
              <w:top w:val="single" w:sz="12" w:space="0" w:color="auto"/>
              <w:bottom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pacing w:val="-1"/>
                <w:sz w:val="18"/>
                <w:szCs w:val="18"/>
                <w:lang w:val="fr-CH"/>
              </w:rPr>
            </w:pPr>
            <w:r w:rsidRPr="00DD7D5B">
              <w:rPr>
                <w:spacing w:val="-1"/>
                <w:sz w:val="18"/>
                <w:szCs w:val="18"/>
                <w:lang w:val="fr-CH"/>
              </w:rPr>
              <w:t>…</w:t>
            </w:r>
          </w:p>
        </w:tc>
        <w:tc>
          <w:tcPr>
            <w:tcW w:w="1600" w:type="dxa"/>
            <w:tcBorders>
              <w:top w:val="single" w:sz="12" w:space="0" w:color="auto"/>
              <w:bottom w:val="single" w:sz="12" w:space="0" w:color="auto"/>
            </w:tcBorders>
            <w:tcMar>
              <w:left w:w="0" w:type="dxa"/>
              <w:right w:w="0" w:type="dxa"/>
            </w:tcMar>
          </w:tcPr>
          <w:p w:rsidR="006C50FF" w:rsidRPr="00DD7D5B" w:rsidRDefault="006C50FF" w:rsidP="00B477A1">
            <w:pPr>
              <w:kinsoku/>
              <w:overflowPunct/>
              <w:autoSpaceDE/>
              <w:autoSpaceDN/>
              <w:adjustRightInd/>
              <w:snapToGrid/>
              <w:spacing w:before="60" w:after="60"/>
              <w:ind w:left="57" w:right="57"/>
              <w:jc w:val="center"/>
              <w:rPr>
                <w:spacing w:val="-1"/>
                <w:sz w:val="18"/>
                <w:szCs w:val="18"/>
                <w:lang w:val="fr-CH"/>
              </w:rPr>
            </w:pPr>
            <w:r w:rsidRPr="00DD7D5B">
              <w:rPr>
                <w:spacing w:val="-1"/>
                <w:sz w:val="18"/>
                <w:szCs w:val="18"/>
                <w:lang w:val="fr-CH"/>
              </w:rPr>
              <w:t>…</w:t>
            </w:r>
          </w:p>
        </w:tc>
      </w:tr>
    </w:tbl>
    <w:p w:rsidR="006C50FF" w:rsidRPr="00DD7D5B" w:rsidRDefault="006C50FF" w:rsidP="006C50FF">
      <w:pPr>
        <w:widowControl w:val="0"/>
        <w:kinsoku/>
        <w:overflowPunct/>
        <w:autoSpaceDE/>
        <w:autoSpaceDN/>
        <w:adjustRightInd/>
        <w:snapToGrid/>
        <w:spacing w:before="60"/>
        <w:ind w:right="1134"/>
        <w:rPr>
          <w:rFonts w:eastAsia="Times New Roman"/>
          <w:b/>
          <w:sz w:val="18"/>
          <w:szCs w:val="18"/>
        </w:rPr>
      </w:pPr>
      <w:bookmarkStart w:id="0" w:name="Failure_condition_behaviour:"/>
      <w:bookmarkEnd w:id="0"/>
      <w:r w:rsidRPr="00DD7D5B">
        <w:rPr>
          <w:rFonts w:eastAsia="Times New Roman"/>
          <w:b/>
          <w:sz w:val="18"/>
          <w:szCs w:val="18"/>
        </w:rPr>
        <w:t>Notes</w:t>
      </w:r>
      <w:r w:rsidR="00B477A1">
        <w:rPr>
          <w:rFonts w:eastAsia="Times New Roman"/>
          <w:b/>
          <w:sz w:val="18"/>
          <w:szCs w:val="18"/>
        </w:rPr>
        <w:t> </w:t>
      </w:r>
      <w:r w:rsidRPr="00DD7D5B">
        <w:rPr>
          <w:rFonts w:eastAsia="Times New Roman"/>
          <w:b/>
          <w:sz w:val="18"/>
          <w:szCs w:val="18"/>
        </w:rPr>
        <w:t>:</w:t>
      </w:r>
    </w:p>
    <w:p w:rsidR="006C50FF" w:rsidRPr="00DD7D5B" w:rsidRDefault="006C50FF" w:rsidP="00B477A1">
      <w:pPr>
        <w:widowControl w:val="0"/>
        <w:kinsoku/>
        <w:overflowPunct/>
        <w:autoSpaceDE/>
        <w:autoSpaceDN/>
        <w:adjustRightInd/>
        <w:snapToGrid/>
        <w:spacing w:line="220" w:lineRule="atLeast"/>
        <w:ind w:left="284" w:hanging="284"/>
        <w:rPr>
          <w:rFonts w:eastAsia="Times New Roman"/>
          <w:spacing w:val="-1"/>
          <w:sz w:val="18"/>
          <w:szCs w:val="18"/>
        </w:rPr>
      </w:pPr>
      <w:r w:rsidRPr="00350835">
        <w:rPr>
          <w:rFonts w:eastAsia="Times New Roman"/>
          <w:spacing w:val="-1"/>
          <w:sz w:val="18"/>
          <w:szCs w:val="18"/>
          <w:vertAlign w:val="superscript"/>
        </w:rPr>
        <w:t>1</w:t>
      </w:r>
      <w:r w:rsidR="00B477A1" w:rsidRPr="00350835">
        <w:rPr>
          <w:rFonts w:eastAsia="Times New Roman"/>
          <w:spacing w:val="-1"/>
          <w:sz w:val="18"/>
          <w:szCs w:val="18"/>
        </w:rPr>
        <w:tab/>
      </w:r>
      <w:r w:rsidRPr="00DD7D5B">
        <w:rPr>
          <w:rFonts w:eastAsia="Times New Roman"/>
          <w:spacing w:val="-1"/>
          <w:sz w:val="18"/>
          <w:szCs w:val="18"/>
        </w:rPr>
        <w:t>Le plan de référence est défini par rapport au système d’assemblage culot-douille suivant la publication 60061 de la CEI.</w:t>
      </w:r>
    </w:p>
    <w:p w:rsidR="006C50FF" w:rsidRPr="00DD7D5B" w:rsidRDefault="006C50FF" w:rsidP="00B477A1">
      <w:pPr>
        <w:widowControl w:val="0"/>
        <w:kinsoku/>
        <w:overflowPunct/>
        <w:autoSpaceDE/>
        <w:autoSpaceDN/>
        <w:adjustRightInd/>
        <w:snapToGrid/>
        <w:spacing w:line="220" w:lineRule="atLeast"/>
        <w:ind w:left="284" w:hanging="284"/>
        <w:rPr>
          <w:rFonts w:eastAsia="Times New Roman"/>
          <w:spacing w:val="-1"/>
          <w:sz w:val="18"/>
          <w:szCs w:val="18"/>
        </w:rPr>
      </w:pPr>
      <w:r w:rsidRPr="00DD7D5B">
        <w:rPr>
          <w:rFonts w:eastAsia="Times New Roman"/>
          <w:sz w:val="18"/>
          <w:szCs w:val="18"/>
          <w:vertAlign w:val="superscript"/>
        </w:rPr>
        <w:t>2</w:t>
      </w:r>
      <w:r w:rsidR="00B477A1" w:rsidRPr="00350835">
        <w:rPr>
          <w:rFonts w:eastAsia="Times New Roman"/>
          <w:sz w:val="18"/>
          <w:szCs w:val="18"/>
        </w:rPr>
        <w:tab/>
      </w:r>
      <w:r w:rsidRPr="00DD7D5B">
        <w:rPr>
          <w:rFonts w:eastAsia="Times New Roman"/>
          <w:spacing w:val="-1"/>
          <w:sz w:val="18"/>
          <w:szCs w:val="18"/>
        </w:rPr>
        <w:t>L’axe de référence est l’axe perpendiculaire au plan de référence et passant par le milieu du diamètre de référence du culot c, supposé passer par le milieu du gabarit d’émission théorique à la figure 3.</w:t>
      </w:r>
    </w:p>
    <w:p w:rsidR="006C50FF" w:rsidRPr="00DD7D5B" w:rsidRDefault="006C50FF" w:rsidP="00B477A1">
      <w:pPr>
        <w:widowControl w:val="0"/>
        <w:kinsoku/>
        <w:overflowPunct/>
        <w:autoSpaceDE/>
        <w:autoSpaceDN/>
        <w:adjustRightInd/>
        <w:snapToGrid/>
        <w:spacing w:line="220" w:lineRule="atLeast"/>
        <w:ind w:left="284" w:hanging="284"/>
        <w:rPr>
          <w:rFonts w:eastAsia="Times New Roman"/>
          <w:sz w:val="18"/>
          <w:szCs w:val="18"/>
        </w:rPr>
      </w:pPr>
      <w:r w:rsidRPr="00DD7D5B">
        <w:rPr>
          <w:rFonts w:eastAsia="Times New Roman"/>
          <w:sz w:val="18"/>
          <w:szCs w:val="18"/>
          <w:vertAlign w:val="superscript"/>
        </w:rPr>
        <w:t>3</w:t>
      </w:r>
      <w:r w:rsidR="00B477A1" w:rsidRPr="00350835">
        <w:rPr>
          <w:rFonts w:eastAsia="Times New Roman"/>
          <w:sz w:val="18"/>
          <w:szCs w:val="18"/>
        </w:rPr>
        <w:tab/>
      </w:r>
      <w:r w:rsidRPr="00DD7D5B">
        <w:rPr>
          <w:rFonts w:eastAsia="Times New Roman"/>
          <w:sz w:val="18"/>
          <w:szCs w:val="18"/>
        </w:rPr>
        <w:t>À contrôler au moyen du gabarit de positionnement à la figure 3.</w:t>
      </w:r>
    </w:p>
    <w:p w:rsidR="006C50FF" w:rsidRPr="00DD7D5B" w:rsidRDefault="006C50FF" w:rsidP="00B477A1">
      <w:pPr>
        <w:widowControl w:val="0"/>
        <w:kinsoku/>
        <w:overflowPunct/>
        <w:autoSpaceDE/>
        <w:autoSpaceDN/>
        <w:adjustRightInd/>
        <w:snapToGrid/>
        <w:spacing w:line="220" w:lineRule="atLeast"/>
        <w:ind w:left="284" w:hanging="284"/>
        <w:rPr>
          <w:rFonts w:eastAsia="Times New Roman"/>
          <w:spacing w:val="-1"/>
          <w:sz w:val="18"/>
          <w:szCs w:val="18"/>
        </w:rPr>
      </w:pPr>
      <w:r w:rsidRPr="00DD7D5B">
        <w:rPr>
          <w:rFonts w:eastAsia="Times New Roman"/>
          <w:sz w:val="18"/>
          <w:szCs w:val="18"/>
          <w:vertAlign w:val="superscript"/>
        </w:rPr>
        <w:t>4</w:t>
      </w:r>
      <w:r w:rsidR="00B477A1" w:rsidRPr="00350835">
        <w:rPr>
          <w:rFonts w:eastAsia="Times New Roman"/>
          <w:sz w:val="18"/>
          <w:szCs w:val="18"/>
        </w:rPr>
        <w:tab/>
      </w:r>
      <w:r w:rsidRPr="00DD7D5B">
        <w:rPr>
          <w:rFonts w:eastAsia="Times New Roman"/>
          <w:spacing w:val="-1"/>
          <w:sz w:val="18"/>
          <w:szCs w:val="18"/>
        </w:rPr>
        <w:t>Un espace libre minimal de 5</w:t>
      </w:r>
      <w:r w:rsidR="00B477A1">
        <w:rPr>
          <w:rFonts w:eastAsia="Times New Roman"/>
          <w:spacing w:val="-1"/>
          <w:sz w:val="18"/>
          <w:szCs w:val="18"/>
        </w:rPr>
        <w:t> </w:t>
      </w:r>
      <w:r w:rsidRPr="00DD7D5B">
        <w:rPr>
          <w:rFonts w:eastAsia="Times New Roman"/>
          <w:spacing w:val="-1"/>
          <w:sz w:val="18"/>
          <w:szCs w:val="18"/>
        </w:rPr>
        <w:t>mm doit être assuré tout autour de la source lumineuse pour la convection ; on peut négliger l’interface du connecteur.</w:t>
      </w:r>
    </w:p>
    <w:p w:rsidR="006C50FF" w:rsidRPr="00DD7D5B" w:rsidRDefault="006C50FF" w:rsidP="00B477A1">
      <w:pPr>
        <w:widowControl w:val="0"/>
        <w:kinsoku/>
        <w:overflowPunct/>
        <w:autoSpaceDE/>
        <w:autoSpaceDN/>
        <w:adjustRightInd/>
        <w:snapToGrid/>
        <w:spacing w:line="220" w:lineRule="atLeast"/>
        <w:ind w:left="284" w:hanging="284"/>
        <w:rPr>
          <w:rFonts w:eastAsia="Times New Roman"/>
          <w:spacing w:val="-1"/>
          <w:sz w:val="18"/>
          <w:szCs w:val="18"/>
        </w:rPr>
      </w:pPr>
      <w:r w:rsidRPr="00DD7D5B">
        <w:rPr>
          <w:rFonts w:eastAsia="Times New Roman"/>
          <w:sz w:val="18"/>
          <w:szCs w:val="18"/>
          <w:vertAlign w:val="superscript"/>
        </w:rPr>
        <w:t>5</w:t>
      </w:r>
      <w:r w:rsidR="00B477A1" w:rsidRPr="00350835">
        <w:rPr>
          <w:rFonts w:eastAsia="Times New Roman"/>
          <w:sz w:val="18"/>
          <w:szCs w:val="18"/>
        </w:rPr>
        <w:tab/>
      </w:r>
      <w:r w:rsidRPr="00DD7D5B">
        <w:rPr>
          <w:rFonts w:eastAsia="Times New Roman"/>
          <w:spacing w:val="-1"/>
          <w:sz w:val="18"/>
          <w:szCs w:val="18"/>
        </w:rPr>
        <w:t>La lumière émise doit être blanche.</w:t>
      </w:r>
    </w:p>
    <w:p w:rsidR="006C50FF" w:rsidRPr="00DD7D5B" w:rsidRDefault="006C50FF" w:rsidP="00B477A1">
      <w:pPr>
        <w:widowControl w:val="0"/>
        <w:kinsoku/>
        <w:overflowPunct/>
        <w:autoSpaceDE/>
        <w:autoSpaceDN/>
        <w:adjustRightInd/>
        <w:snapToGrid/>
        <w:spacing w:line="220" w:lineRule="atLeast"/>
        <w:ind w:left="284" w:hanging="284"/>
        <w:rPr>
          <w:rFonts w:eastAsia="Times New Roman"/>
          <w:spacing w:val="-1"/>
          <w:sz w:val="18"/>
          <w:szCs w:val="18"/>
        </w:rPr>
      </w:pPr>
      <w:r w:rsidRPr="00DD7D5B">
        <w:rPr>
          <w:rFonts w:eastAsia="Times New Roman"/>
          <w:sz w:val="18"/>
          <w:szCs w:val="18"/>
          <w:vertAlign w:val="superscript"/>
        </w:rPr>
        <w:t>6</w:t>
      </w:r>
      <w:r w:rsidR="00B477A1" w:rsidRPr="00350835">
        <w:rPr>
          <w:rFonts w:eastAsia="Times New Roman"/>
          <w:sz w:val="18"/>
          <w:szCs w:val="18"/>
        </w:rPr>
        <w:tab/>
      </w:r>
      <w:r w:rsidRPr="00DD7D5B">
        <w:rPr>
          <w:rFonts w:eastAsia="Times New Roman"/>
          <w:spacing w:val="-1"/>
          <w:sz w:val="18"/>
          <w:szCs w:val="18"/>
        </w:rPr>
        <w:t>Après fonctionnement en continu pendant 30</w:t>
      </w:r>
      <w:r w:rsidR="00B477A1">
        <w:rPr>
          <w:rFonts w:eastAsia="Times New Roman"/>
          <w:spacing w:val="-1"/>
          <w:sz w:val="18"/>
          <w:szCs w:val="18"/>
        </w:rPr>
        <w:t> </w:t>
      </w:r>
      <w:r w:rsidRPr="00DD7D5B">
        <w:rPr>
          <w:rFonts w:eastAsia="Times New Roman"/>
          <w:spacing w:val="-1"/>
          <w:sz w:val="18"/>
          <w:szCs w:val="18"/>
        </w:rPr>
        <w:t xml:space="preserve">min à 23 </w:t>
      </w:r>
      <w:r w:rsidR="00B477A1">
        <w:rPr>
          <w:rFonts w:eastAsia="Times New Roman"/>
          <w:spacing w:val="-1"/>
          <w:sz w:val="18"/>
          <w:szCs w:val="18"/>
        </w:rPr>
        <w:sym w:font="Symbol" w:char="F0B1"/>
      </w:r>
      <w:r w:rsidRPr="00DD7D5B">
        <w:rPr>
          <w:rFonts w:eastAsia="Times New Roman"/>
          <w:spacing w:val="-1"/>
          <w:sz w:val="18"/>
          <w:szCs w:val="18"/>
        </w:rPr>
        <w:t>2,5 °C</w:t>
      </w:r>
      <w:r w:rsidRPr="00DD7D5B">
        <w:rPr>
          <w:rFonts w:eastAsia="Times New Roman"/>
          <w:sz w:val="18"/>
          <w:szCs w:val="18"/>
        </w:rPr>
        <w:t>.</w:t>
      </w:r>
    </w:p>
    <w:p w:rsidR="006C50FF" w:rsidRPr="00DD7D5B" w:rsidRDefault="006C50FF" w:rsidP="00B477A1">
      <w:pPr>
        <w:widowControl w:val="0"/>
        <w:kinsoku/>
        <w:overflowPunct/>
        <w:autoSpaceDE/>
        <w:autoSpaceDN/>
        <w:adjustRightInd/>
        <w:snapToGrid/>
        <w:spacing w:line="220" w:lineRule="atLeast"/>
        <w:ind w:left="284" w:hanging="284"/>
        <w:rPr>
          <w:rFonts w:eastAsia="Times New Roman"/>
          <w:sz w:val="18"/>
          <w:szCs w:val="18"/>
        </w:rPr>
      </w:pPr>
      <w:r w:rsidRPr="00DD7D5B">
        <w:rPr>
          <w:rFonts w:eastAsia="Times New Roman"/>
          <w:sz w:val="18"/>
          <w:szCs w:val="18"/>
          <w:vertAlign w:val="superscript"/>
        </w:rPr>
        <w:t>7</w:t>
      </w:r>
      <w:r w:rsidR="00B477A1" w:rsidRPr="00350835">
        <w:rPr>
          <w:rFonts w:eastAsia="Times New Roman"/>
          <w:sz w:val="18"/>
          <w:szCs w:val="18"/>
        </w:rPr>
        <w:tab/>
      </w:r>
      <w:r w:rsidRPr="00DD7D5B">
        <w:rPr>
          <w:rFonts w:eastAsia="Times New Roman"/>
          <w:sz w:val="18"/>
          <w:szCs w:val="18"/>
        </w:rPr>
        <w:t>La valeur mesurée doit se situer entre 100 et 90</w:t>
      </w:r>
      <w:r w:rsidR="00B477A1">
        <w:rPr>
          <w:rFonts w:eastAsia="Times New Roman"/>
          <w:sz w:val="18"/>
          <w:szCs w:val="18"/>
        </w:rPr>
        <w:t> </w:t>
      </w:r>
      <w:r w:rsidRPr="00DD7D5B">
        <w:rPr>
          <w:rFonts w:eastAsia="Times New Roman"/>
          <w:sz w:val="18"/>
          <w:szCs w:val="18"/>
        </w:rPr>
        <w:t>% de la valeur mesurée après 1</w:t>
      </w:r>
      <w:r w:rsidR="00B477A1">
        <w:rPr>
          <w:rFonts w:eastAsia="Times New Roman"/>
          <w:sz w:val="18"/>
          <w:szCs w:val="18"/>
        </w:rPr>
        <w:t> </w:t>
      </w:r>
      <w:r w:rsidRPr="00DD7D5B">
        <w:rPr>
          <w:rFonts w:eastAsia="Times New Roman"/>
          <w:sz w:val="18"/>
          <w:szCs w:val="18"/>
        </w:rPr>
        <w:t>min.</w:t>
      </w:r>
    </w:p>
    <w:p w:rsidR="006C50FF" w:rsidRPr="00DD7D5B" w:rsidRDefault="006C50FF" w:rsidP="00350835">
      <w:pPr>
        <w:keepLines/>
        <w:widowControl w:val="0"/>
        <w:kinsoku/>
        <w:overflowPunct/>
        <w:autoSpaceDE/>
        <w:autoSpaceDN/>
        <w:adjustRightInd/>
        <w:snapToGrid/>
        <w:spacing w:line="220" w:lineRule="atLeast"/>
        <w:ind w:left="284" w:hanging="284"/>
        <w:rPr>
          <w:rFonts w:eastAsia="Times New Roman"/>
          <w:sz w:val="18"/>
          <w:szCs w:val="18"/>
        </w:rPr>
      </w:pPr>
      <w:r w:rsidRPr="00DD7D5B">
        <w:rPr>
          <w:rFonts w:eastAsia="Times New Roman"/>
          <w:sz w:val="18"/>
          <w:szCs w:val="18"/>
          <w:vertAlign w:val="superscript"/>
        </w:rPr>
        <w:lastRenderedPageBreak/>
        <w:t>8</w:t>
      </w:r>
      <w:r w:rsidR="00B477A1" w:rsidRPr="00350835">
        <w:rPr>
          <w:rFonts w:eastAsia="Times New Roman"/>
          <w:sz w:val="18"/>
          <w:szCs w:val="18"/>
        </w:rPr>
        <w:tab/>
      </w:r>
      <w:r w:rsidRPr="00DD7D5B">
        <w:rPr>
          <w:rFonts w:eastAsia="Times New Roman"/>
          <w:sz w:val="18"/>
          <w:szCs w:val="18"/>
        </w:rPr>
        <w:t>La source lumineuse doit être tournée dans la douille de mesure jusqu’à ce que la languette de référence entre en contact avec le plan tel qu’il est défini à l’aide de la dimension h pour la douille de mesure.</w:t>
      </w:r>
    </w:p>
    <w:p w:rsidR="006C50FF" w:rsidRPr="00DD7D5B" w:rsidRDefault="006C50FF" w:rsidP="00B477A1">
      <w:pPr>
        <w:widowControl w:val="0"/>
        <w:tabs>
          <w:tab w:val="left" w:pos="1005"/>
        </w:tabs>
        <w:kinsoku/>
        <w:overflowPunct/>
        <w:autoSpaceDE/>
        <w:autoSpaceDN/>
        <w:adjustRightInd/>
        <w:snapToGrid/>
        <w:spacing w:line="220" w:lineRule="atLeast"/>
        <w:ind w:left="284" w:hanging="284"/>
        <w:rPr>
          <w:rFonts w:eastAsia="Times New Roman"/>
          <w:sz w:val="18"/>
          <w:szCs w:val="18"/>
        </w:rPr>
      </w:pPr>
      <w:r w:rsidRPr="00DD7D5B">
        <w:rPr>
          <w:rFonts w:eastAsia="Times New Roman"/>
          <w:sz w:val="18"/>
          <w:szCs w:val="18"/>
          <w:vertAlign w:val="superscript"/>
        </w:rPr>
        <w:t>9</w:t>
      </w:r>
      <w:r w:rsidR="00B477A1" w:rsidRPr="00350835">
        <w:rPr>
          <w:rFonts w:eastAsia="Times New Roman"/>
          <w:sz w:val="18"/>
          <w:szCs w:val="18"/>
        </w:rPr>
        <w:tab/>
      </w:r>
      <w:r w:rsidRPr="00DD7D5B">
        <w:rPr>
          <w:rFonts w:eastAsia="Times New Roman"/>
          <w:sz w:val="18"/>
          <w:szCs w:val="18"/>
        </w:rPr>
        <w:t>La zone délimitée par les dimensions c, k et m définit l’encombrement maximal lié au système de référence.</w:t>
      </w:r>
    </w:p>
    <w:p w:rsidR="006C50FF" w:rsidRPr="00DD7D5B" w:rsidRDefault="006C50FF" w:rsidP="00B477A1">
      <w:pPr>
        <w:widowControl w:val="0"/>
        <w:tabs>
          <w:tab w:val="left" w:pos="1005"/>
        </w:tabs>
        <w:kinsoku/>
        <w:overflowPunct/>
        <w:autoSpaceDE/>
        <w:autoSpaceDN/>
        <w:adjustRightInd/>
        <w:snapToGrid/>
        <w:spacing w:line="220" w:lineRule="atLeast"/>
        <w:ind w:left="284" w:hanging="284"/>
        <w:rPr>
          <w:rFonts w:eastAsia="Times New Roman"/>
          <w:sz w:val="18"/>
          <w:szCs w:val="18"/>
        </w:rPr>
      </w:pPr>
      <w:r w:rsidRPr="00DD7D5B">
        <w:rPr>
          <w:rFonts w:eastAsia="Times New Roman"/>
          <w:sz w:val="18"/>
          <w:szCs w:val="18"/>
          <w:vertAlign w:val="superscript"/>
        </w:rPr>
        <w:t>10</w:t>
      </w:r>
      <w:r w:rsidR="00B477A1" w:rsidRPr="00350835">
        <w:rPr>
          <w:rFonts w:eastAsia="Times New Roman"/>
          <w:sz w:val="18"/>
          <w:szCs w:val="18"/>
        </w:rPr>
        <w:tab/>
      </w:r>
      <w:r w:rsidRPr="00DD7D5B">
        <w:rPr>
          <w:rFonts w:eastAsia="Times New Roman"/>
          <w:sz w:val="18"/>
          <w:szCs w:val="18"/>
        </w:rPr>
        <w:t>La source lumineuse à DEL L1A/6 doit être montée avec le culot en angle droit et la source lumineuse à DEL L1B/6 avec le culot axial.</w:t>
      </w:r>
    </w:p>
    <w:p w:rsidR="006C50FF" w:rsidRPr="00DD7D5B" w:rsidRDefault="006C50FF" w:rsidP="00B477A1">
      <w:pPr>
        <w:widowControl w:val="0"/>
        <w:tabs>
          <w:tab w:val="left" w:pos="1005"/>
        </w:tabs>
        <w:kinsoku/>
        <w:overflowPunct/>
        <w:autoSpaceDE/>
        <w:autoSpaceDN/>
        <w:adjustRightInd/>
        <w:snapToGrid/>
        <w:spacing w:line="220" w:lineRule="atLeast"/>
        <w:ind w:left="284" w:hanging="284"/>
        <w:rPr>
          <w:rFonts w:eastAsia="Times New Roman"/>
          <w:b/>
          <w:sz w:val="18"/>
          <w:szCs w:val="18"/>
        </w:rPr>
      </w:pPr>
      <w:r w:rsidRPr="00DD7D5B">
        <w:rPr>
          <w:rFonts w:eastAsia="Times New Roman"/>
          <w:b/>
          <w:sz w:val="18"/>
          <w:szCs w:val="18"/>
          <w:vertAlign w:val="superscript"/>
        </w:rPr>
        <w:t>11</w:t>
      </w:r>
      <w:r w:rsidR="00B477A1">
        <w:rPr>
          <w:rFonts w:eastAsia="Times New Roman"/>
          <w:b/>
          <w:sz w:val="18"/>
          <w:szCs w:val="18"/>
          <w:vertAlign w:val="superscript"/>
        </w:rPr>
        <w:tab/>
      </w:r>
      <w:r w:rsidRPr="00DD7D5B">
        <w:rPr>
          <w:rFonts w:eastAsia="Times New Roman"/>
          <w:b/>
          <w:sz w:val="18"/>
          <w:szCs w:val="18"/>
        </w:rPr>
        <w:t>Déterminé suivant l’annexe</w:t>
      </w:r>
      <w:r w:rsidR="00B477A1">
        <w:rPr>
          <w:rFonts w:eastAsia="Times New Roman"/>
          <w:b/>
          <w:sz w:val="18"/>
          <w:szCs w:val="18"/>
        </w:rPr>
        <w:t xml:space="preserve"> L</w:t>
      </w:r>
      <w:r w:rsidRPr="00DD7D5B">
        <w:rPr>
          <w:rFonts w:eastAsia="Times New Roman"/>
          <w:b/>
          <w:sz w:val="18"/>
          <w:szCs w:val="18"/>
        </w:rPr>
        <w:t xml:space="preserve"> de la </w:t>
      </w:r>
      <w:r w:rsidR="00B477A1">
        <w:rPr>
          <w:rFonts w:eastAsia="Times New Roman"/>
          <w:b/>
          <w:sz w:val="18"/>
          <w:szCs w:val="18"/>
        </w:rPr>
        <w:t xml:space="preserve">quatrième </w:t>
      </w:r>
      <w:r w:rsidRPr="00DD7D5B">
        <w:rPr>
          <w:rFonts w:eastAsia="Times New Roman"/>
          <w:b/>
          <w:sz w:val="18"/>
          <w:szCs w:val="18"/>
        </w:rPr>
        <w:t>édition de la publication 60809 de la CEI.</w:t>
      </w:r>
    </w:p>
    <w:p w:rsidR="00B477A1" w:rsidRDefault="006C50FF" w:rsidP="00B477A1">
      <w:pPr>
        <w:widowControl w:val="0"/>
        <w:kinsoku/>
        <w:overflowPunct/>
        <w:autoSpaceDE/>
        <w:autoSpaceDN/>
        <w:adjustRightInd/>
        <w:snapToGrid/>
        <w:ind w:left="284"/>
        <w:outlineLvl w:val="1"/>
        <w:rPr>
          <w:rFonts w:eastAsia="Times New Roman"/>
          <w:b/>
          <w:bCs/>
          <w:spacing w:val="-1"/>
          <w:sz w:val="18"/>
          <w:szCs w:val="18"/>
        </w:rPr>
      </w:pPr>
      <w:r w:rsidRPr="00DD7D5B">
        <w:rPr>
          <w:rFonts w:eastAsia="Times New Roman"/>
          <w:b/>
          <w:bCs/>
          <w:spacing w:val="-1"/>
          <w:sz w:val="18"/>
          <w:szCs w:val="18"/>
        </w:rPr>
        <w:t>Caractéristiques électriques et comportement en cas de défaillance :</w:t>
      </w:r>
    </w:p>
    <w:p w:rsidR="006C50FF" w:rsidRPr="00DD7D5B" w:rsidRDefault="006C50FF" w:rsidP="00B477A1">
      <w:pPr>
        <w:widowControl w:val="0"/>
        <w:kinsoku/>
        <w:overflowPunct/>
        <w:autoSpaceDE/>
        <w:autoSpaceDN/>
        <w:adjustRightInd/>
        <w:snapToGrid/>
        <w:ind w:left="284"/>
        <w:outlineLvl w:val="1"/>
        <w:rPr>
          <w:rFonts w:eastAsia="Times New Roman"/>
          <w:spacing w:val="-1"/>
          <w:sz w:val="18"/>
          <w:szCs w:val="18"/>
        </w:rPr>
      </w:pPr>
      <w:r w:rsidRPr="00DD7D5B">
        <w:rPr>
          <w:rFonts w:eastAsia="Times New Roman"/>
          <w:spacing w:val="-1"/>
          <w:sz w:val="18"/>
          <w:szCs w:val="18"/>
        </w:rPr>
        <w:t>En cas de défaillance de la source lumineuse à DEL (aucune émission de lumière), l’intensité maximale d’alimentation, lorsque la source fonctionne à une tension comprise entre 12 et 14</w:t>
      </w:r>
      <w:r w:rsidR="00B477A1">
        <w:rPr>
          <w:rFonts w:eastAsia="Times New Roman"/>
          <w:spacing w:val="-1"/>
          <w:sz w:val="18"/>
          <w:szCs w:val="18"/>
        </w:rPr>
        <w:t> </w:t>
      </w:r>
      <w:r w:rsidRPr="00DD7D5B">
        <w:rPr>
          <w:rFonts w:eastAsia="Times New Roman"/>
          <w:spacing w:val="-1"/>
          <w:sz w:val="18"/>
          <w:szCs w:val="18"/>
        </w:rPr>
        <w:t>V, doit être inférieure à 20</w:t>
      </w:r>
      <w:r w:rsidR="00B477A1">
        <w:rPr>
          <w:rFonts w:eastAsia="Times New Roman"/>
          <w:spacing w:val="-1"/>
          <w:sz w:val="18"/>
          <w:szCs w:val="18"/>
        </w:rPr>
        <w:t> </w:t>
      </w:r>
      <w:r w:rsidRPr="00DD7D5B">
        <w:rPr>
          <w:rFonts w:eastAsia="Times New Roman"/>
          <w:spacing w:val="-1"/>
          <w:sz w:val="18"/>
          <w:szCs w:val="18"/>
        </w:rPr>
        <w:t>mA (circuit ouvert).</w:t>
      </w:r>
      <w:r w:rsidRPr="00DD7D5B">
        <w:rPr>
          <w:rFonts w:eastAsia="Times New Roman"/>
        </w:rPr>
        <w:t> ».</w:t>
      </w:r>
    </w:p>
    <w:p w:rsidR="006C50FF" w:rsidRPr="00DD7D5B" w:rsidRDefault="006C50FF" w:rsidP="00B477A1">
      <w:pPr>
        <w:pStyle w:val="HChG"/>
      </w:pPr>
      <w:r w:rsidRPr="00DD7D5B">
        <w:tab/>
        <w:t>II.</w:t>
      </w:r>
      <w:r w:rsidRPr="00DD7D5B">
        <w:tab/>
        <w:t>Justification</w:t>
      </w:r>
    </w:p>
    <w:p w:rsidR="006C50FF" w:rsidRPr="00DD7D5B" w:rsidRDefault="006C50FF" w:rsidP="006C50FF">
      <w:pPr>
        <w:pStyle w:val="SingleTxtG"/>
      </w:pPr>
      <w:r w:rsidRPr="00DD7D5B">
        <w:rPr>
          <w:lang w:eastAsia="it-IT"/>
        </w:rPr>
        <w:t>1.</w:t>
      </w:r>
      <w:r w:rsidRPr="00DD7D5B">
        <w:rPr>
          <w:lang w:eastAsia="it-IT"/>
        </w:rPr>
        <w:tab/>
      </w:r>
      <w:r w:rsidRPr="00DD7D5B">
        <w:rPr>
          <w:lang w:eastAsia="it-IT"/>
        </w:rPr>
        <w:t>La présente proposition est liée à une autre proposition d’amendement au Règlement n</w:t>
      </w:r>
      <w:r w:rsidRPr="00DD7D5B">
        <w:rPr>
          <w:vertAlign w:val="superscript"/>
          <w:lang w:eastAsia="it-IT"/>
        </w:rPr>
        <w:t>o</w:t>
      </w:r>
      <w:r w:rsidRPr="00DD7D5B">
        <w:rPr>
          <w:lang w:eastAsia="it-IT"/>
        </w:rPr>
        <w:t> 128 concernant les sources</w:t>
      </w:r>
      <w:r w:rsidRPr="00DD7D5B">
        <w:t xml:space="preserve"> </w:t>
      </w:r>
      <w:r w:rsidRPr="00DD7D5B">
        <w:rPr>
          <w:lang w:eastAsia="it-IT"/>
        </w:rPr>
        <w:t>lumineuses d’éclairage avant à DEL.</w:t>
      </w:r>
    </w:p>
    <w:p w:rsidR="006C50FF" w:rsidRPr="00DD7D5B" w:rsidRDefault="006C50FF" w:rsidP="006C50FF">
      <w:pPr>
        <w:pStyle w:val="SingleTxtG"/>
        <w:rPr>
          <w:bCs/>
        </w:rPr>
      </w:pPr>
      <w:r w:rsidRPr="00DD7D5B">
        <w:t>2.</w:t>
      </w:r>
      <w:r w:rsidRPr="00DD7D5B">
        <w:tab/>
      </w:r>
      <w:r w:rsidRPr="00DD7D5B">
        <w:t>Dans le document ECE/TRANS/WP.29/GRE/2019/15, le GTB propose d’ajouter une autre prescription, plus directe, concernant le gradient minimal de luminance du côté de la ligne de coupure de la zone d’émission de la lumière. Il convient donc de modifier la feuille concernée pour les catégories de sources lumineuses L1A/6 et L1B/6, en ajoutant les valeurs minimales prescrites pour le gradient de luminance.</w:t>
      </w:r>
    </w:p>
    <w:p w:rsidR="006C50FF" w:rsidRPr="00DD7D5B" w:rsidRDefault="006C50FF" w:rsidP="006C50FF">
      <w:pPr>
        <w:pStyle w:val="SingleTxtG"/>
      </w:pPr>
      <w:r w:rsidRPr="00DD7D5B">
        <w:t>3.</w:t>
      </w:r>
      <w:r w:rsidRPr="00DD7D5B">
        <w:tab/>
      </w:r>
      <w:r w:rsidRPr="00DD7D5B">
        <w:t>Le GTB propose d’ajouter, dans l</w:t>
      </w:r>
      <w:bookmarkStart w:id="1" w:name="_GoBack"/>
      <w:bookmarkEnd w:id="1"/>
      <w:r w:rsidRPr="00DD7D5B">
        <w:t>e tableau de la feuille L1/</w:t>
      </w:r>
      <w:r w:rsidRPr="00DD7D5B">
        <w:sym w:font="WP TypographicSymbols" w:char="F032"/>
      </w:r>
      <w:r w:rsidRPr="00DD7D5B">
        <w:t>, des valeurs minimales pour le gradient de luminance, ainsi que la note de bas de page 11 qui y est associée.</w:t>
      </w:r>
    </w:p>
    <w:p w:rsidR="006C50FF" w:rsidRPr="00B477A1" w:rsidRDefault="00B477A1" w:rsidP="00B477A1">
      <w:pPr>
        <w:pStyle w:val="SingleTxtG"/>
        <w:spacing w:before="240" w:after="0"/>
        <w:jc w:val="center"/>
        <w:rPr>
          <w:u w:val="single"/>
        </w:rPr>
      </w:pPr>
      <w:r>
        <w:rPr>
          <w:u w:val="single"/>
        </w:rPr>
        <w:tab/>
      </w:r>
      <w:r>
        <w:rPr>
          <w:u w:val="single"/>
        </w:rPr>
        <w:tab/>
      </w:r>
      <w:r>
        <w:rPr>
          <w:u w:val="single"/>
        </w:rPr>
        <w:tab/>
      </w:r>
    </w:p>
    <w:sectPr w:rsidR="006C50FF" w:rsidRPr="00B477A1" w:rsidSect="008D78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E47" w:rsidRDefault="00DD6E47" w:rsidP="00F95C08">
      <w:pPr>
        <w:spacing w:line="240" w:lineRule="auto"/>
      </w:pPr>
    </w:p>
  </w:endnote>
  <w:endnote w:type="continuationSeparator" w:id="0">
    <w:p w:rsidR="00DD6E47" w:rsidRPr="00AC3823" w:rsidRDefault="00DD6E47" w:rsidP="00AC3823">
      <w:pPr>
        <w:pStyle w:val="Pieddepage"/>
      </w:pPr>
    </w:p>
  </w:endnote>
  <w:endnote w:type="continuationNotice" w:id="1">
    <w:p w:rsidR="00DD6E47" w:rsidRDefault="00DD6E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WP TypographicSymbols">
    <w:altName w:val="Symbol"/>
    <w:charset w:val="02"/>
    <w:family w:val="auto"/>
    <w:pitch w:val="variable"/>
    <w:sig w:usb0="00000000" w:usb1="10000000" w:usb2="00000000" w:usb3="00000000" w:csb0="8000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846" w:rsidRPr="008D7846" w:rsidRDefault="008D7846" w:rsidP="008D7846">
    <w:pPr>
      <w:pStyle w:val="Pieddepage"/>
      <w:tabs>
        <w:tab w:val="right" w:pos="9638"/>
      </w:tabs>
    </w:pPr>
    <w:r w:rsidRPr="008D7846">
      <w:rPr>
        <w:b/>
        <w:sz w:val="18"/>
      </w:rPr>
      <w:fldChar w:fldCharType="begin"/>
    </w:r>
    <w:r w:rsidRPr="008D7846">
      <w:rPr>
        <w:b/>
        <w:sz w:val="18"/>
      </w:rPr>
      <w:instrText xml:space="preserve"> PAGE  \* MERGEFORMAT </w:instrText>
    </w:r>
    <w:r w:rsidRPr="008D7846">
      <w:rPr>
        <w:b/>
        <w:sz w:val="18"/>
      </w:rPr>
      <w:fldChar w:fldCharType="separate"/>
    </w:r>
    <w:r w:rsidRPr="008D7846">
      <w:rPr>
        <w:b/>
        <w:noProof/>
        <w:sz w:val="18"/>
      </w:rPr>
      <w:t>2</w:t>
    </w:r>
    <w:r w:rsidRPr="008D7846">
      <w:rPr>
        <w:b/>
        <w:sz w:val="18"/>
      </w:rPr>
      <w:fldChar w:fldCharType="end"/>
    </w:r>
    <w:r>
      <w:rPr>
        <w:b/>
        <w:sz w:val="18"/>
      </w:rPr>
      <w:tab/>
    </w:r>
    <w:r>
      <w:t>GE.19-13433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846" w:rsidRPr="008D7846" w:rsidRDefault="008D7846" w:rsidP="008D7846">
    <w:pPr>
      <w:pStyle w:val="Pieddepage"/>
      <w:tabs>
        <w:tab w:val="right" w:pos="9638"/>
      </w:tabs>
      <w:rPr>
        <w:b/>
        <w:sz w:val="18"/>
      </w:rPr>
    </w:pPr>
    <w:r>
      <w:t>GE.19-13433</w:t>
    </w:r>
    <w:r>
      <w:tab/>
    </w:r>
    <w:r w:rsidRPr="008D7846">
      <w:rPr>
        <w:b/>
        <w:sz w:val="18"/>
      </w:rPr>
      <w:fldChar w:fldCharType="begin"/>
    </w:r>
    <w:r w:rsidRPr="008D7846">
      <w:rPr>
        <w:b/>
        <w:sz w:val="18"/>
      </w:rPr>
      <w:instrText xml:space="preserve"> PAGE  \* MERGEFORMAT </w:instrText>
    </w:r>
    <w:r w:rsidRPr="008D7846">
      <w:rPr>
        <w:b/>
        <w:sz w:val="18"/>
      </w:rPr>
      <w:fldChar w:fldCharType="separate"/>
    </w:r>
    <w:r w:rsidRPr="008D7846">
      <w:rPr>
        <w:b/>
        <w:noProof/>
        <w:sz w:val="18"/>
      </w:rPr>
      <w:t>3</w:t>
    </w:r>
    <w:r w:rsidRPr="008D78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D7846" w:rsidRDefault="008D7846" w:rsidP="008D7846">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19-13433  (F)    210819    030919</w:t>
    </w:r>
    <w:r>
      <w:rPr>
        <w:sz w:val="20"/>
      </w:rPr>
      <w:br/>
    </w:r>
    <w:r w:rsidRPr="008D7846">
      <w:rPr>
        <w:rFonts w:ascii="C39T30Lfz" w:hAnsi="C39T30Lfz"/>
        <w:sz w:val="56"/>
      </w:rPr>
      <w:t></w:t>
    </w:r>
    <w:r w:rsidRPr="008D7846">
      <w:rPr>
        <w:rFonts w:ascii="C39T30Lfz" w:hAnsi="C39T30Lfz"/>
        <w:sz w:val="56"/>
      </w:rPr>
      <w:t></w:t>
    </w:r>
    <w:r w:rsidRPr="008D7846">
      <w:rPr>
        <w:rFonts w:ascii="C39T30Lfz" w:hAnsi="C39T30Lfz"/>
        <w:sz w:val="56"/>
      </w:rPr>
      <w:t></w:t>
    </w:r>
    <w:r w:rsidRPr="008D7846">
      <w:rPr>
        <w:rFonts w:ascii="C39T30Lfz" w:hAnsi="C39T30Lfz"/>
        <w:sz w:val="56"/>
      </w:rPr>
      <w:t></w:t>
    </w:r>
    <w:r w:rsidRPr="008D7846">
      <w:rPr>
        <w:rFonts w:ascii="C39T30Lfz" w:hAnsi="C39T30Lfz"/>
        <w:sz w:val="56"/>
      </w:rPr>
      <w:t></w:t>
    </w:r>
    <w:r w:rsidRPr="008D7846">
      <w:rPr>
        <w:rFonts w:ascii="C39T30Lfz" w:hAnsi="C39T30Lfz"/>
        <w:sz w:val="56"/>
      </w:rPr>
      <w:t></w:t>
    </w:r>
    <w:r w:rsidRPr="008D7846">
      <w:rPr>
        <w:rFonts w:ascii="C39T30Lfz" w:hAnsi="C39T30Lfz"/>
        <w:sz w:val="56"/>
      </w:rPr>
      <w:t></w:t>
    </w:r>
    <w:r w:rsidRPr="008D7846">
      <w:rPr>
        <w:rFonts w:ascii="C39T30Lfz" w:hAnsi="C39T30Lfz"/>
        <w:sz w:val="56"/>
      </w:rPr>
      <w:t></w:t>
    </w:r>
    <w:r w:rsidRPr="008D784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E47" w:rsidRPr="00AC3823" w:rsidRDefault="00DD6E47" w:rsidP="00AC3823">
      <w:pPr>
        <w:pStyle w:val="Pieddepage"/>
        <w:tabs>
          <w:tab w:val="right" w:pos="2155"/>
        </w:tabs>
        <w:spacing w:after="80" w:line="240" w:lineRule="atLeast"/>
        <w:ind w:left="680"/>
        <w:rPr>
          <w:u w:val="single"/>
        </w:rPr>
      </w:pPr>
      <w:r>
        <w:rPr>
          <w:u w:val="single"/>
        </w:rPr>
        <w:tab/>
      </w:r>
    </w:p>
  </w:footnote>
  <w:footnote w:type="continuationSeparator" w:id="0">
    <w:p w:rsidR="00DD6E47" w:rsidRPr="00AC3823" w:rsidRDefault="00DD6E47" w:rsidP="00AC3823">
      <w:pPr>
        <w:pStyle w:val="Pieddepage"/>
        <w:tabs>
          <w:tab w:val="right" w:pos="2155"/>
        </w:tabs>
        <w:spacing w:after="80" w:line="240" w:lineRule="atLeast"/>
        <w:ind w:left="680"/>
        <w:rPr>
          <w:u w:val="single"/>
        </w:rPr>
      </w:pPr>
      <w:r>
        <w:rPr>
          <w:u w:val="single"/>
        </w:rPr>
        <w:tab/>
      </w:r>
    </w:p>
  </w:footnote>
  <w:footnote w:type="continuationNotice" w:id="1">
    <w:p w:rsidR="00DD6E47" w:rsidRPr="00AC3823" w:rsidRDefault="00DD6E47">
      <w:pPr>
        <w:spacing w:line="240" w:lineRule="auto"/>
        <w:rPr>
          <w:sz w:val="2"/>
          <w:szCs w:val="2"/>
        </w:rPr>
      </w:pPr>
    </w:p>
  </w:footnote>
  <w:footnote w:id="2">
    <w:p w:rsidR="006C50FF" w:rsidRPr="00706101" w:rsidRDefault="006C50FF" w:rsidP="006C50FF">
      <w:pPr>
        <w:pStyle w:val="Notedebasdepage"/>
      </w:pPr>
      <w:r w:rsidRPr="00A90EA8">
        <w:tab/>
      </w:r>
      <w:r w:rsidRPr="00AB22A8">
        <w:rPr>
          <w:sz w:val="20"/>
          <w:lang w:val="fr-FR"/>
        </w:rPr>
        <w:t>*</w:t>
      </w:r>
      <w:r w:rsidRPr="00AB22A8">
        <w:rPr>
          <w:sz w:val="20"/>
          <w:lang w:val="fr-FR"/>
        </w:rPr>
        <w:tab/>
      </w:r>
      <w:r w:rsidRPr="00DD7D5B">
        <w:rPr>
          <w:spacing w:val="-2"/>
          <w:lang w:val="fr-FR"/>
        </w:rPr>
        <w:t>Conformément au programme de travail du Comité des transports intérieurs pour la période 2018-2019</w:t>
      </w:r>
      <w:r w:rsidRPr="00AB22A8">
        <w:rPr>
          <w:lang w:val="fr-FR"/>
        </w:rPr>
        <w:t xml:space="preserve"> (ECE/TRANS/274, par.</w:t>
      </w:r>
      <w:r w:rsidR="00DD7D5B">
        <w:rPr>
          <w:lang w:val="fr-FR"/>
        </w:rPr>
        <w:t> </w:t>
      </w:r>
      <w:r w:rsidRPr="00AB22A8">
        <w:rPr>
          <w:lang w:val="fr-FR"/>
        </w:rPr>
        <w:t>123, et ECE/TRANS/2018/21/Add.1, module 3.1), le Forum mondial a pour mission d</w:t>
      </w:r>
      <w:r w:rsidR="00DD7D5B">
        <w:rPr>
          <w:lang w:val="fr-FR"/>
        </w:rPr>
        <w:t>’</w:t>
      </w:r>
      <w:r w:rsidRPr="00AB22A8">
        <w:rPr>
          <w:lang w:val="fr-FR"/>
        </w:rPr>
        <w:t>élaborer, d</w:t>
      </w:r>
      <w:r w:rsidR="00DD7D5B">
        <w:rPr>
          <w:lang w:val="fr-FR"/>
        </w:rPr>
        <w:t>’</w:t>
      </w:r>
      <w:r w:rsidRPr="00AB22A8">
        <w:rPr>
          <w:lang w:val="fr-FR"/>
        </w:rPr>
        <w:t>harmoniser et de mettre à jour les Règlements ONU en vue d</w:t>
      </w:r>
      <w:r w:rsidR="00DD7D5B">
        <w:rPr>
          <w:lang w:val="fr-FR"/>
        </w:rPr>
        <w:t>’</w:t>
      </w:r>
      <w:r w:rsidRPr="00AB22A8">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846" w:rsidRPr="008D7846" w:rsidRDefault="008D7846">
    <w:pPr>
      <w:pStyle w:val="En-tte"/>
    </w:pPr>
    <w:fldSimple w:instr=" TITLE  \* MERGEFORMAT ">
      <w:r>
        <w:t>ECE/TRANS/WP.29/GRE/2019/16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846" w:rsidRPr="008D7846" w:rsidRDefault="008D7846" w:rsidP="008D7846">
    <w:pPr>
      <w:pStyle w:val="En-tte"/>
      <w:jc w:val="right"/>
    </w:pPr>
    <w:fldSimple w:instr=" TITLE  \* MERGEFORMAT ">
      <w:r>
        <w:t>ECE/TRANS/WP.29/GRE/2019/16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6E47"/>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50835"/>
    <w:rsid w:val="003916DE"/>
    <w:rsid w:val="00421996"/>
    <w:rsid w:val="00441C3B"/>
    <w:rsid w:val="00446FE5"/>
    <w:rsid w:val="00452396"/>
    <w:rsid w:val="004837D8"/>
    <w:rsid w:val="004E2EED"/>
    <w:rsid w:val="004E468C"/>
    <w:rsid w:val="005505B7"/>
    <w:rsid w:val="00573BE5"/>
    <w:rsid w:val="00586ED3"/>
    <w:rsid w:val="00596AA9"/>
    <w:rsid w:val="006C50FF"/>
    <w:rsid w:val="0071601D"/>
    <w:rsid w:val="007A62E6"/>
    <w:rsid w:val="007F20FA"/>
    <w:rsid w:val="0080684C"/>
    <w:rsid w:val="00871C75"/>
    <w:rsid w:val="008776DC"/>
    <w:rsid w:val="008D7846"/>
    <w:rsid w:val="009446C0"/>
    <w:rsid w:val="009705C8"/>
    <w:rsid w:val="009C1CF4"/>
    <w:rsid w:val="009F6B74"/>
    <w:rsid w:val="00A3029F"/>
    <w:rsid w:val="00A30353"/>
    <w:rsid w:val="00AC3823"/>
    <w:rsid w:val="00AE323C"/>
    <w:rsid w:val="00AF0CB5"/>
    <w:rsid w:val="00B00181"/>
    <w:rsid w:val="00B00B0D"/>
    <w:rsid w:val="00B45F2E"/>
    <w:rsid w:val="00B477A1"/>
    <w:rsid w:val="00B765F7"/>
    <w:rsid w:val="00BA0CA9"/>
    <w:rsid w:val="00C02897"/>
    <w:rsid w:val="00C97039"/>
    <w:rsid w:val="00D3439C"/>
    <w:rsid w:val="00DB1831"/>
    <w:rsid w:val="00DD3BFD"/>
    <w:rsid w:val="00DD6E47"/>
    <w:rsid w:val="00DD7D5B"/>
    <w:rsid w:val="00DF6678"/>
    <w:rsid w:val="00E0299A"/>
    <w:rsid w:val="00E54379"/>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940CD8"/>
  <w15:docId w15:val="{FD1B95CD-5D1D-48A6-AFC0-A5064250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TableGrid21">
    <w:name w:val="Table Grid21"/>
    <w:basedOn w:val="TableauNormal"/>
    <w:next w:val="Grilledutableau"/>
    <w:uiPriority w:val="59"/>
    <w:rsid w:val="006C50FF"/>
    <w:pPr>
      <w:widowControl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729</Words>
  <Characters>5109</Characters>
  <Application>Microsoft Office Word</Application>
  <DocSecurity>0</DocSecurity>
  <Lines>425</Lines>
  <Paragraphs>233</Paragraphs>
  <ScaleCrop>false</ScaleCrop>
  <HeadingPairs>
    <vt:vector size="2" baseType="variant">
      <vt:variant>
        <vt:lpstr>Titre</vt:lpstr>
      </vt:variant>
      <vt:variant>
        <vt:i4>1</vt:i4>
      </vt:variant>
    </vt:vector>
  </HeadingPairs>
  <TitlesOfParts>
    <vt:vector size="1" baseType="lpstr">
      <vt:lpstr>ECE/TRANS/WP.29/GRE/2019/16</vt:lpstr>
    </vt:vector>
  </TitlesOfParts>
  <Company>DCM</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ECE/TRANS/WP.29/GRE/2019/16</dc:title>
  <dc:subject/>
  <dc:creator>Nicolas MORIN</dc:creator>
  <cp:keywords/>
  <cp:lastModifiedBy>Nicolas MORIN</cp:lastModifiedBy>
  <cp:revision>2</cp:revision>
  <cp:lastPrinted>2014-05-14T10:59:00Z</cp:lastPrinted>
  <dcterms:created xsi:type="dcterms:W3CDTF">2019-09-03T11:42:00Z</dcterms:created>
  <dcterms:modified xsi:type="dcterms:W3CDTF">2019-09-03T11:42:00Z</dcterms:modified>
</cp:coreProperties>
</file>