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B6100"/>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B6100" w:rsidP="00EB6100">
            <w:pPr>
              <w:jc w:val="right"/>
            </w:pPr>
            <w:r w:rsidRPr="00EB6100">
              <w:rPr>
                <w:sz w:val="40"/>
              </w:rPr>
              <w:t>ECE</w:t>
            </w:r>
            <w:r>
              <w:t>/TRANS/WP.29/GRE/2019/15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B6100" w:rsidP="00C97039">
            <w:pPr>
              <w:spacing w:before="240"/>
            </w:pPr>
            <w:proofErr w:type="spellStart"/>
            <w:r>
              <w:t>Distr</w:t>
            </w:r>
            <w:proofErr w:type="spellEnd"/>
            <w:r>
              <w:t>. générale</w:t>
            </w:r>
          </w:p>
          <w:p w:rsidR="00EB6100" w:rsidRDefault="00EB6100" w:rsidP="00EB6100">
            <w:pPr>
              <w:spacing w:line="240" w:lineRule="exact"/>
            </w:pPr>
            <w:r>
              <w:t>6 août 2019</w:t>
            </w:r>
          </w:p>
          <w:p w:rsidR="00EB6100" w:rsidRDefault="00EB6100" w:rsidP="00EB6100">
            <w:pPr>
              <w:spacing w:line="240" w:lineRule="exact"/>
            </w:pPr>
            <w:r>
              <w:t>Français</w:t>
            </w:r>
          </w:p>
          <w:p w:rsidR="00EB6100" w:rsidRPr="00DB58B5" w:rsidRDefault="00EB6100" w:rsidP="00EB610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B6100" w:rsidRPr="00BF33CF" w:rsidRDefault="00EB6100" w:rsidP="00EB6100">
      <w:pPr>
        <w:spacing w:before="120"/>
        <w:rPr>
          <w:b/>
          <w:sz w:val="24"/>
          <w:szCs w:val="24"/>
        </w:rPr>
      </w:pPr>
      <w:r w:rsidRPr="00BF33CF">
        <w:rPr>
          <w:b/>
          <w:bCs/>
          <w:sz w:val="24"/>
          <w:szCs w:val="24"/>
        </w:rPr>
        <w:t xml:space="preserve">Forum mondial de l’harmonisation des Règlements </w:t>
      </w:r>
      <w:r w:rsidRPr="00BF33CF">
        <w:rPr>
          <w:b/>
          <w:bCs/>
          <w:sz w:val="24"/>
          <w:szCs w:val="24"/>
        </w:rPr>
        <w:br/>
        <w:t>concernant les véhicules</w:t>
      </w:r>
    </w:p>
    <w:p w:rsidR="00EB6100" w:rsidRPr="00BD6837" w:rsidRDefault="00EB6100" w:rsidP="00EB6100">
      <w:pPr>
        <w:spacing w:before="120" w:after="120"/>
        <w:rPr>
          <w:b/>
          <w:bCs/>
        </w:rPr>
      </w:pPr>
      <w:r>
        <w:rPr>
          <w:b/>
          <w:bCs/>
        </w:rPr>
        <w:t>Groupe de travail de l’éclairage et de la signalisation lumineuse</w:t>
      </w:r>
    </w:p>
    <w:p w:rsidR="00EB6100" w:rsidRPr="00BD6837" w:rsidRDefault="00EB6100" w:rsidP="00EB6100">
      <w:pPr>
        <w:ind w:right="1134"/>
        <w:rPr>
          <w:b/>
        </w:rPr>
      </w:pPr>
      <w:r>
        <w:rPr>
          <w:b/>
          <w:bCs/>
        </w:rPr>
        <w:t>Quatre-vingt-deuxième session</w:t>
      </w:r>
    </w:p>
    <w:p w:rsidR="00EB6100" w:rsidRPr="00BD6837" w:rsidRDefault="00EB6100" w:rsidP="00EB6100">
      <w:pPr>
        <w:ind w:right="1134"/>
      </w:pPr>
      <w:r>
        <w:t>Genève, 22-25 octobre 2019</w:t>
      </w:r>
    </w:p>
    <w:p w:rsidR="00EB6100" w:rsidRPr="00BD6837" w:rsidRDefault="00EB6100" w:rsidP="00EB6100">
      <w:pPr>
        <w:ind w:right="1134"/>
        <w:rPr>
          <w:bCs/>
        </w:rPr>
      </w:pPr>
      <w:r>
        <w:t xml:space="preserve">Point </w:t>
      </w:r>
      <w:r>
        <w:t xml:space="preserve">5 </w:t>
      </w:r>
      <w:r>
        <w:t>de l’ordre du jour provisoire</w:t>
      </w:r>
    </w:p>
    <w:p w:rsidR="00A44018" w:rsidRDefault="00A44018" w:rsidP="00A44018">
      <w:pPr>
        <w:spacing w:line="240" w:lineRule="auto"/>
        <w:rPr>
          <w:b/>
        </w:rPr>
      </w:pPr>
      <w:r w:rsidRPr="00206FEA">
        <w:rPr>
          <w:b/>
        </w:rPr>
        <w:t xml:space="preserve">Règlements ONU </w:t>
      </w:r>
      <w:r w:rsidRPr="00BD7834">
        <w:rPr>
          <w:b/>
        </w:rPr>
        <w:t>n</w:t>
      </w:r>
      <w:r w:rsidRPr="00BD7834">
        <w:rPr>
          <w:b/>
          <w:vertAlign w:val="superscript"/>
        </w:rPr>
        <w:t>o</w:t>
      </w:r>
      <w:r>
        <w:rPr>
          <w:b/>
          <w:vertAlign w:val="superscript"/>
        </w:rPr>
        <w:t>s</w:t>
      </w:r>
      <w:r>
        <w:rPr>
          <w:b/>
        </w:rPr>
        <w:t> </w:t>
      </w:r>
      <w:r w:rsidRPr="00206FEA">
        <w:rPr>
          <w:b/>
        </w:rPr>
        <w:t xml:space="preserve">37 (Lampes à incandescence), </w:t>
      </w:r>
      <w:r w:rsidR="00B961ED">
        <w:rPr>
          <w:b/>
        </w:rPr>
        <w:br/>
      </w:r>
      <w:r w:rsidRPr="00206FEA">
        <w:rPr>
          <w:b/>
        </w:rPr>
        <w:t>99 (Sources lumineuses à décharge) et 128</w:t>
      </w:r>
      <w:r w:rsidR="00B961ED">
        <w:rPr>
          <w:b/>
        </w:rPr>
        <w:t xml:space="preserve"> </w:t>
      </w:r>
      <w:r w:rsidRPr="00206FEA">
        <w:rPr>
          <w:b/>
        </w:rPr>
        <w:t xml:space="preserve">(Sources </w:t>
      </w:r>
      <w:r w:rsidR="00B961ED">
        <w:rPr>
          <w:b/>
        </w:rPr>
        <w:br/>
      </w:r>
      <w:r w:rsidRPr="00206FEA">
        <w:rPr>
          <w:b/>
        </w:rPr>
        <w:t>lumineuses à diodes électroluminescentes) et Résolution d</w:t>
      </w:r>
      <w:r>
        <w:rPr>
          <w:b/>
        </w:rPr>
        <w:t>’</w:t>
      </w:r>
      <w:r w:rsidRPr="00206FEA">
        <w:rPr>
          <w:b/>
        </w:rPr>
        <w:t xml:space="preserve">ensemble </w:t>
      </w:r>
      <w:r w:rsidR="00B961ED">
        <w:rPr>
          <w:b/>
        </w:rPr>
        <w:br/>
      </w:r>
      <w:r w:rsidRPr="00206FEA">
        <w:rPr>
          <w:b/>
        </w:rPr>
        <w:t>sur une spécification commune des catégories de sources lumineuses</w:t>
      </w:r>
    </w:p>
    <w:p w:rsidR="00A44018" w:rsidRDefault="00B961ED" w:rsidP="00B961ED">
      <w:pPr>
        <w:pStyle w:val="HChG"/>
      </w:pPr>
      <w:r>
        <w:tab/>
      </w:r>
      <w:r>
        <w:tab/>
      </w:r>
      <w:r w:rsidR="00A44018" w:rsidRPr="00C45286">
        <w:t xml:space="preserve">Proposition de complément </w:t>
      </w:r>
      <w:r w:rsidR="00A44018">
        <w:t xml:space="preserve">[10] </w:t>
      </w:r>
      <w:r w:rsidR="00A44018" w:rsidRPr="00C45286">
        <w:t xml:space="preserve">à la version initiale </w:t>
      </w:r>
      <w:r w:rsidR="001755D3">
        <w:br/>
      </w:r>
      <w:r w:rsidR="00A44018" w:rsidRPr="00C45286">
        <w:t>du Règlement ONU</w:t>
      </w:r>
      <w:r w:rsidR="00A44018">
        <w:t xml:space="preserve"> </w:t>
      </w:r>
      <w:r w:rsidR="00A44018" w:rsidRPr="00BD7834">
        <w:t>n</w:t>
      </w:r>
      <w:r w:rsidR="00A44018" w:rsidRPr="00BD7834">
        <w:rPr>
          <w:vertAlign w:val="superscript"/>
        </w:rPr>
        <w:t>o</w:t>
      </w:r>
      <w:r w:rsidR="00A44018">
        <w:t> </w:t>
      </w:r>
      <w:r w:rsidR="00A44018" w:rsidRPr="00206FEA">
        <w:t>128</w:t>
      </w:r>
      <w:r>
        <w:t xml:space="preserve"> </w:t>
      </w:r>
      <w:r w:rsidR="00A44018" w:rsidRPr="00206FEA">
        <w:t xml:space="preserve">(Sources lumineuses </w:t>
      </w:r>
      <w:r w:rsidR="001755D3">
        <w:br/>
      </w:r>
      <w:r w:rsidR="00A44018" w:rsidRPr="00206FEA">
        <w:t>à diodes électroluminescentes)</w:t>
      </w:r>
    </w:p>
    <w:p w:rsidR="00A44018" w:rsidRDefault="00B961ED" w:rsidP="00B961ED">
      <w:pPr>
        <w:pStyle w:val="H1G"/>
      </w:pPr>
      <w:r>
        <w:tab/>
      </w:r>
      <w:r>
        <w:tab/>
      </w:r>
      <w:r w:rsidR="00A44018" w:rsidRPr="0011258C">
        <w:t>Communication de l</w:t>
      </w:r>
      <w:r w:rsidR="00A44018">
        <w:t>’</w:t>
      </w:r>
      <w:r w:rsidR="00A44018" w:rsidRPr="0011258C">
        <w:t>expert du Groupe de travail « Bruxelles 1952 » (GTB)</w:t>
      </w:r>
      <w:r w:rsidR="00A44018" w:rsidRPr="00B961ED">
        <w:rPr>
          <w:rStyle w:val="Appelnotedebasdep"/>
          <w:b w:val="0"/>
          <w:sz w:val="20"/>
          <w:vertAlign w:val="baseline"/>
        </w:rPr>
        <w:footnoteReference w:customMarkFollows="1" w:id="2"/>
        <w:t>*</w:t>
      </w:r>
    </w:p>
    <w:p w:rsidR="00A44018" w:rsidRDefault="00A44018" w:rsidP="00B961ED">
      <w:pPr>
        <w:pStyle w:val="SingleTxtG"/>
        <w:ind w:firstLine="567"/>
        <w:rPr>
          <w:szCs w:val="24"/>
        </w:rPr>
      </w:pPr>
      <w:r>
        <w:t>Le texte ci-après, établi par l’expert du GTB, vise à modifier les prescriptions relatives aux sources lumineuses à diodes électroluminescentes (DEL). Il existe un amendement correspondant qui s’applique à la Résolution d’ensemble sur une spécification commune des catégories de sources lumineuses (R.E.5) (ECE/TRANS/WP.29/</w:t>
      </w:r>
      <w:r w:rsidR="00CD4E6A">
        <w:t xml:space="preserve"> </w:t>
      </w:r>
      <w:r>
        <w:t xml:space="preserve">GRE/2019/16). Les modifications qu’il est proposé d’apporter au texte actuel du Règlement ONU </w:t>
      </w:r>
      <w:r>
        <w:rPr>
          <w:szCs w:val="24"/>
        </w:rPr>
        <w:t>figurent en</w:t>
      </w:r>
      <w:r w:rsidRPr="00B44289">
        <w:rPr>
          <w:szCs w:val="24"/>
        </w:rPr>
        <w:t xml:space="preserve"> caractères gras pour les ajouts et biffés pour les suppression</w:t>
      </w:r>
      <w:r>
        <w:rPr>
          <w:szCs w:val="24"/>
        </w:rPr>
        <w:t>s.</w:t>
      </w:r>
    </w:p>
    <w:p w:rsidR="00A44018" w:rsidRDefault="00A44018" w:rsidP="00D46A84">
      <w:pPr>
        <w:pStyle w:val="HChG"/>
      </w:pPr>
      <w:r>
        <w:br w:type="page"/>
      </w:r>
      <w:r w:rsidR="00D46A84">
        <w:lastRenderedPageBreak/>
        <w:tab/>
      </w:r>
      <w:r>
        <w:t>I.</w:t>
      </w:r>
      <w:r>
        <w:tab/>
        <w:t>Proposition</w:t>
      </w:r>
    </w:p>
    <w:p w:rsidR="00A44018" w:rsidRDefault="00A44018" w:rsidP="00D46A84">
      <w:pPr>
        <w:pStyle w:val="SingleTxtG"/>
        <w:keepNext/>
      </w:pPr>
      <w:r w:rsidRPr="00D46A84">
        <w:rPr>
          <w:i/>
        </w:rPr>
        <w:t>Paragraphe 3.11.2.2</w:t>
      </w:r>
      <w:r>
        <w:t>, lire</w:t>
      </w:r>
      <w:r w:rsidR="00D46A84">
        <w:t> </w:t>
      </w:r>
      <w:r>
        <w:t>:</w:t>
      </w:r>
    </w:p>
    <w:p w:rsidR="00A44018" w:rsidRPr="00463538" w:rsidRDefault="00A44018" w:rsidP="00CF34B3">
      <w:pPr>
        <w:pStyle w:val="SingleTxtG"/>
        <w:ind w:left="2268" w:hanging="1134"/>
        <w:rPr>
          <w:b/>
        </w:rPr>
      </w:pPr>
      <w:r>
        <w:t>« </w:t>
      </w:r>
      <w:r w:rsidRPr="00CF34B3">
        <w:t>3.11.2.2</w:t>
      </w:r>
      <w:r w:rsidR="00CF34B3">
        <w:tab/>
      </w:r>
      <w:r>
        <w:t xml:space="preserve">Si, dans la feuille de données pertinente, un seul côté de la zone d’émission de la lumière est indiqué comme étant susceptible de produire la ligne de coupure, </w:t>
      </w:r>
      <w:r w:rsidRPr="00463538">
        <w:rPr>
          <w:b/>
        </w:rPr>
        <w:t>l</w:t>
      </w:r>
      <w:r>
        <w:rPr>
          <w:b/>
        </w:rPr>
        <w:t>’</w:t>
      </w:r>
      <w:r w:rsidRPr="00463538">
        <w:rPr>
          <w:b/>
        </w:rPr>
        <w:t>une au moins des dispositions suivantes s</w:t>
      </w:r>
      <w:r>
        <w:rPr>
          <w:b/>
        </w:rPr>
        <w:t>’</w:t>
      </w:r>
      <w:r w:rsidRPr="00463538">
        <w:rPr>
          <w:b/>
        </w:rPr>
        <w:t xml:space="preserve">applique : </w:t>
      </w:r>
    </w:p>
    <w:p w:rsidR="00A44018" w:rsidRDefault="00A44018" w:rsidP="00B61478">
      <w:pPr>
        <w:pStyle w:val="SingleTxtG"/>
        <w:ind w:left="2835" w:hanging="567"/>
      </w:pPr>
      <w:r w:rsidRPr="00463538">
        <w:rPr>
          <w:b/>
        </w:rPr>
        <w:t>a)</w:t>
      </w:r>
      <w:r w:rsidR="00B61478">
        <w:rPr>
          <w:b/>
        </w:rPr>
        <w:tab/>
      </w:r>
      <w:r w:rsidRPr="00463538">
        <w:rPr>
          <w:b/>
        </w:rPr>
        <w:t>Le gradient maximal de luminance G</w:t>
      </w:r>
      <w:r w:rsidRPr="005F5A1C">
        <w:rPr>
          <w:b/>
          <w:vertAlign w:val="subscript"/>
        </w:rPr>
        <w:t>50μm,max</w:t>
      </w:r>
      <w:r w:rsidRPr="00463538">
        <w:rPr>
          <w:b/>
        </w:rPr>
        <w:t>, déterminé conformément à l</w:t>
      </w:r>
      <w:r>
        <w:rPr>
          <w:b/>
        </w:rPr>
        <w:t>’</w:t>
      </w:r>
      <w:r w:rsidRPr="00463538">
        <w:rPr>
          <w:b/>
        </w:rPr>
        <w:t xml:space="preserve">annexe L de la </w:t>
      </w:r>
      <w:r w:rsidR="00CD4E6A">
        <w:rPr>
          <w:b/>
        </w:rPr>
        <w:t>quatrième</w:t>
      </w:r>
      <w:r w:rsidRPr="00463538">
        <w:rPr>
          <w:b/>
        </w:rPr>
        <w:t xml:space="preserve"> édition de la publication 60809 de la CEI, ne doit pas être inférieur à la valeur indiquée dans la feuille de données pertinente, le cas échéant ;</w:t>
      </w:r>
      <w:r>
        <w:rPr>
          <w:b/>
        </w:rPr>
        <w:t xml:space="preserve"> ou</w:t>
      </w:r>
    </w:p>
    <w:p w:rsidR="00A44018" w:rsidRDefault="00A44018" w:rsidP="00B61478">
      <w:pPr>
        <w:pStyle w:val="SingleTxtG"/>
        <w:ind w:left="2835" w:hanging="567"/>
      </w:pPr>
      <w:r w:rsidRPr="005F5A1C">
        <w:rPr>
          <w:b/>
        </w:rPr>
        <w:t>b)</w:t>
      </w:r>
      <w:r w:rsidR="00B61478">
        <w:rPr>
          <w:b/>
        </w:rPr>
        <w:tab/>
      </w:r>
      <w:proofErr w:type="spellStart"/>
      <w:r w:rsidRPr="005F5A1C">
        <w:rPr>
          <w:b/>
        </w:rPr>
        <w:t>L</w:t>
      </w:r>
      <w:r w:rsidRPr="005F5A1C">
        <w:rPr>
          <w:strike/>
        </w:rPr>
        <w:t>l</w:t>
      </w:r>
      <w:r>
        <w:t>a</w:t>
      </w:r>
      <w:proofErr w:type="spellEnd"/>
      <w:r>
        <w:t xml:space="preserve"> zone 1b doit être située plus près du côté correspondant de la zone</w:t>
      </w:r>
      <w:r w:rsidR="00CD4E6A">
        <w:t> </w:t>
      </w:r>
      <w:bookmarkStart w:id="0" w:name="_GoBack"/>
      <w:bookmarkEnd w:id="0"/>
      <w:r>
        <w:t>1a que du côté opposé. »</w:t>
      </w:r>
      <w:r w:rsidR="00B61478">
        <w:t>.</w:t>
      </w:r>
    </w:p>
    <w:p w:rsidR="00A44018" w:rsidRPr="00463538" w:rsidRDefault="00B61478" w:rsidP="00B61478">
      <w:pPr>
        <w:pStyle w:val="HChG"/>
      </w:pPr>
      <w:r>
        <w:tab/>
      </w:r>
      <w:r w:rsidR="00A44018" w:rsidRPr="00463538">
        <w:t>II.</w:t>
      </w:r>
      <w:r w:rsidR="00A44018" w:rsidRPr="00463538">
        <w:tab/>
        <w:t>Justification</w:t>
      </w:r>
    </w:p>
    <w:p w:rsidR="00A44018" w:rsidRDefault="00A44018" w:rsidP="00D46A84">
      <w:pPr>
        <w:pStyle w:val="SingleTxtG"/>
      </w:pPr>
      <w:r>
        <w:t>1.</w:t>
      </w:r>
      <w:r>
        <w:tab/>
        <w:t xml:space="preserve">Le texte actuel du paragraphe 3.11 du Règlement ONU </w:t>
      </w:r>
      <w:r w:rsidRPr="00A04DAD">
        <w:t>n</w:t>
      </w:r>
      <w:r w:rsidRPr="00A04DAD">
        <w:rPr>
          <w:vertAlign w:val="superscript"/>
        </w:rPr>
        <w:t>o</w:t>
      </w:r>
      <w:r>
        <w:t xml:space="preserve"> 128 requiert une certaine </w:t>
      </w:r>
      <w:r w:rsidR="00B61478">
        <w:t>« </w:t>
      </w:r>
      <w:r>
        <w:t>asymétrie</w:t>
      </w:r>
      <w:r w:rsidR="00B61478">
        <w:t> »</w:t>
      </w:r>
      <w:r>
        <w:t xml:space="preserve"> dans la zone d’émission de la lumière, le but étant de garantir un gradient minimal dans les scénarios les plus défavorables. Or, la prescription actuelle est considérée comme trop restrictive sur le plan de la conception.</w:t>
      </w:r>
    </w:p>
    <w:p w:rsidR="00A44018" w:rsidRDefault="00A44018" w:rsidP="00B61478">
      <w:pPr>
        <w:pStyle w:val="SingleTxtG"/>
      </w:pPr>
      <w:r>
        <w:t>2.</w:t>
      </w:r>
      <w:r>
        <w:tab/>
        <w:t>Il est proposé de prévoir une autre prescription, plus directe, concernant le gradient minimal de luminance. Le groupe de travail SC34A/WG2, organe de la Commission électrotechnique internationale (CEI), a mis au point une méthode de mesure et de calcul du gradient de luminance des sources lumineuses à DEL. Cette méthode a été adjointe à la norme CEI 60809 en tant que nouvelle annexe L intitulée « Méthode de détermination du gradient de luminance maximal des sources lumineuses à DEL ».</w:t>
      </w:r>
    </w:p>
    <w:p w:rsidR="00A44018" w:rsidRDefault="00A44018" w:rsidP="00B61478">
      <w:pPr>
        <w:pStyle w:val="SingleTxtG"/>
      </w:pPr>
      <w:r>
        <w:t>3.</w:t>
      </w:r>
      <w:r>
        <w:tab/>
        <w:t>Une prescription concernant le gradient minimal de luminance a été ajoutée au libellé actuel du paragraphe 3.11.2.2, l’ancienne formulation étant conservée afin d’offrir deux solutions.</w:t>
      </w:r>
    </w:p>
    <w:p w:rsidR="00F9573C" w:rsidRDefault="00A44018" w:rsidP="00B61478">
      <w:pPr>
        <w:pStyle w:val="SingleTxtG"/>
      </w:pPr>
      <w:r>
        <w:t>4.</w:t>
      </w:r>
      <w:r>
        <w:tab/>
        <w:t>Cette proposition a donné lieu à une proposition connexe (ECE/TRANS/WP.29/ GRE/2019/16) concernant la feuille de données pour les catégories L1A/6 et L1B/6 dans la Résolution d’ensemble sur une spécification commune des catégories de sources lumineuses (R.E.5).</w:t>
      </w:r>
    </w:p>
    <w:p w:rsidR="00B61478" w:rsidRPr="00B61478" w:rsidRDefault="00B61478" w:rsidP="00B61478">
      <w:pPr>
        <w:pStyle w:val="SingleTxtG"/>
        <w:spacing w:before="240" w:after="0"/>
        <w:jc w:val="center"/>
        <w:rPr>
          <w:u w:val="single"/>
        </w:rPr>
      </w:pPr>
      <w:r>
        <w:rPr>
          <w:u w:val="single"/>
        </w:rPr>
        <w:tab/>
      </w:r>
      <w:r>
        <w:rPr>
          <w:u w:val="single"/>
        </w:rPr>
        <w:tab/>
      </w:r>
      <w:r>
        <w:rPr>
          <w:u w:val="single"/>
        </w:rPr>
        <w:tab/>
      </w:r>
    </w:p>
    <w:sectPr w:rsidR="00B61478" w:rsidRPr="00B61478" w:rsidSect="00EB61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7C7" w:rsidRDefault="00C757C7" w:rsidP="00F95C08">
      <w:pPr>
        <w:spacing w:line="240" w:lineRule="auto"/>
      </w:pPr>
    </w:p>
  </w:endnote>
  <w:endnote w:type="continuationSeparator" w:id="0">
    <w:p w:rsidR="00C757C7" w:rsidRPr="00AC3823" w:rsidRDefault="00C757C7" w:rsidP="00AC3823">
      <w:pPr>
        <w:pStyle w:val="Pieddepage"/>
      </w:pPr>
    </w:p>
  </w:endnote>
  <w:endnote w:type="continuationNotice" w:id="1">
    <w:p w:rsidR="00C757C7" w:rsidRDefault="00C75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00" w:rsidRPr="00EB6100" w:rsidRDefault="00EB6100" w:rsidP="00EB6100">
    <w:pPr>
      <w:pStyle w:val="Pieddepage"/>
      <w:tabs>
        <w:tab w:val="right" w:pos="9638"/>
      </w:tabs>
    </w:pPr>
    <w:r w:rsidRPr="00EB6100">
      <w:rPr>
        <w:b/>
        <w:sz w:val="18"/>
      </w:rPr>
      <w:fldChar w:fldCharType="begin"/>
    </w:r>
    <w:r w:rsidRPr="00EB6100">
      <w:rPr>
        <w:b/>
        <w:sz w:val="18"/>
      </w:rPr>
      <w:instrText xml:space="preserve"> PAGE  \* MERGEFORMAT </w:instrText>
    </w:r>
    <w:r w:rsidRPr="00EB6100">
      <w:rPr>
        <w:b/>
        <w:sz w:val="18"/>
      </w:rPr>
      <w:fldChar w:fldCharType="separate"/>
    </w:r>
    <w:r w:rsidRPr="00EB6100">
      <w:rPr>
        <w:b/>
        <w:noProof/>
        <w:sz w:val="18"/>
      </w:rPr>
      <w:t>2</w:t>
    </w:r>
    <w:r w:rsidRPr="00EB6100">
      <w:rPr>
        <w:b/>
        <w:sz w:val="18"/>
      </w:rPr>
      <w:fldChar w:fldCharType="end"/>
    </w:r>
    <w:r>
      <w:rPr>
        <w:b/>
        <w:sz w:val="18"/>
      </w:rPr>
      <w:tab/>
    </w:r>
    <w:r>
      <w:t>GE.19-13429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00" w:rsidRPr="00EB6100" w:rsidRDefault="00EB6100" w:rsidP="00EB6100">
    <w:pPr>
      <w:pStyle w:val="Pieddepage"/>
      <w:tabs>
        <w:tab w:val="right" w:pos="9638"/>
      </w:tabs>
      <w:rPr>
        <w:b/>
        <w:sz w:val="18"/>
      </w:rPr>
    </w:pPr>
    <w:r>
      <w:t>GE.19-13429</w:t>
    </w:r>
    <w:r>
      <w:tab/>
    </w:r>
    <w:r w:rsidRPr="00EB6100">
      <w:rPr>
        <w:b/>
        <w:sz w:val="18"/>
      </w:rPr>
      <w:fldChar w:fldCharType="begin"/>
    </w:r>
    <w:r w:rsidRPr="00EB6100">
      <w:rPr>
        <w:b/>
        <w:sz w:val="18"/>
      </w:rPr>
      <w:instrText xml:space="preserve"> PAGE  \* MERGEFORMAT </w:instrText>
    </w:r>
    <w:r w:rsidRPr="00EB6100">
      <w:rPr>
        <w:b/>
        <w:sz w:val="18"/>
      </w:rPr>
      <w:fldChar w:fldCharType="separate"/>
    </w:r>
    <w:r w:rsidRPr="00EB6100">
      <w:rPr>
        <w:b/>
        <w:noProof/>
        <w:sz w:val="18"/>
      </w:rPr>
      <w:t>3</w:t>
    </w:r>
    <w:r w:rsidRPr="00EB61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B6100" w:rsidRDefault="00EB6100" w:rsidP="00EB6100">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19-13429  (F)    230819    030919</w:t>
    </w:r>
    <w:r>
      <w:rPr>
        <w:sz w:val="20"/>
      </w:rPr>
      <w:br/>
    </w:r>
    <w:r w:rsidRPr="00EB6100">
      <w:rPr>
        <w:rFonts w:ascii="C39T30Lfz" w:hAnsi="C39T30Lfz"/>
        <w:sz w:val="56"/>
      </w:rPr>
      <w:t></w:t>
    </w:r>
    <w:r w:rsidRPr="00EB6100">
      <w:rPr>
        <w:rFonts w:ascii="C39T30Lfz" w:hAnsi="C39T30Lfz"/>
        <w:sz w:val="56"/>
      </w:rPr>
      <w:t></w:t>
    </w:r>
    <w:r w:rsidRPr="00EB6100">
      <w:rPr>
        <w:rFonts w:ascii="C39T30Lfz" w:hAnsi="C39T30Lfz"/>
        <w:sz w:val="56"/>
      </w:rPr>
      <w:t></w:t>
    </w:r>
    <w:r w:rsidRPr="00EB6100">
      <w:rPr>
        <w:rFonts w:ascii="C39T30Lfz" w:hAnsi="C39T30Lfz"/>
        <w:sz w:val="56"/>
      </w:rPr>
      <w:t></w:t>
    </w:r>
    <w:r w:rsidRPr="00EB6100">
      <w:rPr>
        <w:rFonts w:ascii="C39T30Lfz" w:hAnsi="C39T30Lfz"/>
        <w:sz w:val="56"/>
      </w:rPr>
      <w:t></w:t>
    </w:r>
    <w:r w:rsidRPr="00EB6100">
      <w:rPr>
        <w:rFonts w:ascii="C39T30Lfz" w:hAnsi="C39T30Lfz"/>
        <w:sz w:val="56"/>
      </w:rPr>
      <w:t></w:t>
    </w:r>
    <w:r w:rsidRPr="00EB6100">
      <w:rPr>
        <w:rFonts w:ascii="C39T30Lfz" w:hAnsi="C39T30Lfz"/>
        <w:sz w:val="56"/>
      </w:rPr>
      <w:t></w:t>
    </w:r>
    <w:r w:rsidRPr="00EB6100">
      <w:rPr>
        <w:rFonts w:ascii="C39T30Lfz" w:hAnsi="C39T30Lfz"/>
        <w:sz w:val="56"/>
      </w:rPr>
      <w:t></w:t>
    </w:r>
    <w:r w:rsidRPr="00EB610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7C7" w:rsidRPr="00AC3823" w:rsidRDefault="00C757C7" w:rsidP="00AC3823">
      <w:pPr>
        <w:pStyle w:val="Pieddepage"/>
        <w:tabs>
          <w:tab w:val="right" w:pos="2155"/>
        </w:tabs>
        <w:spacing w:after="80" w:line="240" w:lineRule="atLeast"/>
        <w:ind w:left="680"/>
        <w:rPr>
          <w:u w:val="single"/>
        </w:rPr>
      </w:pPr>
      <w:r>
        <w:rPr>
          <w:u w:val="single"/>
        </w:rPr>
        <w:tab/>
      </w:r>
    </w:p>
  </w:footnote>
  <w:footnote w:type="continuationSeparator" w:id="0">
    <w:p w:rsidR="00C757C7" w:rsidRPr="00AC3823" w:rsidRDefault="00C757C7" w:rsidP="00AC3823">
      <w:pPr>
        <w:pStyle w:val="Pieddepage"/>
        <w:tabs>
          <w:tab w:val="right" w:pos="2155"/>
        </w:tabs>
        <w:spacing w:after="80" w:line="240" w:lineRule="atLeast"/>
        <w:ind w:left="680"/>
        <w:rPr>
          <w:u w:val="single"/>
        </w:rPr>
      </w:pPr>
      <w:r>
        <w:rPr>
          <w:u w:val="single"/>
        </w:rPr>
        <w:tab/>
      </w:r>
    </w:p>
  </w:footnote>
  <w:footnote w:type="continuationNotice" w:id="1">
    <w:p w:rsidR="00C757C7" w:rsidRPr="00AC3823" w:rsidRDefault="00C757C7">
      <w:pPr>
        <w:spacing w:line="240" w:lineRule="auto"/>
        <w:rPr>
          <w:sz w:val="2"/>
          <w:szCs w:val="2"/>
        </w:rPr>
      </w:pPr>
    </w:p>
  </w:footnote>
  <w:footnote w:id="2">
    <w:p w:rsidR="00A44018" w:rsidRDefault="00B961ED" w:rsidP="00B961ED">
      <w:pPr>
        <w:pStyle w:val="Notedebasdepage"/>
      </w:pPr>
      <w:r>
        <w:rPr>
          <w:sz w:val="20"/>
        </w:rPr>
        <w:tab/>
      </w:r>
      <w:r w:rsidR="00A44018" w:rsidRPr="00B961ED">
        <w:rPr>
          <w:rStyle w:val="Appelnotedebasdep"/>
          <w:sz w:val="20"/>
          <w:vertAlign w:val="baseline"/>
        </w:rPr>
        <w:t>*</w:t>
      </w:r>
      <w:r>
        <w:tab/>
      </w:r>
      <w:r w:rsidR="00A44018">
        <w:t>Conformément au programme de travail du Comité des transports intérieurs pour la période 2018</w:t>
      </w:r>
      <w:r>
        <w:noBreakHyphen/>
      </w:r>
      <w:r w:rsidR="00A44018">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00" w:rsidRPr="00EB6100" w:rsidRDefault="00EB6100">
    <w:pPr>
      <w:pStyle w:val="En-tte"/>
    </w:pPr>
    <w:fldSimple w:instr=" TITLE  \* MERGEFORMAT ">
      <w:r w:rsidR="00831370">
        <w:t>ECE/TRANS/WP.29/GRE/2019/15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00" w:rsidRPr="00EB6100" w:rsidRDefault="00EB6100" w:rsidP="00EB6100">
    <w:pPr>
      <w:pStyle w:val="En-tte"/>
      <w:jc w:val="right"/>
    </w:pPr>
    <w:fldSimple w:instr=" TITLE  \* MERGEFORMAT ">
      <w:r w:rsidR="00831370">
        <w:t>ECE/TRANS/WP.29/GRE/2019/15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57C7"/>
    <w:rsid w:val="00017F94"/>
    <w:rsid w:val="00023842"/>
    <w:rsid w:val="000334F9"/>
    <w:rsid w:val="00045FEB"/>
    <w:rsid w:val="0007796D"/>
    <w:rsid w:val="000B7790"/>
    <w:rsid w:val="00111F2F"/>
    <w:rsid w:val="0014365E"/>
    <w:rsid w:val="00143C66"/>
    <w:rsid w:val="001755D3"/>
    <w:rsid w:val="00176178"/>
    <w:rsid w:val="001F525A"/>
    <w:rsid w:val="00223272"/>
    <w:rsid w:val="0024779E"/>
    <w:rsid w:val="00257168"/>
    <w:rsid w:val="002744B8"/>
    <w:rsid w:val="002832AC"/>
    <w:rsid w:val="002D7C93"/>
    <w:rsid w:val="00305801"/>
    <w:rsid w:val="003541E4"/>
    <w:rsid w:val="003916DE"/>
    <w:rsid w:val="003F7FF1"/>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22319"/>
    <w:rsid w:val="00831370"/>
    <w:rsid w:val="00871C75"/>
    <w:rsid w:val="008776DC"/>
    <w:rsid w:val="009446C0"/>
    <w:rsid w:val="009705C8"/>
    <w:rsid w:val="009C1CF4"/>
    <w:rsid w:val="009F6B74"/>
    <w:rsid w:val="00A3029F"/>
    <w:rsid w:val="00A30353"/>
    <w:rsid w:val="00A44018"/>
    <w:rsid w:val="00AC3823"/>
    <w:rsid w:val="00AE323C"/>
    <w:rsid w:val="00AF0CB5"/>
    <w:rsid w:val="00B00181"/>
    <w:rsid w:val="00B00B0D"/>
    <w:rsid w:val="00B45F2E"/>
    <w:rsid w:val="00B61478"/>
    <w:rsid w:val="00B765F7"/>
    <w:rsid w:val="00B961ED"/>
    <w:rsid w:val="00BA0CA9"/>
    <w:rsid w:val="00C02897"/>
    <w:rsid w:val="00C757C7"/>
    <w:rsid w:val="00C97039"/>
    <w:rsid w:val="00CD4E6A"/>
    <w:rsid w:val="00CF34B3"/>
    <w:rsid w:val="00D3439C"/>
    <w:rsid w:val="00D46A84"/>
    <w:rsid w:val="00DB1831"/>
    <w:rsid w:val="00DD3BFD"/>
    <w:rsid w:val="00DF6678"/>
    <w:rsid w:val="00E0299A"/>
    <w:rsid w:val="00E85C74"/>
    <w:rsid w:val="00EA6547"/>
    <w:rsid w:val="00EB6100"/>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0EED3E"/>
  <w15:docId w15:val="{30E4D458-1532-4B7A-809E-D03417E0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B6100"/>
    <w:rPr>
      <w:rFonts w:ascii="Times New Roman" w:eastAsiaTheme="minorHAnsi" w:hAnsi="Times New Roman" w:cs="Times New Roman"/>
      <w:sz w:val="20"/>
      <w:szCs w:val="20"/>
      <w:lang w:eastAsia="en-US"/>
    </w:rPr>
  </w:style>
  <w:style w:type="character" w:customStyle="1" w:styleId="HChGChar">
    <w:name w:val="_ H _Ch_G Char"/>
    <w:link w:val="HChG"/>
    <w:rsid w:val="00EB6100"/>
    <w:rPr>
      <w:rFonts w:ascii="Times New Roman" w:eastAsiaTheme="minorHAnsi" w:hAnsi="Times New Roman" w:cs="Times New Roman"/>
      <w:b/>
      <w:sz w:val="28"/>
      <w:szCs w:val="20"/>
      <w:lang w:eastAsia="en-US"/>
    </w:rPr>
  </w:style>
  <w:style w:type="character" w:customStyle="1" w:styleId="H1GChar">
    <w:name w:val="_ H_1_G Char"/>
    <w:link w:val="H1G"/>
    <w:rsid w:val="00EB610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411</Words>
  <Characters>2878</Characters>
  <Application>Microsoft Office Word</Application>
  <DocSecurity>0</DocSecurity>
  <Lines>239</Lines>
  <Paragraphs>131</Paragraphs>
  <ScaleCrop>false</ScaleCrop>
  <HeadingPairs>
    <vt:vector size="2" baseType="variant">
      <vt:variant>
        <vt:lpstr>Titre</vt:lpstr>
      </vt:variant>
      <vt:variant>
        <vt:i4>1</vt:i4>
      </vt:variant>
    </vt:vector>
  </HeadingPairs>
  <TitlesOfParts>
    <vt:vector size="1" baseType="lpstr">
      <vt:lpstr>ECE/TRANS/WP.29/GRE/2019/15</vt:lpstr>
    </vt:vector>
  </TitlesOfParts>
  <Company>DCM</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ECE/TRANS/WP.29/GRE/2019/15</dc:title>
  <dc:subject/>
  <dc:creator>Nathalie VITTOZ</dc:creator>
  <cp:keywords/>
  <cp:lastModifiedBy>Nathalie Vittoz</cp:lastModifiedBy>
  <cp:revision>2</cp:revision>
  <cp:lastPrinted>2019-09-03T13:33:00Z</cp:lastPrinted>
  <dcterms:created xsi:type="dcterms:W3CDTF">2019-09-03T13:43:00Z</dcterms:created>
  <dcterms:modified xsi:type="dcterms:W3CDTF">2019-09-03T13:43:00Z</dcterms:modified>
</cp:coreProperties>
</file>