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2623B" w:rsidTr="00C97039">
        <w:trPr>
          <w:trHeight w:hRule="exact" w:val="851"/>
        </w:trPr>
        <w:tc>
          <w:tcPr>
            <w:tcW w:w="1276" w:type="dxa"/>
            <w:tcBorders>
              <w:bottom w:val="single" w:sz="4" w:space="0" w:color="auto"/>
            </w:tcBorders>
          </w:tcPr>
          <w:p w:rsidR="00F35BAF" w:rsidRPr="00DB58B5" w:rsidRDefault="00F35BAF" w:rsidP="00A109BE">
            <w:bookmarkStart w:id="0" w:name="_GoBack"/>
            <w:bookmarkEnd w:id="0"/>
          </w:p>
        </w:tc>
        <w:tc>
          <w:tcPr>
            <w:tcW w:w="2268" w:type="dxa"/>
            <w:tcBorders>
              <w:bottom w:val="single" w:sz="4" w:space="0" w:color="auto"/>
            </w:tcBorders>
            <w:vAlign w:val="bottom"/>
          </w:tcPr>
          <w:p w:rsidR="00F35BAF" w:rsidRPr="0032623B" w:rsidRDefault="00F35BAF" w:rsidP="00C97039">
            <w:pPr>
              <w:spacing w:after="80" w:line="300" w:lineRule="exact"/>
              <w:rPr>
                <w:sz w:val="28"/>
              </w:rPr>
            </w:pPr>
            <w:r w:rsidRPr="0032623B">
              <w:rPr>
                <w:sz w:val="28"/>
              </w:rPr>
              <w:t>Nations Unies</w:t>
            </w:r>
          </w:p>
        </w:tc>
        <w:tc>
          <w:tcPr>
            <w:tcW w:w="6095" w:type="dxa"/>
            <w:gridSpan w:val="2"/>
            <w:tcBorders>
              <w:bottom w:val="single" w:sz="4" w:space="0" w:color="auto"/>
            </w:tcBorders>
            <w:vAlign w:val="bottom"/>
          </w:tcPr>
          <w:p w:rsidR="00F35BAF" w:rsidRPr="0032623B" w:rsidRDefault="00A109BE" w:rsidP="00A109BE">
            <w:pPr>
              <w:jc w:val="right"/>
            </w:pPr>
            <w:r w:rsidRPr="0032623B">
              <w:rPr>
                <w:sz w:val="40"/>
              </w:rPr>
              <w:t>ECE</w:t>
            </w:r>
            <w:r w:rsidRPr="0032623B">
              <w:t>/TRANS/WP.29/GRE/2019/7</w:t>
            </w:r>
          </w:p>
        </w:tc>
      </w:tr>
      <w:tr w:rsidR="00F35BAF" w:rsidRPr="0032623B" w:rsidTr="00C97039">
        <w:trPr>
          <w:trHeight w:hRule="exact" w:val="2835"/>
        </w:trPr>
        <w:tc>
          <w:tcPr>
            <w:tcW w:w="1276" w:type="dxa"/>
            <w:tcBorders>
              <w:top w:val="single" w:sz="4" w:space="0" w:color="auto"/>
              <w:bottom w:val="single" w:sz="12" w:space="0" w:color="auto"/>
            </w:tcBorders>
          </w:tcPr>
          <w:p w:rsidR="00F35BAF" w:rsidRPr="0032623B" w:rsidRDefault="00F35BAF" w:rsidP="00C97039">
            <w:pPr>
              <w:spacing w:before="120"/>
              <w:jc w:val="center"/>
            </w:pPr>
            <w:r w:rsidRPr="0032623B">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2623B" w:rsidRDefault="00F35BAF" w:rsidP="00C97039">
            <w:pPr>
              <w:spacing w:before="120" w:line="420" w:lineRule="exact"/>
              <w:rPr>
                <w:b/>
                <w:sz w:val="40"/>
                <w:szCs w:val="40"/>
              </w:rPr>
            </w:pPr>
            <w:r w:rsidRPr="0032623B">
              <w:rPr>
                <w:b/>
                <w:sz w:val="40"/>
                <w:szCs w:val="40"/>
              </w:rPr>
              <w:t>Conseil économique et social</w:t>
            </w:r>
          </w:p>
        </w:tc>
        <w:tc>
          <w:tcPr>
            <w:tcW w:w="2835" w:type="dxa"/>
            <w:tcBorders>
              <w:top w:val="single" w:sz="4" w:space="0" w:color="auto"/>
              <w:bottom w:val="single" w:sz="12" w:space="0" w:color="auto"/>
            </w:tcBorders>
          </w:tcPr>
          <w:p w:rsidR="00F35BAF" w:rsidRPr="0032623B" w:rsidRDefault="00A109BE" w:rsidP="00C97039">
            <w:pPr>
              <w:spacing w:before="240"/>
            </w:pPr>
            <w:proofErr w:type="spellStart"/>
            <w:r w:rsidRPr="0032623B">
              <w:t>Distr</w:t>
            </w:r>
            <w:proofErr w:type="spellEnd"/>
            <w:r w:rsidRPr="0032623B">
              <w:t>. générale</w:t>
            </w:r>
          </w:p>
          <w:p w:rsidR="00A109BE" w:rsidRPr="0032623B" w:rsidRDefault="00A109BE" w:rsidP="00A109BE">
            <w:pPr>
              <w:spacing w:line="240" w:lineRule="exact"/>
            </w:pPr>
            <w:r w:rsidRPr="0032623B">
              <w:t>30 janvier 2019</w:t>
            </w:r>
          </w:p>
          <w:p w:rsidR="00A109BE" w:rsidRPr="0032623B" w:rsidRDefault="00A109BE" w:rsidP="00A109BE">
            <w:pPr>
              <w:spacing w:line="240" w:lineRule="exact"/>
            </w:pPr>
            <w:r w:rsidRPr="0032623B">
              <w:t>Français</w:t>
            </w:r>
          </w:p>
          <w:p w:rsidR="00A109BE" w:rsidRPr="0032623B" w:rsidRDefault="00A109BE" w:rsidP="00A109BE">
            <w:pPr>
              <w:spacing w:line="240" w:lineRule="exact"/>
            </w:pPr>
            <w:r w:rsidRPr="0032623B">
              <w:t>Original</w:t>
            </w:r>
            <w:r w:rsidR="0032623B">
              <w:t> :</w:t>
            </w:r>
            <w:r w:rsidRPr="0032623B">
              <w:t xml:space="preserve"> anglais</w:t>
            </w:r>
          </w:p>
        </w:tc>
      </w:tr>
    </w:tbl>
    <w:p w:rsidR="007F20FA" w:rsidRPr="0032623B" w:rsidRDefault="007F20FA" w:rsidP="007F20FA">
      <w:pPr>
        <w:spacing w:before="120"/>
        <w:rPr>
          <w:b/>
          <w:sz w:val="28"/>
          <w:szCs w:val="28"/>
        </w:rPr>
      </w:pPr>
      <w:r w:rsidRPr="0032623B">
        <w:rPr>
          <w:b/>
          <w:sz w:val="28"/>
          <w:szCs w:val="28"/>
        </w:rPr>
        <w:t>Commission économique pour l’Europe</w:t>
      </w:r>
    </w:p>
    <w:p w:rsidR="007F20FA" w:rsidRPr="0032623B" w:rsidRDefault="007F20FA" w:rsidP="007F20FA">
      <w:pPr>
        <w:spacing w:before="120"/>
        <w:rPr>
          <w:sz w:val="28"/>
          <w:szCs w:val="28"/>
        </w:rPr>
      </w:pPr>
      <w:r w:rsidRPr="0032623B">
        <w:rPr>
          <w:sz w:val="28"/>
          <w:szCs w:val="28"/>
        </w:rPr>
        <w:t>Comité des transports intérieurs</w:t>
      </w:r>
    </w:p>
    <w:p w:rsidR="00DC7B74" w:rsidRPr="0032623B" w:rsidRDefault="00DC7B74" w:rsidP="00DC7B74">
      <w:pPr>
        <w:spacing w:before="120"/>
        <w:rPr>
          <w:b/>
          <w:sz w:val="24"/>
          <w:szCs w:val="24"/>
        </w:rPr>
      </w:pPr>
      <w:r w:rsidRPr="0032623B">
        <w:rPr>
          <w:b/>
          <w:bCs/>
          <w:sz w:val="24"/>
          <w:szCs w:val="24"/>
          <w:lang w:val="fr-FR"/>
        </w:rPr>
        <w:t xml:space="preserve">Forum mondial de l’harmonisation des Règlements </w:t>
      </w:r>
      <w:r w:rsidRPr="0032623B">
        <w:rPr>
          <w:b/>
          <w:bCs/>
          <w:sz w:val="24"/>
          <w:szCs w:val="24"/>
          <w:lang w:val="fr-FR"/>
        </w:rPr>
        <w:br/>
        <w:t>concernant les véhicules</w:t>
      </w:r>
    </w:p>
    <w:p w:rsidR="00DC7B74" w:rsidRPr="0032623B" w:rsidRDefault="00DC7B74" w:rsidP="00DC7B74">
      <w:pPr>
        <w:spacing w:before="120" w:after="120"/>
        <w:rPr>
          <w:b/>
          <w:bCs/>
        </w:rPr>
      </w:pPr>
      <w:r w:rsidRPr="0032623B">
        <w:rPr>
          <w:b/>
          <w:bCs/>
          <w:lang w:val="fr-FR"/>
        </w:rPr>
        <w:t>Groupe de travail de l’éclairage et de la signalisation lumineuse</w:t>
      </w:r>
    </w:p>
    <w:p w:rsidR="00DC7B74" w:rsidRPr="0032623B" w:rsidRDefault="00DC7B74" w:rsidP="00DC7B74">
      <w:pPr>
        <w:ind w:right="1134"/>
        <w:rPr>
          <w:b/>
        </w:rPr>
      </w:pPr>
      <w:r w:rsidRPr="0032623B">
        <w:rPr>
          <w:b/>
          <w:bCs/>
          <w:lang w:val="fr-FR"/>
        </w:rPr>
        <w:t>Quatre-vingt-unième session</w:t>
      </w:r>
    </w:p>
    <w:p w:rsidR="00DC7B74" w:rsidRPr="0032623B" w:rsidRDefault="00DC7B74" w:rsidP="00DC7B74">
      <w:pPr>
        <w:ind w:right="1134"/>
      </w:pPr>
      <w:r w:rsidRPr="0032623B">
        <w:rPr>
          <w:lang w:val="fr-FR"/>
        </w:rPr>
        <w:t>Genève, 15-18 avril 2019</w:t>
      </w:r>
    </w:p>
    <w:p w:rsidR="00DC7B74" w:rsidRPr="0032623B" w:rsidRDefault="00DC7B74" w:rsidP="00DC7B74">
      <w:pPr>
        <w:ind w:right="1134"/>
        <w:rPr>
          <w:bCs/>
        </w:rPr>
      </w:pPr>
      <w:r w:rsidRPr="0032623B">
        <w:rPr>
          <w:lang w:val="fr-FR"/>
        </w:rPr>
        <w:t>Point 4 de l’ordre du jour provisoire</w:t>
      </w:r>
    </w:p>
    <w:p w:rsidR="00DC7B74" w:rsidRPr="0032623B" w:rsidRDefault="00DC7B74" w:rsidP="00744A05">
      <w:pPr>
        <w:ind w:right="1467"/>
        <w:rPr>
          <w:b/>
          <w:bCs/>
        </w:rPr>
      </w:pPr>
      <w:r w:rsidRPr="0032623B">
        <w:rPr>
          <w:b/>
          <w:lang w:val="fr-FR"/>
        </w:rPr>
        <w:t xml:space="preserve">Simplification des Règlements ONU concernant l’éclairage </w:t>
      </w:r>
      <w:r w:rsidR="00744A05" w:rsidRPr="0032623B">
        <w:rPr>
          <w:b/>
          <w:lang w:val="fr-FR"/>
        </w:rPr>
        <w:br/>
      </w:r>
      <w:r w:rsidRPr="0032623B">
        <w:rPr>
          <w:b/>
          <w:lang w:val="fr-FR"/>
        </w:rPr>
        <w:t xml:space="preserve">et la signalisation lumineuse </w:t>
      </w:r>
    </w:p>
    <w:p w:rsidR="00DC7B74" w:rsidRPr="0032623B" w:rsidRDefault="00DC7B74" w:rsidP="00744A05">
      <w:pPr>
        <w:pStyle w:val="HChG"/>
      </w:pPr>
      <w:r w:rsidRPr="0032623B">
        <w:rPr>
          <w:lang w:val="fr-FR"/>
        </w:rPr>
        <w:tab/>
      </w:r>
      <w:r w:rsidRPr="0032623B">
        <w:rPr>
          <w:lang w:val="fr-FR"/>
        </w:rPr>
        <w:tab/>
        <w:t>Proposition de complément au</w:t>
      </w:r>
      <w:r w:rsidR="0032623B">
        <w:rPr>
          <w:lang w:val="fr-FR"/>
        </w:rPr>
        <w:t xml:space="preserve"> </w:t>
      </w:r>
      <w:r w:rsidRPr="0032623B">
        <w:rPr>
          <w:lang w:val="fr-FR"/>
        </w:rPr>
        <w:t xml:space="preserve">nouveau Règlement ONU relatif aux dispositifs de signalisation lumineuse </w:t>
      </w:r>
    </w:p>
    <w:p w:rsidR="00DC7B74" w:rsidRPr="0032623B" w:rsidRDefault="00744A05" w:rsidP="00744A05">
      <w:pPr>
        <w:pStyle w:val="H1G"/>
        <w:rPr>
          <w:szCs w:val="24"/>
        </w:rPr>
      </w:pPr>
      <w:r w:rsidRPr="0032623B">
        <w:rPr>
          <w:lang w:val="fr-FR"/>
        </w:rPr>
        <w:tab/>
      </w:r>
      <w:r w:rsidRPr="0032623B">
        <w:rPr>
          <w:lang w:val="fr-FR"/>
        </w:rPr>
        <w:tab/>
      </w:r>
      <w:r w:rsidR="00DC7B74" w:rsidRPr="0032623B">
        <w:rPr>
          <w:lang w:val="fr-FR"/>
        </w:rPr>
        <w:t>Communication de l’expert de l’Allemagne</w:t>
      </w:r>
      <w:r w:rsidR="00DC7B74" w:rsidRPr="0032623B">
        <w:rPr>
          <w:b w:val="0"/>
          <w:sz w:val="20"/>
          <w:lang w:val="fr-FR"/>
        </w:rPr>
        <w:footnoteReference w:customMarkFollows="1" w:id="2"/>
        <w:t>*</w:t>
      </w:r>
      <w:r w:rsidR="00DC7B74" w:rsidRPr="0032623B">
        <w:rPr>
          <w:lang w:val="fr-FR"/>
        </w:rPr>
        <w:t xml:space="preserve"> </w:t>
      </w:r>
    </w:p>
    <w:p w:rsidR="00F9573C" w:rsidRPr="0032623B" w:rsidRDefault="00DC7B74" w:rsidP="00744A05">
      <w:pPr>
        <w:pStyle w:val="SingleTxtG"/>
        <w:ind w:firstLine="567"/>
        <w:rPr>
          <w:lang w:val="fr-FR"/>
        </w:rPr>
      </w:pPr>
      <w:r w:rsidRPr="0032623B">
        <w:rPr>
          <w:lang w:val="fr-FR"/>
        </w:rPr>
        <w:t>Le texte ci-après, établi par l’expert de l’Allemagne, vise à introduire des prescriptions applicables aux essais sur l’effet du soleil, qui peut retarder la perception d’un signal au point de poser un grave problème de sécurité si la lumière provenant du soleil dépasse une valeur déterminée. Les modifications qu’il est proposé d’apporter au texte actuel du Règlement figurent en caractères gras pour les ajouts et biffés pour les suppressions.</w:t>
      </w:r>
    </w:p>
    <w:p w:rsidR="00744A05" w:rsidRPr="0032623B" w:rsidRDefault="00744A05" w:rsidP="0032623B">
      <w:pPr>
        <w:pStyle w:val="HChG"/>
      </w:pPr>
      <w:r w:rsidRPr="0032623B">
        <w:br w:type="page"/>
      </w:r>
      <w:r w:rsidR="0032623B">
        <w:lastRenderedPageBreak/>
        <w:tab/>
      </w:r>
      <w:r w:rsidRPr="0032623B">
        <w:rPr>
          <w:lang w:val="fr-FR"/>
        </w:rPr>
        <w:t>I.</w:t>
      </w:r>
      <w:r w:rsidRPr="0032623B">
        <w:rPr>
          <w:lang w:val="fr-FR"/>
        </w:rPr>
        <w:tab/>
        <w:t>Proposition</w:t>
      </w:r>
    </w:p>
    <w:p w:rsidR="00744A05" w:rsidRPr="0032623B" w:rsidRDefault="00744A05" w:rsidP="0032623B">
      <w:pPr>
        <w:pStyle w:val="SingleTxtG"/>
        <w:keepNext/>
        <w:rPr>
          <w:bCs/>
        </w:rPr>
      </w:pPr>
      <w:r w:rsidRPr="0032623B">
        <w:rPr>
          <w:i/>
          <w:lang w:val="fr-FR"/>
        </w:rPr>
        <w:t>Ajouter</w:t>
      </w:r>
      <w:r w:rsidR="0032623B">
        <w:rPr>
          <w:i/>
          <w:lang w:val="fr-FR"/>
        </w:rPr>
        <w:t xml:space="preserve"> </w:t>
      </w:r>
      <w:r w:rsidRPr="0032623B">
        <w:rPr>
          <w:i/>
          <w:lang w:val="fr-FR"/>
        </w:rPr>
        <w:t>le nouveau paragraphe 5.5.5</w:t>
      </w:r>
      <w:r w:rsidRPr="0032623B">
        <w:rPr>
          <w:lang w:val="fr-FR"/>
        </w:rPr>
        <w:t>, libellé comme suit</w:t>
      </w:r>
      <w:r w:rsidR="0032623B">
        <w:rPr>
          <w:lang w:val="fr-FR"/>
        </w:rPr>
        <w:t> :</w:t>
      </w:r>
    </w:p>
    <w:p w:rsidR="00744A05" w:rsidRPr="00B62992" w:rsidRDefault="00BF289E" w:rsidP="00B62992">
      <w:pPr>
        <w:pStyle w:val="SingleTxtG"/>
        <w:ind w:left="2268" w:hanging="1134"/>
        <w:rPr>
          <w:b/>
          <w:bCs/>
        </w:rPr>
      </w:pPr>
      <w:r w:rsidRPr="00B62992">
        <w:rPr>
          <w:lang w:val="fr-FR"/>
        </w:rPr>
        <w:t>« </w:t>
      </w:r>
      <w:r w:rsidR="00744A05" w:rsidRPr="00B62992">
        <w:rPr>
          <w:b/>
          <w:lang w:val="fr-FR"/>
        </w:rPr>
        <w:t xml:space="preserve">5.5.5 </w:t>
      </w:r>
      <w:r w:rsidR="00744A05" w:rsidRPr="00B62992">
        <w:rPr>
          <w:b/>
          <w:lang w:val="fr-FR"/>
        </w:rPr>
        <w:tab/>
        <w:t xml:space="preserve">L’effet du soleil (effet fantôme) sur les feux-stop des catégories S1 à S4 doit être mesuré conformément à l’annexe 8 du présent Règlement. S’agissant des catégories S2 et S4 à intensité variable, seule l’intensité la plus forte sera mesurée. Le ratio </w:t>
      </w:r>
      <w:proofErr w:type="spellStart"/>
      <w:r w:rsidR="00744A05" w:rsidRPr="00B62992">
        <w:rPr>
          <w:b/>
          <w:lang w:val="fr-FR"/>
        </w:rPr>
        <w:t>F</w:t>
      </w:r>
      <w:r w:rsidR="00744A05" w:rsidRPr="00B62992">
        <w:rPr>
          <w:b/>
          <w:vertAlign w:val="subscript"/>
          <w:lang w:val="fr-FR"/>
        </w:rPr>
        <w:t>ph</w:t>
      </w:r>
      <w:proofErr w:type="spellEnd"/>
      <w:r w:rsidR="00744A05" w:rsidRPr="00B62992">
        <w:rPr>
          <w:b/>
          <w:lang w:val="fr-FR"/>
        </w:rPr>
        <w:t>,</w:t>
      </w:r>
      <w:r w:rsidR="0032623B" w:rsidRPr="00B62992">
        <w:rPr>
          <w:b/>
          <w:lang w:val="fr-FR"/>
        </w:rPr>
        <w:t xml:space="preserve"> </w:t>
      </w:r>
      <w:r w:rsidR="00744A05" w:rsidRPr="00B62992">
        <w:rPr>
          <w:b/>
          <w:lang w:val="fr-FR"/>
        </w:rPr>
        <w:t>déterminé par des essais en séquence sur la surface de sortie de la lumière du feu, tel qu’il est décrit au paragraphe 2 de l’annexe 8, ne doit pas être inférieur à 3.</w:t>
      </w:r>
      <w:bookmarkStart w:id="1" w:name="OLE_LINK1"/>
      <w:bookmarkEnd w:id="1"/>
    </w:p>
    <w:p w:rsidR="00744A05" w:rsidRPr="0032623B" w:rsidRDefault="00744A05" w:rsidP="00B62992">
      <w:pPr>
        <w:pStyle w:val="SingleTxtG"/>
        <w:ind w:left="2268"/>
      </w:pPr>
      <w:r w:rsidRPr="00B62992">
        <w:rPr>
          <w:b/>
          <w:bCs/>
          <w:lang w:val="fr-FR"/>
        </w:rPr>
        <w:t>En fonction de la nature du feu, et en particulier si sa construction optique ne crée pas de problème majeur sous l’effet du soleil (effet fantôme), les autorités compétentes peuvent autoriser les laboratoires à</w:t>
      </w:r>
      <w:r w:rsidR="0032623B" w:rsidRPr="00B62992">
        <w:rPr>
          <w:b/>
          <w:bCs/>
          <w:lang w:val="fr-FR"/>
        </w:rPr>
        <w:t xml:space="preserve"> </w:t>
      </w:r>
      <w:r w:rsidRPr="00B62992">
        <w:rPr>
          <w:b/>
          <w:bCs/>
          <w:lang w:val="fr-FR"/>
        </w:rPr>
        <w:t>ignorer cet essai, sous réserve expresse que mention en soit faite dans la rubrique « Observations » (point 9.4) de la fiche de communication figurant à l’annexe 1.</w:t>
      </w:r>
      <w:r w:rsidRPr="0032623B">
        <w:rPr>
          <w:bCs/>
          <w:lang w:val="fr-FR"/>
        </w:rPr>
        <w:t> </w:t>
      </w:r>
      <w:r w:rsidRPr="00B62992">
        <w:rPr>
          <w:bCs/>
          <w:lang w:val="fr-FR"/>
        </w:rPr>
        <w:t>».</w:t>
      </w:r>
    </w:p>
    <w:p w:rsidR="00744A05" w:rsidRPr="0032623B" w:rsidRDefault="00744A05" w:rsidP="00B62992">
      <w:pPr>
        <w:pStyle w:val="SingleTxtG"/>
        <w:keepNext/>
        <w:rPr>
          <w:bCs/>
        </w:rPr>
      </w:pPr>
      <w:r w:rsidRPr="0032623B">
        <w:rPr>
          <w:i/>
          <w:iCs/>
          <w:lang w:val="fr-FR"/>
        </w:rPr>
        <w:t>Ajouter</w:t>
      </w:r>
      <w:r w:rsidR="0032623B">
        <w:rPr>
          <w:i/>
          <w:iCs/>
          <w:lang w:val="fr-FR"/>
        </w:rPr>
        <w:t xml:space="preserve"> </w:t>
      </w:r>
      <w:r w:rsidRPr="0032623B">
        <w:rPr>
          <w:i/>
          <w:iCs/>
          <w:lang w:val="fr-FR"/>
        </w:rPr>
        <w:t>le nouveau paragraphe 5.6.12</w:t>
      </w:r>
      <w:r w:rsidRPr="0032623B">
        <w:rPr>
          <w:lang w:val="fr-FR"/>
        </w:rPr>
        <w:t>, libellé comme suit</w:t>
      </w:r>
      <w:r w:rsidR="0032623B">
        <w:rPr>
          <w:lang w:val="fr-FR"/>
        </w:rPr>
        <w:t> :</w:t>
      </w:r>
    </w:p>
    <w:p w:rsidR="00744A05" w:rsidRPr="0032623B" w:rsidRDefault="00744A05" w:rsidP="00B62992">
      <w:pPr>
        <w:pStyle w:val="SingleTxtG"/>
        <w:ind w:left="2268" w:hanging="1134"/>
        <w:rPr>
          <w:b/>
          <w:bCs/>
        </w:rPr>
      </w:pPr>
      <w:r w:rsidRPr="007E0737">
        <w:rPr>
          <w:bCs/>
        </w:rPr>
        <w:t>« </w:t>
      </w:r>
      <w:r w:rsidRPr="0032623B">
        <w:rPr>
          <w:b/>
          <w:bCs/>
          <w:lang w:val="fr-FR"/>
        </w:rPr>
        <w:t>5.6.12</w:t>
      </w:r>
      <w:r w:rsidRPr="0032623B">
        <w:rPr>
          <w:lang w:val="fr-FR"/>
        </w:rPr>
        <w:t xml:space="preserve"> </w:t>
      </w:r>
      <w:r w:rsidRPr="0032623B">
        <w:rPr>
          <w:lang w:val="fr-FR"/>
        </w:rPr>
        <w:tab/>
      </w:r>
      <w:r w:rsidRPr="0032623B">
        <w:rPr>
          <w:b/>
          <w:lang w:val="fr-FR"/>
        </w:rPr>
        <w:t xml:space="preserve">L’effet du soleil (effet fantôme) sur les feux indicateurs de direction des catégories 2a et 2b doit être mesuré conformément à l’annexe 8 du présent Règlement. S’agissant de la catégorie 2b à intensité variable, seule l’intensité la plus forte sera mesurée. Le ratio </w:t>
      </w:r>
      <w:proofErr w:type="spellStart"/>
      <w:r w:rsidRPr="0032623B">
        <w:rPr>
          <w:b/>
          <w:lang w:val="fr-FR"/>
        </w:rPr>
        <w:t>F</w:t>
      </w:r>
      <w:r w:rsidRPr="0032623B">
        <w:rPr>
          <w:b/>
          <w:vertAlign w:val="subscript"/>
          <w:lang w:val="fr-FR"/>
        </w:rPr>
        <w:t>ph</w:t>
      </w:r>
      <w:proofErr w:type="spellEnd"/>
      <w:r w:rsidRPr="0032623B">
        <w:rPr>
          <w:b/>
          <w:lang w:val="fr-FR"/>
        </w:rPr>
        <w:t>,</w:t>
      </w:r>
      <w:r w:rsidR="0032623B">
        <w:rPr>
          <w:b/>
          <w:lang w:val="fr-FR"/>
        </w:rPr>
        <w:t xml:space="preserve"> </w:t>
      </w:r>
      <w:r w:rsidRPr="0032623B">
        <w:rPr>
          <w:b/>
          <w:lang w:val="fr-FR"/>
        </w:rPr>
        <w:t>déterminé sur la surface de sortie de la lumière du feu, ne doit pas être inférieur à 3.</w:t>
      </w:r>
      <w:bookmarkStart w:id="2" w:name="_Toc473483485"/>
    </w:p>
    <w:p w:rsidR="00744A05" w:rsidRPr="0032623B" w:rsidRDefault="00744A05" w:rsidP="007E0737">
      <w:pPr>
        <w:pStyle w:val="SingleTxtG"/>
        <w:ind w:left="2268"/>
        <w:rPr>
          <w:b/>
        </w:rPr>
      </w:pPr>
      <w:r w:rsidRPr="0032623B">
        <w:rPr>
          <w:b/>
          <w:bCs/>
          <w:lang w:val="fr-FR"/>
        </w:rPr>
        <w:t>En fonction de la nature du feu, et en particulier si sa construction optique ne crée pas de problème majeur sous l’effet du soleil (effet fantôme), les autorités compétentes peuvent autoriser les laboratoires à</w:t>
      </w:r>
      <w:r w:rsidR="0032623B">
        <w:rPr>
          <w:b/>
          <w:bCs/>
          <w:lang w:val="fr-FR"/>
        </w:rPr>
        <w:t xml:space="preserve"> </w:t>
      </w:r>
      <w:r w:rsidRPr="0032623B">
        <w:rPr>
          <w:b/>
          <w:bCs/>
          <w:lang w:val="fr-FR"/>
        </w:rPr>
        <w:t>ignorer cet essai, sous réserve expresse que mention en soit faite dans la rubrique « Observations » (point 9.4) de la fiche de communication figurant à l’annexe 1. </w:t>
      </w:r>
      <w:r w:rsidRPr="007E0737">
        <w:rPr>
          <w:bCs/>
          <w:lang w:val="fr-FR"/>
        </w:rPr>
        <w:t>».</w:t>
      </w:r>
    </w:p>
    <w:p w:rsidR="00744A05" w:rsidRPr="0032623B" w:rsidRDefault="00744A05" w:rsidP="00B62992">
      <w:pPr>
        <w:pStyle w:val="SingleTxtG"/>
        <w:keepNext/>
        <w:rPr>
          <w:b/>
          <w:bCs/>
          <w:i/>
        </w:rPr>
      </w:pPr>
      <w:r w:rsidRPr="0032623B">
        <w:rPr>
          <w:i/>
          <w:iCs/>
          <w:lang w:val="fr-FR"/>
        </w:rPr>
        <w:t>Annexe 1, ajouter</w:t>
      </w:r>
      <w:r w:rsidR="0032623B">
        <w:rPr>
          <w:b/>
          <w:i/>
          <w:iCs/>
          <w:lang w:val="fr-FR"/>
        </w:rPr>
        <w:t xml:space="preserve"> </w:t>
      </w:r>
      <w:r w:rsidRPr="0032623B">
        <w:rPr>
          <w:i/>
          <w:iCs/>
          <w:lang w:val="fr-FR"/>
        </w:rPr>
        <w:t>le nouveau paragraphe 9.4</w:t>
      </w:r>
      <w:r w:rsidRPr="007E0737">
        <w:rPr>
          <w:iCs/>
          <w:lang w:val="fr-FR"/>
        </w:rPr>
        <w:t>,</w:t>
      </w:r>
      <w:r w:rsidRPr="0032623B">
        <w:rPr>
          <w:lang w:val="fr-FR"/>
        </w:rPr>
        <w:t xml:space="preserve"> libellé comme suit</w:t>
      </w:r>
      <w:r w:rsidR="0032623B">
        <w:rPr>
          <w:b/>
          <w:lang w:val="fr-FR"/>
        </w:rPr>
        <w:t> :</w:t>
      </w:r>
    </w:p>
    <w:p w:rsidR="00744A05" w:rsidRPr="0032623B" w:rsidRDefault="00744A05" w:rsidP="007E0737">
      <w:pPr>
        <w:pStyle w:val="SingleTxtG"/>
        <w:ind w:left="2268" w:hanging="1134"/>
        <w:rPr>
          <w:b/>
          <w:bCs/>
          <w:lang w:val="fr-FR"/>
        </w:rPr>
      </w:pPr>
      <w:r w:rsidRPr="007E0737">
        <w:rPr>
          <w:bCs/>
          <w:lang w:val="fr-FR"/>
        </w:rPr>
        <w:t>« </w:t>
      </w:r>
      <w:r w:rsidRPr="0032623B">
        <w:rPr>
          <w:b/>
          <w:bCs/>
          <w:lang w:val="fr-FR"/>
        </w:rPr>
        <w:t>9.4</w:t>
      </w:r>
      <w:r w:rsidRPr="0032623B">
        <w:rPr>
          <w:lang w:val="fr-FR"/>
        </w:rPr>
        <w:t xml:space="preserve"> </w:t>
      </w:r>
      <w:r w:rsidRPr="0032623B">
        <w:rPr>
          <w:lang w:val="fr-FR"/>
        </w:rPr>
        <w:tab/>
      </w:r>
      <w:r w:rsidRPr="0032623B">
        <w:rPr>
          <w:lang w:val="fr-FR"/>
        </w:rPr>
        <w:tab/>
      </w:r>
      <w:r w:rsidRPr="0032623B">
        <w:rPr>
          <w:b/>
          <w:bCs/>
          <w:lang w:val="fr-FR"/>
        </w:rPr>
        <w:t>Observations</w:t>
      </w:r>
    </w:p>
    <w:p w:rsidR="00744A05" w:rsidRPr="0032623B" w:rsidRDefault="00E73706" w:rsidP="00E73706">
      <w:pPr>
        <w:pStyle w:val="SingleTxtG"/>
        <w:tabs>
          <w:tab w:val="right" w:leader="dot" w:pos="8364"/>
        </w:tabs>
        <w:ind w:left="2268"/>
        <w:rPr>
          <w:b/>
          <w:lang w:eastAsia="de-DE"/>
        </w:rPr>
      </w:pPr>
      <w:r>
        <w:rPr>
          <w:b/>
          <w:lang w:eastAsia="de-DE"/>
        </w:rPr>
        <w:tab/>
      </w:r>
      <w:r w:rsidR="00744A05" w:rsidRPr="0032623B">
        <w:rPr>
          <w:b/>
          <w:lang w:eastAsia="de-DE"/>
        </w:rPr>
        <w:t> </w:t>
      </w:r>
      <w:r w:rsidR="00744A05" w:rsidRPr="007E0737">
        <w:rPr>
          <w:lang w:eastAsia="de-DE"/>
        </w:rPr>
        <w:t>»</w:t>
      </w:r>
      <w:r>
        <w:rPr>
          <w:lang w:eastAsia="de-DE"/>
        </w:rPr>
        <w:t>.</w:t>
      </w:r>
    </w:p>
    <w:p w:rsidR="00744A05" w:rsidRPr="0032623B" w:rsidRDefault="00744A05" w:rsidP="00B62992">
      <w:pPr>
        <w:pStyle w:val="SingleTxtG"/>
        <w:keepNext/>
        <w:rPr>
          <w:bCs/>
        </w:rPr>
      </w:pPr>
      <w:r w:rsidRPr="0032623B">
        <w:rPr>
          <w:i/>
          <w:iCs/>
          <w:lang w:val="fr-FR"/>
        </w:rPr>
        <w:t>Annexe 5, ajouter</w:t>
      </w:r>
      <w:r w:rsidR="0032623B">
        <w:rPr>
          <w:i/>
          <w:iCs/>
          <w:lang w:val="fr-FR"/>
        </w:rPr>
        <w:t xml:space="preserve"> </w:t>
      </w:r>
      <w:r w:rsidRPr="0032623B">
        <w:rPr>
          <w:i/>
          <w:iCs/>
          <w:lang w:val="fr-FR"/>
        </w:rPr>
        <w:t>le nouveau paragraphe 1.5</w:t>
      </w:r>
      <w:r w:rsidRPr="006F694C">
        <w:rPr>
          <w:iCs/>
          <w:lang w:val="fr-FR"/>
        </w:rPr>
        <w:t>,</w:t>
      </w:r>
      <w:r w:rsidRPr="006F694C">
        <w:rPr>
          <w:lang w:val="fr-FR"/>
        </w:rPr>
        <w:t xml:space="preserve"> </w:t>
      </w:r>
      <w:r w:rsidRPr="0032623B">
        <w:rPr>
          <w:lang w:val="fr-FR"/>
        </w:rPr>
        <w:t>libellé comme suit</w:t>
      </w:r>
      <w:r w:rsidR="0032623B">
        <w:rPr>
          <w:lang w:val="fr-FR"/>
        </w:rPr>
        <w:t> :</w:t>
      </w:r>
      <w:bookmarkEnd w:id="2"/>
    </w:p>
    <w:p w:rsidR="00744A05" w:rsidRPr="0032623B" w:rsidRDefault="00744A05" w:rsidP="007E0737">
      <w:pPr>
        <w:pStyle w:val="SingleTxtG"/>
        <w:ind w:left="2268" w:hanging="1134"/>
        <w:rPr>
          <w:b/>
          <w:bCs/>
          <w:i/>
        </w:rPr>
      </w:pPr>
      <w:r w:rsidRPr="007E0737">
        <w:rPr>
          <w:bCs/>
        </w:rPr>
        <w:t>« </w:t>
      </w:r>
      <w:r w:rsidRPr="0032623B">
        <w:rPr>
          <w:b/>
          <w:bCs/>
          <w:lang w:val="fr-FR"/>
        </w:rPr>
        <w:t>1.5</w:t>
      </w:r>
      <w:r w:rsidRPr="0032623B">
        <w:rPr>
          <w:lang w:val="fr-FR"/>
        </w:rPr>
        <w:tab/>
      </w:r>
      <w:r w:rsidRPr="0032623B">
        <w:rPr>
          <w:b/>
          <w:lang w:val="fr-FR"/>
        </w:rPr>
        <w:tab/>
        <w:t xml:space="preserve">En cas de doute quant à la conformité avec l’essai décrit aux paragraphes 5.5.5 ou 5.6.12 du présent Règlement ou si une observation de la fiche de communication (point 9.4 </w:t>
      </w:r>
      <w:r w:rsidRPr="0032623B">
        <w:rPr>
          <w:b/>
          <w:bCs/>
          <w:lang w:val="fr-FR"/>
        </w:rPr>
        <w:t>de l’annexe 1) indique que cet essai n’a pas été réalisé, la conformité aux prescriptions relatives à l’effet du soleil (effet fantôme) doit être vérifiée comme spécifié dans lesdits paragraphes. </w:t>
      </w:r>
      <w:r w:rsidRPr="007E0737">
        <w:rPr>
          <w:bCs/>
          <w:lang w:val="fr-FR"/>
        </w:rPr>
        <w:t>».</w:t>
      </w:r>
    </w:p>
    <w:p w:rsidR="00744A05" w:rsidRPr="0032623B" w:rsidRDefault="00744A05" w:rsidP="00B62992">
      <w:pPr>
        <w:pStyle w:val="SingleTxtG"/>
        <w:keepNext/>
        <w:rPr>
          <w:bCs/>
          <w:i/>
        </w:rPr>
      </w:pPr>
      <w:r w:rsidRPr="0032623B">
        <w:rPr>
          <w:i/>
          <w:iCs/>
          <w:lang w:val="fr-FR"/>
        </w:rPr>
        <w:t>Ajouter</w:t>
      </w:r>
      <w:r w:rsidR="0032623B">
        <w:rPr>
          <w:i/>
          <w:iCs/>
          <w:lang w:val="fr-FR"/>
        </w:rPr>
        <w:t xml:space="preserve"> </w:t>
      </w:r>
      <w:r w:rsidRPr="0032623B">
        <w:rPr>
          <w:i/>
          <w:iCs/>
          <w:lang w:val="fr-FR"/>
        </w:rPr>
        <w:t>la nouvelle annexe 8</w:t>
      </w:r>
      <w:r w:rsidRPr="0032623B">
        <w:rPr>
          <w:lang w:val="fr-FR"/>
        </w:rPr>
        <w:t>, libellée comme suit</w:t>
      </w:r>
      <w:r w:rsidR="0032623B">
        <w:rPr>
          <w:lang w:val="fr-FR"/>
        </w:rPr>
        <w:t> :</w:t>
      </w:r>
    </w:p>
    <w:p w:rsidR="00744A05" w:rsidRPr="0032623B" w:rsidRDefault="00E73706" w:rsidP="00744A05">
      <w:pPr>
        <w:pStyle w:val="HChG"/>
        <w:spacing w:line="240" w:lineRule="atLeast"/>
      </w:pPr>
      <w:r w:rsidRPr="00E73706">
        <w:rPr>
          <w:b w:val="0"/>
          <w:bCs/>
          <w:sz w:val="20"/>
          <w:lang w:val="fr-FR"/>
        </w:rPr>
        <w:t>« </w:t>
      </w:r>
      <w:r w:rsidR="00744A05" w:rsidRPr="0032623B">
        <w:rPr>
          <w:bCs/>
          <w:lang w:val="fr-FR"/>
        </w:rPr>
        <w:t>Annexe 8</w:t>
      </w:r>
    </w:p>
    <w:p w:rsidR="00744A05" w:rsidRPr="0032623B" w:rsidRDefault="00724887" w:rsidP="00724887">
      <w:pPr>
        <w:pStyle w:val="HChG"/>
        <w:rPr>
          <w:szCs w:val="28"/>
        </w:rPr>
      </w:pPr>
      <w:r>
        <w:rPr>
          <w:lang w:val="fr-FR"/>
        </w:rPr>
        <w:tab/>
      </w:r>
      <w:r>
        <w:rPr>
          <w:lang w:val="fr-FR"/>
        </w:rPr>
        <w:tab/>
      </w:r>
      <w:r w:rsidR="00744A05" w:rsidRPr="0032623B">
        <w:rPr>
          <w:lang w:val="fr-FR"/>
        </w:rPr>
        <w:t>Mesure de l’effet du soleil</w:t>
      </w:r>
    </w:p>
    <w:p w:rsidR="00744A05" w:rsidRPr="00724887" w:rsidRDefault="00744A05" w:rsidP="00724887">
      <w:pPr>
        <w:pStyle w:val="SingleTxtG"/>
        <w:keepNext/>
        <w:ind w:left="2268" w:hanging="1134"/>
        <w:rPr>
          <w:b/>
        </w:rPr>
      </w:pPr>
      <w:r w:rsidRPr="00724887">
        <w:rPr>
          <w:b/>
        </w:rPr>
        <w:t>1.</w:t>
      </w:r>
      <w:r w:rsidRPr="00724887">
        <w:rPr>
          <w:b/>
        </w:rPr>
        <w:tab/>
      </w:r>
      <w:r w:rsidRPr="00724887">
        <w:rPr>
          <w:b/>
          <w:lang w:val="fr-FR"/>
        </w:rPr>
        <w:t>Conditions de mesure</w:t>
      </w:r>
    </w:p>
    <w:p w:rsidR="00744A05" w:rsidRPr="00724887" w:rsidRDefault="00744A05" w:rsidP="00724887">
      <w:pPr>
        <w:pStyle w:val="SingleTxtG"/>
        <w:ind w:left="2268"/>
        <w:rPr>
          <w:b/>
        </w:rPr>
      </w:pPr>
      <w:r w:rsidRPr="00724887">
        <w:rPr>
          <w:b/>
          <w:lang w:val="fr-FR"/>
        </w:rPr>
        <w:t>Pour évaluer l’effet du soleil (effet fantôme), il convient de prendre les mesures</w:t>
      </w:r>
      <w:r w:rsidR="0032623B" w:rsidRPr="00724887">
        <w:rPr>
          <w:b/>
          <w:lang w:val="fr-FR"/>
        </w:rPr>
        <w:t xml:space="preserve"> </w:t>
      </w:r>
      <w:r w:rsidRPr="00724887">
        <w:rPr>
          <w:b/>
          <w:lang w:val="fr-FR"/>
        </w:rPr>
        <w:t>sur le feu</w:t>
      </w:r>
      <w:r w:rsidR="0032623B" w:rsidRPr="00724887">
        <w:rPr>
          <w:b/>
          <w:lang w:val="fr-FR"/>
        </w:rPr>
        <w:t xml:space="preserve"> </w:t>
      </w:r>
      <w:r w:rsidRPr="00724887">
        <w:rPr>
          <w:b/>
          <w:lang w:val="fr-FR"/>
        </w:rPr>
        <w:t xml:space="preserve">avec une source lumineuse, comme prescrit au paragraphe 4.7 du présent Règlement. </w:t>
      </w:r>
    </w:p>
    <w:p w:rsidR="00744A05" w:rsidRPr="00724887" w:rsidRDefault="00744A05" w:rsidP="00724887">
      <w:pPr>
        <w:pStyle w:val="SingleTxtG"/>
        <w:ind w:left="2268"/>
        <w:rPr>
          <w:b/>
        </w:rPr>
      </w:pPr>
      <w:r w:rsidRPr="00724887">
        <w:rPr>
          <w:b/>
          <w:lang w:val="fr-FR"/>
        </w:rPr>
        <w:t xml:space="preserve">Conformément à la figure 1 ci-après, la source lumineuse reproduisant l’effet du soleil est un projecteur dont la température de couleur proximale est comprise entre 4 500 K et 6 500 K. </w:t>
      </w:r>
    </w:p>
    <w:p w:rsidR="00744A05" w:rsidRPr="00724887" w:rsidRDefault="00744A05" w:rsidP="00724887">
      <w:pPr>
        <w:pStyle w:val="SingleTxtG"/>
        <w:ind w:left="2268"/>
        <w:rPr>
          <w:b/>
        </w:rPr>
      </w:pPr>
      <w:r w:rsidRPr="00724887">
        <w:rPr>
          <w:b/>
          <w:lang w:val="fr-FR"/>
        </w:rPr>
        <w:lastRenderedPageBreak/>
        <w:t>La lumière du projecteur doit, au minimum, illuminer la surface de sortie de la lumière de l’unité optique avec un éclairement E de 40</w:t>
      </w:r>
      <w:r w:rsidR="00724887">
        <w:rPr>
          <w:b/>
          <w:lang w:val="fr-FR"/>
        </w:rPr>
        <w:t> </w:t>
      </w:r>
      <w:r w:rsidRPr="00724887">
        <w:rPr>
          <w:b/>
          <w:lang w:val="fr-FR"/>
        </w:rPr>
        <w:t>000</w:t>
      </w:r>
      <w:r w:rsidR="00724887">
        <w:rPr>
          <w:b/>
          <w:lang w:val="fr-FR"/>
        </w:rPr>
        <w:t> </w:t>
      </w:r>
      <w:r w:rsidRPr="00724887">
        <w:rPr>
          <w:b/>
          <w:lang w:val="fr-FR"/>
        </w:rPr>
        <w:t xml:space="preserve">lx et une uniformité de 10 % (dans la surface de sortie de la lumière). </w:t>
      </w:r>
    </w:p>
    <w:p w:rsidR="00744A05" w:rsidRPr="00724887" w:rsidRDefault="00744A05" w:rsidP="00724887">
      <w:pPr>
        <w:pStyle w:val="SingleTxtG"/>
        <w:ind w:left="2268"/>
        <w:rPr>
          <w:b/>
        </w:rPr>
      </w:pPr>
      <w:r w:rsidRPr="00724887">
        <w:rPr>
          <w:b/>
          <w:lang w:val="fr-FR"/>
        </w:rPr>
        <w:t xml:space="preserve">L’axe de référence du feu et l’axe du projecteur doivent former un angle de 10°. </w:t>
      </w:r>
    </w:p>
    <w:p w:rsidR="00744A05" w:rsidRPr="00724887" w:rsidRDefault="00744A05" w:rsidP="00724887">
      <w:pPr>
        <w:pStyle w:val="SingleTxtG"/>
        <w:ind w:left="2268"/>
        <w:rPr>
          <w:b/>
        </w:rPr>
      </w:pPr>
      <w:r w:rsidRPr="00724887">
        <w:rPr>
          <w:b/>
          <w:lang w:val="fr-FR"/>
        </w:rPr>
        <w:t>Le plan formé par les deux axes doit être un plan vertical fonctionnel. Le</w:t>
      </w:r>
      <w:r w:rsidR="00724887">
        <w:rPr>
          <w:b/>
          <w:lang w:val="fr-FR"/>
        </w:rPr>
        <w:t> </w:t>
      </w:r>
      <w:r w:rsidRPr="00724887">
        <w:rPr>
          <w:b/>
          <w:lang w:val="fr-FR"/>
        </w:rPr>
        <w:t>projecteur doit être positionné de sorte à diffuser la lumière par le dessus du feu de signalisation.</w:t>
      </w:r>
    </w:p>
    <w:p w:rsidR="00744A05" w:rsidRDefault="00744A05" w:rsidP="00724887">
      <w:pPr>
        <w:pStyle w:val="SingleTxtG"/>
        <w:ind w:left="2268"/>
        <w:rPr>
          <w:b/>
          <w:lang w:val="fr-FR"/>
        </w:rPr>
      </w:pPr>
      <w:r w:rsidRPr="00724887">
        <w:rPr>
          <w:b/>
          <w:lang w:val="fr-FR"/>
        </w:rPr>
        <w:t>Si l’éclairement E</w:t>
      </w:r>
      <w:r w:rsidRPr="00724887">
        <w:rPr>
          <w:b/>
          <w:vertAlign w:val="subscript"/>
          <w:lang w:val="fr-FR"/>
        </w:rPr>
        <w:t>1</w:t>
      </w:r>
      <w:r w:rsidRPr="00724887">
        <w:rPr>
          <w:b/>
          <w:lang w:val="fr-FR"/>
        </w:rPr>
        <w:t xml:space="preserve"> sur la surface de sortie de la lumière du feu ne peut pas être réalisé avec un éclairement E de 40</w:t>
      </w:r>
      <w:r w:rsidR="00724887">
        <w:rPr>
          <w:b/>
          <w:lang w:val="fr-FR"/>
        </w:rPr>
        <w:t> </w:t>
      </w:r>
      <w:r w:rsidRPr="00724887">
        <w:rPr>
          <w:b/>
          <w:lang w:val="fr-FR"/>
        </w:rPr>
        <w:t>000</w:t>
      </w:r>
      <w:r w:rsidR="00724887">
        <w:rPr>
          <w:b/>
          <w:lang w:val="fr-FR"/>
        </w:rPr>
        <w:t> </w:t>
      </w:r>
      <w:r w:rsidRPr="00724887">
        <w:rPr>
          <w:b/>
          <w:lang w:val="fr-FR"/>
        </w:rPr>
        <w:t>lx</w:t>
      </w:r>
      <w:r w:rsidR="0032623B" w:rsidRPr="00724887">
        <w:rPr>
          <w:b/>
          <w:lang w:val="fr-FR"/>
        </w:rPr>
        <w:t xml:space="preserve"> </w:t>
      </w:r>
      <w:r w:rsidRPr="00724887">
        <w:rPr>
          <w:b/>
          <w:lang w:val="fr-FR"/>
        </w:rPr>
        <w:t xml:space="preserve">correspondant à l’effet du soleil (effet fantôme), la luminance </w:t>
      </w:r>
      <w:proofErr w:type="spellStart"/>
      <w:r w:rsidRPr="00724887">
        <w:rPr>
          <w:b/>
          <w:lang w:val="fr-FR"/>
        </w:rPr>
        <w:t>L</w:t>
      </w:r>
      <w:r w:rsidRPr="00724887">
        <w:rPr>
          <w:b/>
          <w:vertAlign w:val="subscript"/>
          <w:lang w:val="fr-FR"/>
        </w:rPr>
        <w:t>ph</w:t>
      </w:r>
      <w:proofErr w:type="spellEnd"/>
      <w:r w:rsidRPr="00724887">
        <w:rPr>
          <w:b/>
          <w:lang w:val="fr-FR"/>
        </w:rPr>
        <w:t xml:space="preserve"> peut également être calculée pour les éclairements E</w:t>
      </w:r>
      <w:r w:rsidRPr="00724887">
        <w:rPr>
          <w:b/>
          <w:vertAlign w:val="subscript"/>
          <w:lang w:val="fr-FR"/>
        </w:rPr>
        <w:t>1</w:t>
      </w:r>
      <w:r w:rsidRPr="00724887">
        <w:rPr>
          <w:b/>
          <w:lang w:val="fr-FR"/>
        </w:rPr>
        <w:t xml:space="preserve"> plus faibles à partir de</w:t>
      </w:r>
      <w:r w:rsidR="0032623B" w:rsidRPr="00724887">
        <w:rPr>
          <w:b/>
          <w:lang w:val="fr-FR"/>
        </w:rPr>
        <w:t xml:space="preserve"> </w:t>
      </w:r>
      <w:r w:rsidRPr="00724887">
        <w:rPr>
          <w:b/>
          <w:lang w:val="fr-FR"/>
        </w:rPr>
        <w:t xml:space="preserve">la luminance </w:t>
      </w:r>
      <w:proofErr w:type="spellStart"/>
      <w:r w:rsidRPr="00724887">
        <w:rPr>
          <w:b/>
          <w:lang w:val="fr-FR"/>
        </w:rPr>
        <w:t>L</w:t>
      </w:r>
      <w:r w:rsidRPr="00724887">
        <w:rPr>
          <w:b/>
          <w:vertAlign w:val="subscript"/>
          <w:lang w:val="fr-FR"/>
        </w:rPr>
        <w:t>phl</w:t>
      </w:r>
      <w:proofErr w:type="spellEnd"/>
      <w:r w:rsidRPr="00724887">
        <w:rPr>
          <w:b/>
          <w:lang w:val="fr-FR"/>
        </w:rPr>
        <w:t xml:space="preserve"> plus faible telle que mesurée</w:t>
      </w:r>
      <w:r w:rsidR="0032623B" w:rsidRPr="00724887">
        <w:rPr>
          <w:b/>
          <w:lang w:val="fr-FR"/>
        </w:rPr>
        <w:t> :</w:t>
      </w:r>
    </w:p>
    <w:p w:rsidR="005907B5" w:rsidRPr="003A1890" w:rsidRDefault="004E34EC" w:rsidP="003A1890">
      <w:pPr>
        <w:spacing w:after="120"/>
        <w:ind w:left="2268" w:right="1134"/>
        <w:jc w:val="center"/>
        <w:rPr>
          <w:rFonts w:eastAsia="MS Mincho"/>
          <w:b/>
          <w:iCs/>
          <w:lang w:eastAsia="ja-JP"/>
        </w:rPr>
      </w:pPr>
      <m:oMathPara>
        <m:oMathParaPr>
          <m:jc m:val="left"/>
        </m:oMathParaPr>
        <m:oMath>
          <m:sSub>
            <m:sSubPr>
              <m:ctrlPr>
                <w:rPr>
                  <w:rFonts w:ascii="Cambria Math" w:eastAsia="MS Mincho" w:hAnsi="Cambria Math"/>
                  <w:iCs/>
                  <w:lang w:eastAsia="ja-JP"/>
                </w:rPr>
              </m:ctrlPr>
            </m:sSubPr>
            <m:e>
              <m:r>
                <m:rPr>
                  <m:sty m:val="p"/>
                </m:rPr>
                <w:rPr>
                  <w:rFonts w:ascii="Cambria Math" w:eastAsia="MS Mincho" w:hAnsi="Cambria Math"/>
                  <w:lang w:eastAsia="ja-JP"/>
                </w:rPr>
                <m:t>L</m:t>
              </m:r>
            </m:e>
            <m:sub>
              <m:r>
                <m:rPr>
                  <m:sty m:val="p"/>
                </m:rPr>
                <w:rPr>
                  <w:rFonts w:ascii="Cambria Math" w:eastAsia="MS Mincho" w:hAnsi="Cambria Math"/>
                  <w:lang w:eastAsia="ja-JP"/>
                </w:rPr>
                <m:t>ph</m:t>
              </m:r>
            </m:sub>
          </m:sSub>
          <m:r>
            <m:rPr>
              <m:sty m:val="p"/>
            </m:rPr>
            <w:rPr>
              <w:rFonts w:ascii="Cambria Math" w:eastAsia="MS Mincho" w:hAnsi="Cambria Math"/>
              <w:lang w:eastAsia="ja-JP"/>
            </w:rPr>
            <m:t xml:space="preserve"> = </m:t>
          </m:r>
          <m:sSub>
            <m:sSubPr>
              <m:ctrlPr>
                <w:rPr>
                  <w:rFonts w:ascii="Cambria Math" w:eastAsia="MS Mincho" w:hAnsi="Cambria Math"/>
                  <w:iCs/>
                  <w:lang w:eastAsia="ja-JP"/>
                </w:rPr>
              </m:ctrlPr>
            </m:sSubPr>
            <m:e>
              <m:r>
                <m:rPr>
                  <m:sty m:val="p"/>
                </m:rPr>
                <w:rPr>
                  <w:rFonts w:ascii="Cambria Math" w:eastAsia="MS Mincho" w:hAnsi="Cambria Math"/>
                  <w:lang w:eastAsia="ja-JP"/>
                </w:rPr>
                <m:t>L</m:t>
              </m:r>
            </m:e>
            <m:sub>
              <m:r>
                <m:rPr>
                  <m:sty m:val="p"/>
                </m:rPr>
                <w:rPr>
                  <w:rFonts w:ascii="Cambria Math" w:eastAsia="MS Mincho" w:hAnsi="Cambria Math"/>
                  <w:lang w:eastAsia="ja-JP"/>
                </w:rPr>
                <m:t>phl</m:t>
              </m:r>
            </m:sub>
          </m:sSub>
          <m:r>
            <m:rPr>
              <m:sty m:val="p"/>
            </m:rPr>
            <w:rPr>
              <w:rFonts w:ascii="Cambria Math" w:eastAsia="MS Mincho" w:hAnsi="Cambria Math"/>
              <w:lang w:eastAsia="ja-JP"/>
            </w:rPr>
            <m:t xml:space="preserve"> × </m:t>
          </m:r>
          <m:f>
            <m:fPr>
              <m:ctrlPr>
                <w:rPr>
                  <w:rFonts w:ascii="Cambria Math" w:eastAsia="MS Mincho" w:hAnsi="Cambria Math"/>
                  <w:iCs/>
                  <w:lang w:eastAsia="ja-JP"/>
                </w:rPr>
              </m:ctrlPr>
            </m:fPr>
            <m:num>
              <m:r>
                <m:rPr>
                  <m:sty m:val="p"/>
                </m:rPr>
                <w:rPr>
                  <w:rFonts w:ascii="Cambria Math" w:eastAsia="MS Mincho" w:hAnsi="Cambria Math"/>
                  <w:lang w:eastAsia="ja-JP"/>
                </w:rPr>
                <m:t>40 000 lx</m:t>
              </m:r>
            </m:num>
            <m:den>
              <m:sSub>
                <m:sSubPr>
                  <m:ctrlPr>
                    <w:rPr>
                      <w:rFonts w:ascii="Cambria Math" w:eastAsia="MS Mincho" w:hAnsi="Cambria Math"/>
                      <w:iCs/>
                      <w:lang w:eastAsia="ja-JP"/>
                    </w:rPr>
                  </m:ctrlPr>
                </m:sSubPr>
                <m:e>
                  <m:r>
                    <m:rPr>
                      <m:sty m:val="p"/>
                    </m:rPr>
                    <w:rPr>
                      <w:rFonts w:ascii="Cambria Math" w:eastAsia="MS Mincho" w:hAnsi="Cambria Math"/>
                      <w:lang w:eastAsia="ja-JP"/>
                    </w:rPr>
                    <m:t>E</m:t>
                  </m:r>
                </m:e>
                <m:sub>
                  <m:r>
                    <m:rPr>
                      <m:sty m:val="p"/>
                    </m:rPr>
                    <w:rPr>
                      <w:rFonts w:ascii="Cambria Math" w:eastAsia="MS Mincho" w:hAnsi="Cambria Math"/>
                      <w:lang w:eastAsia="ja-JP"/>
                    </w:rPr>
                    <m:t>l</m:t>
                  </m:r>
                </m:sub>
              </m:sSub>
            </m:den>
          </m:f>
        </m:oMath>
      </m:oMathPara>
    </w:p>
    <w:p w:rsidR="00744A05" w:rsidRPr="0032623B" w:rsidRDefault="00744A05" w:rsidP="003A1890">
      <w:pPr>
        <w:pStyle w:val="SingleTxtG"/>
        <w:ind w:left="2268"/>
        <w:rPr>
          <w:b/>
          <w:iCs/>
        </w:rPr>
      </w:pPr>
      <w:r w:rsidRPr="0032623B">
        <w:rPr>
          <w:b/>
          <w:lang w:val="fr-FR"/>
        </w:rPr>
        <w:t xml:space="preserve">Toutefois, l’éclairage </w:t>
      </w:r>
      <w:r w:rsidRPr="005F474A">
        <w:rPr>
          <w:b/>
          <w:lang w:val="fr-FR"/>
        </w:rPr>
        <w:t>E</w:t>
      </w:r>
      <w:r w:rsidRPr="005F474A">
        <w:rPr>
          <w:b/>
          <w:vertAlign w:val="subscript"/>
          <w:lang w:val="fr-FR"/>
        </w:rPr>
        <w:t>1</w:t>
      </w:r>
      <w:r w:rsidRPr="0032623B">
        <w:rPr>
          <w:b/>
          <w:lang w:val="fr-FR"/>
        </w:rPr>
        <w:t xml:space="preserve"> ne doit pas être inférieur à 10</w:t>
      </w:r>
      <w:r w:rsidR="005F474A">
        <w:rPr>
          <w:b/>
          <w:lang w:val="fr-FR"/>
        </w:rPr>
        <w:t> </w:t>
      </w:r>
      <w:r w:rsidRPr="0032623B">
        <w:rPr>
          <w:b/>
          <w:lang w:val="fr-FR"/>
        </w:rPr>
        <w:t>000</w:t>
      </w:r>
      <w:r w:rsidR="005F474A">
        <w:rPr>
          <w:b/>
          <w:lang w:val="fr-FR"/>
        </w:rPr>
        <w:t> </w:t>
      </w:r>
      <w:r w:rsidRPr="0032623B">
        <w:rPr>
          <w:b/>
          <w:lang w:val="fr-FR"/>
        </w:rPr>
        <w:t>lx.</w:t>
      </w:r>
    </w:p>
    <w:p w:rsidR="00744A05" w:rsidRPr="00BD4ABF" w:rsidRDefault="00744A05" w:rsidP="00BD4ABF">
      <w:pPr>
        <w:pStyle w:val="Heading1"/>
        <w:ind w:right="1134"/>
        <w:rPr>
          <w:b/>
          <w:lang w:val="fr-FR"/>
        </w:rPr>
      </w:pPr>
      <w:r w:rsidRPr="00BD4ABF">
        <w:rPr>
          <w:b/>
          <w:lang w:val="fr-FR"/>
        </w:rPr>
        <w:t>Figure 1</w:t>
      </w:r>
      <w:r w:rsidR="00BD4ABF" w:rsidRPr="00BD4ABF">
        <w:rPr>
          <w:b/>
          <w:lang w:val="fr-FR"/>
        </w:rPr>
        <w:br/>
      </w:r>
      <w:r w:rsidRPr="00BD4ABF">
        <w:rPr>
          <w:b/>
          <w:lang w:val="fr-FR"/>
        </w:rPr>
        <w:t xml:space="preserve">Disposition type pour la mesure de la luminance produite par l’effet du soleil </w:t>
      </w:r>
      <w:r w:rsidR="00BD4ABF">
        <w:rPr>
          <w:b/>
          <w:lang w:val="fr-FR"/>
        </w:rPr>
        <w:br/>
      </w:r>
      <w:r w:rsidRPr="00BD4ABF">
        <w:rPr>
          <w:b/>
          <w:lang w:val="fr-FR"/>
        </w:rPr>
        <w:t>(effet fantôme)</w:t>
      </w:r>
    </w:p>
    <w:p w:rsidR="007A7E04" w:rsidRPr="00E35CDC" w:rsidRDefault="00E35CDC" w:rsidP="00BD4ABF">
      <w:pPr>
        <w:ind w:left="1134" w:right="1134"/>
        <w:rPr>
          <w:b/>
          <w:bCs/>
          <w:sz w:val="18"/>
          <w:szCs w:val="18"/>
        </w:rPr>
      </w:pPr>
      <w:r>
        <w:rPr>
          <w:noProof/>
        </w:rPr>
        <w:drawing>
          <wp:inline distT="0" distB="0" distL="0" distR="0" wp14:anchorId="4820B7C5" wp14:editId="66093B97">
            <wp:extent cx="4644000" cy="2361600"/>
            <wp:effectExtent l="0" t="0" r="444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4000" cy="2361600"/>
                    </a:xfrm>
                    <a:prstGeom prst="rect">
                      <a:avLst/>
                    </a:prstGeom>
                  </pic:spPr>
                </pic:pic>
              </a:graphicData>
            </a:graphic>
          </wp:inline>
        </w:drawing>
      </w:r>
      <w:r w:rsidR="007A7E04" w:rsidRPr="00E35CDC">
        <w:rPr>
          <w:b/>
          <w:bCs/>
          <w:sz w:val="18"/>
          <w:szCs w:val="18"/>
          <w:lang w:val="fr-FR"/>
        </w:rPr>
        <w:t>Légende</w:t>
      </w:r>
    </w:p>
    <w:p w:rsidR="007A7E04" w:rsidRPr="00E35CDC" w:rsidRDefault="007A7E04" w:rsidP="007A7E04">
      <w:pPr>
        <w:ind w:left="1134"/>
        <w:rPr>
          <w:b/>
          <w:sz w:val="18"/>
          <w:szCs w:val="18"/>
        </w:rPr>
      </w:pPr>
      <w:r w:rsidRPr="00E35CDC">
        <w:rPr>
          <w:b/>
          <w:bCs/>
          <w:sz w:val="18"/>
          <w:szCs w:val="18"/>
          <w:lang w:val="fr-FR"/>
        </w:rPr>
        <w:t>1</w:t>
      </w:r>
      <w:r w:rsidR="003B424F">
        <w:rPr>
          <w:b/>
          <w:bCs/>
          <w:sz w:val="18"/>
          <w:szCs w:val="18"/>
          <w:lang w:val="fr-FR"/>
        </w:rPr>
        <w:t>.</w:t>
      </w:r>
      <w:r w:rsidRPr="00E35CDC">
        <w:rPr>
          <w:b/>
          <w:bCs/>
          <w:sz w:val="18"/>
          <w:szCs w:val="18"/>
          <w:lang w:val="fr-FR"/>
        </w:rPr>
        <w:t xml:space="preserve"> </w:t>
      </w:r>
      <w:r w:rsidR="003B424F">
        <w:rPr>
          <w:b/>
          <w:bCs/>
          <w:sz w:val="18"/>
          <w:szCs w:val="18"/>
          <w:lang w:val="fr-FR"/>
        </w:rPr>
        <w:t>P</w:t>
      </w:r>
      <w:r w:rsidRPr="00E35CDC">
        <w:rPr>
          <w:b/>
          <w:bCs/>
          <w:sz w:val="18"/>
          <w:szCs w:val="18"/>
          <w:lang w:val="fr-FR"/>
        </w:rPr>
        <w:t>rojecteur</w:t>
      </w:r>
    </w:p>
    <w:p w:rsidR="007A7E04" w:rsidRPr="00E35CDC" w:rsidRDefault="007A7E04" w:rsidP="007A7E04">
      <w:pPr>
        <w:ind w:left="1134"/>
        <w:rPr>
          <w:b/>
          <w:sz w:val="18"/>
          <w:szCs w:val="18"/>
        </w:rPr>
      </w:pPr>
      <w:r w:rsidRPr="00E35CDC">
        <w:rPr>
          <w:b/>
          <w:bCs/>
          <w:sz w:val="18"/>
          <w:szCs w:val="18"/>
          <w:lang w:val="fr-FR"/>
        </w:rPr>
        <w:t>2</w:t>
      </w:r>
      <w:r w:rsidR="003B424F">
        <w:rPr>
          <w:b/>
          <w:bCs/>
          <w:sz w:val="18"/>
          <w:szCs w:val="18"/>
          <w:lang w:val="fr-FR"/>
        </w:rPr>
        <w:t>. F</w:t>
      </w:r>
      <w:r w:rsidRPr="00E35CDC">
        <w:rPr>
          <w:b/>
          <w:bCs/>
          <w:sz w:val="18"/>
          <w:szCs w:val="18"/>
          <w:lang w:val="fr-FR"/>
        </w:rPr>
        <w:t>eu de signalisation</w:t>
      </w:r>
    </w:p>
    <w:p w:rsidR="007A7E04" w:rsidRPr="00E35CDC" w:rsidRDefault="007A7E04" w:rsidP="007A7E04">
      <w:pPr>
        <w:ind w:left="1134"/>
        <w:rPr>
          <w:b/>
          <w:sz w:val="18"/>
          <w:szCs w:val="18"/>
        </w:rPr>
      </w:pPr>
      <w:r w:rsidRPr="00E35CDC">
        <w:rPr>
          <w:b/>
          <w:bCs/>
          <w:sz w:val="18"/>
          <w:szCs w:val="18"/>
          <w:lang w:val="fr-FR"/>
        </w:rPr>
        <w:t>3</w:t>
      </w:r>
      <w:r w:rsidR="003B424F">
        <w:rPr>
          <w:b/>
          <w:bCs/>
          <w:sz w:val="18"/>
          <w:szCs w:val="18"/>
          <w:lang w:val="fr-FR"/>
        </w:rPr>
        <w:t>. S</w:t>
      </w:r>
      <w:r w:rsidRPr="00E35CDC">
        <w:rPr>
          <w:b/>
          <w:bCs/>
          <w:sz w:val="18"/>
          <w:szCs w:val="18"/>
          <w:lang w:val="fr-FR"/>
        </w:rPr>
        <w:t>urface de sortie de la lumière</w:t>
      </w:r>
    </w:p>
    <w:p w:rsidR="007A7E04" w:rsidRPr="00E35CDC" w:rsidRDefault="007A7E04" w:rsidP="003B424F">
      <w:pPr>
        <w:spacing w:after="240"/>
        <w:ind w:left="1134"/>
        <w:rPr>
          <w:b/>
          <w:sz w:val="18"/>
          <w:szCs w:val="18"/>
        </w:rPr>
      </w:pPr>
      <w:r w:rsidRPr="00E35CDC">
        <w:rPr>
          <w:b/>
          <w:bCs/>
          <w:sz w:val="18"/>
          <w:szCs w:val="18"/>
          <w:lang w:val="fr-FR"/>
        </w:rPr>
        <w:t>4</w:t>
      </w:r>
      <w:r w:rsidR="003B424F">
        <w:rPr>
          <w:b/>
          <w:bCs/>
          <w:sz w:val="18"/>
          <w:szCs w:val="18"/>
          <w:lang w:val="fr-FR"/>
        </w:rPr>
        <w:t>. T</w:t>
      </w:r>
      <w:r w:rsidRPr="00E35CDC">
        <w:rPr>
          <w:b/>
          <w:bCs/>
          <w:sz w:val="18"/>
          <w:szCs w:val="18"/>
          <w:lang w:val="fr-FR"/>
        </w:rPr>
        <w:t>ête de mesure</w:t>
      </w:r>
    </w:p>
    <w:p w:rsidR="00744A05" w:rsidRPr="0032623B" w:rsidRDefault="00744A05" w:rsidP="003B424F">
      <w:pPr>
        <w:pStyle w:val="SingleTxtG"/>
        <w:ind w:left="2268"/>
        <w:rPr>
          <w:b/>
        </w:rPr>
      </w:pPr>
      <w:r w:rsidRPr="0032623B">
        <w:rPr>
          <w:b/>
          <w:lang w:val="fr-FR"/>
        </w:rPr>
        <w:t>Les mesures de l’effet du soleil (effet fantôme) dépendent fortement de la géométrie de l’opération</w:t>
      </w:r>
      <w:r w:rsidR="0032623B">
        <w:rPr>
          <w:b/>
          <w:lang w:val="fr-FR"/>
        </w:rPr>
        <w:t xml:space="preserve"> </w:t>
      </w:r>
      <w:r w:rsidRPr="0032623B">
        <w:rPr>
          <w:b/>
          <w:lang w:val="fr-FR"/>
        </w:rPr>
        <w:t xml:space="preserve">de mesure. </w:t>
      </w:r>
      <w:r w:rsidRPr="0032623B">
        <w:rPr>
          <w:b/>
          <w:bCs/>
          <w:lang w:val="fr-FR"/>
        </w:rPr>
        <w:t>Pour obtenir des mesures comparables, la distance recommandée est de 10 m.</w:t>
      </w:r>
      <w:r w:rsidRPr="0032623B">
        <w:rPr>
          <w:b/>
          <w:lang w:val="fr-FR"/>
        </w:rPr>
        <w:t xml:space="preserve"> </w:t>
      </w:r>
    </w:p>
    <w:p w:rsidR="00744A05" w:rsidRPr="0032623B" w:rsidRDefault="00744A05" w:rsidP="003B424F">
      <w:pPr>
        <w:pStyle w:val="SingleTxtG"/>
        <w:ind w:left="2268"/>
        <w:rPr>
          <w:b/>
        </w:rPr>
      </w:pPr>
      <w:r w:rsidRPr="0032623B">
        <w:rPr>
          <w:b/>
          <w:bCs/>
          <w:lang w:val="fr-FR"/>
        </w:rPr>
        <w:t>Cette distance peut être raccourcie à condition que les exigences d’uniformité de l’éclairage produit par le projecteur soient respectées, de même que tous les autres paramètres mentionnés dans la présente annexe, et que le mode d’emploi de la tête de mesure le permette.</w:t>
      </w:r>
    </w:p>
    <w:p w:rsidR="00744A05" w:rsidRPr="0032623B" w:rsidRDefault="00744A05" w:rsidP="003B424F">
      <w:pPr>
        <w:pStyle w:val="SingleTxtG"/>
        <w:ind w:left="2268"/>
        <w:rPr>
          <w:b/>
        </w:rPr>
      </w:pPr>
      <w:r w:rsidRPr="0032623B">
        <w:rPr>
          <w:b/>
          <w:lang w:val="fr-FR"/>
        </w:rPr>
        <w:t>La tête de mesure utilisée pour déterminer la luminance doit être placée de telle sorte que l’axe de référence du feu et l’axe de la tête de mesure</w:t>
      </w:r>
      <w:r w:rsidR="0032623B">
        <w:rPr>
          <w:b/>
          <w:lang w:val="fr-FR"/>
        </w:rPr>
        <w:t xml:space="preserve"> </w:t>
      </w:r>
      <w:r w:rsidRPr="0032623B">
        <w:rPr>
          <w:b/>
          <w:lang w:val="fr-FR"/>
        </w:rPr>
        <w:t xml:space="preserve">coïncident. </w:t>
      </w:r>
    </w:p>
    <w:p w:rsidR="00744A05" w:rsidRPr="0032623B" w:rsidRDefault="00744A05" w:rsidP="00BD4ABF">
      <w:pPr>
        <w:pStyle w:val="SingleTxtG"/>
        <w:keepNext/>
        <w:ind w:left="2268" w:hanging="1134"/>
        <w:rPr>
          <w:b/>
        </w:rPr>
      </w:pPr>
      <w:r w:rsidRPr="0032623B">
        <w:rPr>
          <w:b/>
        </w:rPr>
        <w:lastRenderedPageBreak/>
        <w:t>2.</w:t>
      </w:r>
      <w:r w:rsidRPr="0032623B">
        <w:rPr>
          <w:b/>
        </w:rPr>
        <w:tab/>
      </w:r>
      <w:r w:rsidRPr="0032623B">
        <w:rPr>
          <w:b/>
          <w:bCs/>
          <w:lang w:val="fr-FR"/>
        </w:rPr>
        <w:t>Les mesures doivent être réalisées selon la</w:t>
      </w:r>
      <w:r w:rsidR="0032623B">
        <w:rPr>
          <w:b/>
          <w:bCs/>
          <w:lang w:val="fr-FR"/>
        </w:rPr>
        <w:t xml:space="preserve"> </w:t>
      </w:r>
      <w:r w:rsidRPr="0032623B">
        <w:rPr>
          <w:b/>
          <w:bCs/>
          <w:lang w:val="fr-FR"/>
        </w:rPr>
        <w:t>procédure suivante</w:t>
      </w:r>
      <w:r w:rsidR="0032623B">
        <w:rPr>
          <w:b/>
          <w:bCs/>
          <w:lang w:val="fr-FR"/>
        </w:rPr>
        <w:t> :</w:t>
      </w:r>
    </w:p>
    <w:p w:rsidR="00744A05" w:rsidRPr="0032623B" w:rsidRDefault="00744A05" w:rsidP="00BD4ABF">
      <w:pPr>
        <w:pStyle w:val="SingleTxtG"/>
        <w:keepNext/>
        <w:ind w:left="2268" w:hanging="1134"/>
        <w:rPr>
          <w:b/>
          <w:bCs/>
        </w:rPr>
      </w:pPr>
      <w:r w:rsidRPr="0032623B">
        <w:rPr>
          <w:b/>
          <w:bCs/>
        </w:rPr>
        <w:t>2.1</w:t>
      </w:r>
      <w:r w:rsidRPr="0032623B">
        <w:rPr>
          <w:b/>
          <w:bCs/>
        </w:rPr>
        <w:tab/>
      </w:r>
      <w:r w:rsidRPr="0032623B">
        <w:rPr>
          <w:b/>
          <w:bCs/>
          <w:lang w:val="fr-FR"/>
        </w:rPr>
        <w:t>En premier lieu, il convient de mesurer la surface de sortie de la lumière du feu</w:t>
      </w:r>
      <w:r w:rsidR="0010710D">
        <w:rPr>
          <w:b/>
          <w:bCs/>
          <w:lang w:val="fr-FR"/>
        </w:rPr>
        <w:t> </w:t>
      </w:r>
      <w:r w:rsidR="0010710D">
        <w:rPr>
          <w:b/>
          <w:lang w:val="fr-FR"/>
        </w:rPr>
        <w:t>:</w:t>
      </w:r>
    </w:p>
    <w:p w:rsidR="00744A05" w:rsidRPr="0010710D" w:rsidRDefault="0010710D" w:rsidP="0010710D">
      <w:pPr>
        <w:pStyle w:val="Bullet2G"/>
        <w:ind w:left="2438"/>
        <w:rPr>
          <w:b/>
        </w:rPr>
      </w:pPr>
      <w:r w:rsidRPr="0010710D">
        <w:rPr>
          <w:b/>
          <w:lang w:val="fr-FR"/>
        </w:rPr>
        <w:t>Q</w:t>
      </w:r>
      <w:r w:rsidR="00744A05" w:rsidRPr="0010710D">
        <w:rPr>
          <w:b/>
          <w:lang w:val="fr-FR"/>
        </w:rPr>
        <w:t>uand le feu est allumé</w:t>
      </w:r>
      <w:r w:rsidRPr="0010710D">
        <w:rPr>
          <w:b/>
          <w:lang w:val="fr-FR"/>
        </w:rPr>
        <w:t> ;</w:t>
      </w:r>
    </w:p>
    <w:p w:rsidR="00744A05" w:rsidRPr="0010710D" w:rsidRDefault="0010710D" w:rsidP="0010710D">
      <w:pPr>
        <w:pStyle w:val="Bullet2G"/>
        <w:ind w:left="2438"/>
        <w:rPr>
          <w:b/>
        </w:rPr>
      </w:pPr>
      <w:r w:rsidRPr="0010710D">
        <w:rPr>
          <w:b/>
          <w:lang w:val="fr-FR"/>
        </w:rPr>
        <w:t>E</w:t>
      </w:r>
      <w:r w:rsidR="00744A05" w:rsidRPr="0010710D">
        <w:rPr>
          <w:b/>
          <w:lang w:val="fr-FR"/>
        </w:rPr>
        <w:t xml:space="preserve">t le projecteur éteint. </w:t>
      </w:r>
    </w:p>
    <w:p w:rsidR="00744A05" w:rsidRPr="0010710D" w:rsidRDefault="00744A05" w:rsidP="00BD4ABF">
      <w:pPr>
        <w:pStyle w:val="SingleTxtG"/>
        <w:keepNext/>
        <w:ind w:left="2268" w:hanging="1134"/>
        <w:rPr>
          <w:b/>
          <w:bCs/>
        </w:rPr>
      </w:pPr>
      <w:r w:rsidRPr="0010710D">
        <w:rPr>
          <w:b/>
          <w:bCs/>
        </w:rPr>
        <w:t>2.2</w:t>
      </w:r>
      <w:r w:rsidRPr="0010710D">
        <w:rPr>
          <w:b/>
          <w:bCs/>
        </w:rPr>
        <w:tab/>
      </w:r>
      <w:r w:rsidRPr="0010710D">
        <w:rPr>
          <w:b/>
          <w:bCs/>
          <w:lang w:val="fr-FR"/>
        </w:rPr>
        <w:t>En deuxième lieu, il convient de mesurer la luminance moyenne L</w:t>
      </w:r>
      <w:r w:rsidRPr="0010710D">
        <w:rPr>
          <w:b/>
          <w:bCs/>
          <w:vertAlign w:val="subscript"/>
          <w:lang w:val="fr-FR"/>
        </w:rPr>
        <w:t>S</w:t>
      </w:r>
      <w:r w:rsidRPr="0010710D">
        <w:rPr>
          <w:b/>
          <w:bCs/>
          <w:lang w:val="fr-FR"/>
        </w:rPr>
        <w:t xml:space="preserve"> de la surface de sortie de la lumière du feu telle que déterminée au paragraphe 2.1</w:t>
      </w:r>
      <w:r w:rsidR="0010710D">
        <w:rPr>
          <w:b/>
          <w:bCs/>
          <w:lang w:val="fr-FR"/>
        </w:rPr>
        <w:t> :</w:t>
      </w:r>
    </w:p>
    <w:p w:rsidR="0010710D" w:rsidRPr="0010710D" w:rsidRDefault="0010710D" w:rsidP="0010710D">
      <w:pPr>
        <w:pStyle w:val="Bullet2G"/>
        <w:ind w:left="2438"/>
        <w:rPr>
          <w:b/>
        </w:rPr>
      </w:pPr>
      <w:r w:rsidRPr="0010710D">
        <w:rPr>
          <w:b/>
          <w:lang w:val="fr-FR"/>
        </w:rPr>
        <w:t>Quand le feu est allumé ;</w:t>
      </w:r>
    </w:p>
    <w:p w:rsidR="0010710D" w:rsidRPr="0010710D" w:rsidRDefault="0010710D" w:rsidP="0010710D">
      <w:pPr>
        <w:pStyle w:val="Bullet2G"/>
        <w:ind w:left="2438"/>
        <w:rPr>
          <w:b/>
        </w:rPr>
      </w:pPr>
      <w:r w:rsidRPr="0010710D">
        <w:rPr>
          <w:b/>
          <w:lang w:val="fr-FR"/>
        </w:rPr>
        <w:t xml:space="preserve">Et le projecteur éteint. </w:t>
      </w:r>
    </w:p>
    <w:p w:rsidR="00744A05" w:rsidRPr="0010710D" w:rsidRDefault="00744A05" w:rsidP="00BD4ABF">
      <w:pPr>
        <w:pStyle w:val="SingleTxtG"/>
        <w:keepNext/>
        <w:ind w:left="2268" w:hanging="1134"/>
        <w:rPr>
          <w:b/>
        </w:rPr>
      </w:pPr>
      <w:r w:rsidRPr="0010710D">
        <w:rPr>
          <w:b/>
        </w:rPr>
        <w:t>2.3</w:t>
      </w:r>
      <w:r w:rsidRPr="0010710D">
        <w:rPr>
          <w:b/>
        </w:rPr>
        <w:tab/>
      </w:r>
      <w:r w:rsidRPr="0010710D">
        <w:rPr>
          <w:b/>
          <w:lang w:val="fr-FR"/>
        </w:rPr>
        <w:t xml:space="preserve">En troisième lieu, il convient de mesurer la luminance moyenne </w:t>
      </w:r>
      <w:proofErr w:type="spellStart"/>
      <w:r w:rsidRPr="0010710D">
        <w:rPr>
          <w:b/>
          <w:lang w:val="fr-FR"/>
        </w:rPr>
        <w:t>L</w:t>
      </w:r>
      <w:r w:rsidRPr="0010710D">
        <w:rPr>
          <w:b/>
          <w:vertAlign w:val="subscript"/>
          <w:lang w:val="fr-FR"/>
        </w:rPr>
        <w:t>ph</w:t>
      </w:r>
      <w:proofErr w:type="spellEnd"/>
      <w:r w:rsidRPr="0010710D">
        <w:rPr>
          <w:b/>
          <w:lang w:val="fr-FR"/>
        </w:rPr>
        <w:t xml:space="preserve"> de la surface de sortie de la lumière du feu telle que déterminée au paragraphe 2.1</w:t>
      </w:r>
      <w:r w:rsidR="0010710D">
        <w:rPr>
          <w:b/>
          <w:lang w:val="fr-FR"/>
        </w:rPr>
        <w:t> :</w:t>
      </w:r>
    </w:p>
    <w:p w:rsidR="0010710D" w:rsidRPr="0010710D" w:rsidRDefault="0010710D" w:rsidP="0010710D">
      <w:pPr>
        <w:pStyle w:val="Bullet2G"/>
        <w:ind w:left="2438"/>
        <w:rPr>
          <w:b/>
        </w:rPr>
      </w:pPr>
      <w:r w:rsidRPr="0010710D">
        <w:rPr>
          <w:b/>
          <w:lang w:val="fr-FR"/>
        </w:rPr>
        <w:t>Quand le feu est allumé ;</w:t>
      </w:r>
    </w:p>
    <w:p w:rsidR="0010710D" w:rsidRPr="0010710D" w:rsidRDefault="0010710D" w:rsidP="0010710D">
      <w:pPr>
        <w:pStyle w:val="Bullet2G"/>
        <w:ind w:left="2438"/>
        <w:rPr>
          <w:b/>
        </w:rPr>
      </w:pPr>
      <w:r w:rsidRPr="0010710D">
        <w:rPr>
          <w:b/>
          <w:lang w:val="fr-FR"/>
        </w:rPr>
        <w:t xml:space="preserve">Et le projecteur éteint. </w:t>
      </w:r>
    </w:p>
    <w:p w:rsidR="00744A05" w:rsidRPr="0010710D" w:rsidRDefault="00744A05" w:rsidP="00BD4ABF">
      <w:pPr>
        <w:pStyle w:val="SingleTxtG"/>
        <w:keepNext/>
        <w:ind w:left="2268" w:hanging="1134"/>
        <w:rPr>
          <w:b/>
        </w:rPr>
      </w:pPr>
      <w:r w:rsidRPr="0010710D">
        <w:rPr>
          <w:b/>
        </w:rPr>
        <w:t>2.4</w:t>
      </w:r>
      <w:r w:rsidRPr="0010710D">
        <w:rPr>
          <w:b/>
        </w:rPr>
        <w:tab/>
      </w:r>
      <w:r w:rsidRPr="0010710D">
        <w:rPr>
          <w:b/>
          <w:bCs/>
          <w:lang w:val="fr-FR"/>
        </w:rPr>
        <w:t>Aux deux dernières étapes (par</w:t>
      </w:r>
      <w:r w:rsidR="0010710D">
        <w:rPr>
          <w:b/>
          <w:bCs/>
          <w:lang w:val="fr-FR"/>
        </w:rPr>
        <w:t>. </w:t>
      </w:r>
      <w:r w:rsidRPr="0010710D">
        <w:rPr>
          <w:b/>
          <w:bCs/>
          <w:lang w:val="fr-FR"/>
        </w:rPr>
        <w:t>2.2 et 2.3), il faut s’assurer que la tête de mesure ou le système de mesure de la luminance moyenne</w:t>
      </w:r>
      <w:r w:rsidR="0032623B" w:rsidRPr="0010710D">
        <w:rPr>
          <w:b/>
          <w:bCs/>
          <w:lang w:val="fr-FR"/>
        </w:rPr>
        <w:t xml:space="preserve"> </w:t>
      </w:r>
      <w:r w:rsidRPr="0010710D">
        <w:rPr>
          <w:b/>
          <w:bCs/>
          <w:lang w:val="fr-FR"/>
        </w:rPr>
        <w:t>couvre toute la zone d’émission de la lumière du feu.</w:t>
      </w:r>
    </w:p>
    <w:p w:rsidR="00744A05" w:rsidRDefault="00744A05" w:rsidP="00BD4ABF">
      <w:pPr>
        <w:pStyle w:val="SingleTxtG"/>
        <w:keepNext/>
        <w:ind w:left="2268" w:hanging="1134"/>
        <w:rPr>
          <w:b/>
          <w:bCs/>
          <w:lang w:val="fr-FR"/>
        </w:rPr>
      </w:pPr>
      <w:r w:rsidRPr="0010710D">
        <w:rPr>
          <w:b/>
        </w:rPr>
        <w:t>2.5</w:t>
      </w:r>
      <w:r w:rsidRPr="0010710D">
        <w:rPr>
          <w:b/>
        </w:rPr>
        <w:tab/>
      </w:r>
      <w:r w:rsidRPr="0010710D">
        <w:rPr>
          <w:b/>
          <w:bCs/>
          <w:lang w:val="fr-FR"/>
        </w:rPr>
        <w:t xml:space="preserve">Le ratio </w:t>
      </w:r>
      <w:proofErr w:type="spellStart"/>
      <w:r w:rsidRPr="0010710D">
        <w:rPr>
          <w:b/>
          <w:bCs/>
          <w:lang w:val="fr-FR"/>
        </w:rPr>
        <w:t>F</w:t>
      </w:r>
      <w:r w:rsidRPr="0010710D">
        <w:rPr>
          <w:b/>
          <w:bCs/>
          <w:vertAlign w:val="subscript"/>
          <w:lang w:val="fr-FR"/>
        </w:rPr>
        <w:t>ph</w:t>
      </w:r>
      <w:proofErr w:type="spellEnd"/>
      <w:r w:rsidRPr="0010710D">
        <w:rPr>
          <w:b/>
          <w:bCs/>
          <w:lang w:val="fr-FR"/>
        </w:rPr>
        <w:t xml:space="preserve"> entre la luminance Ls du signal réel et la luminance </w:t>
      </w:r>
      <w:proofErr w:type="spellStart"/>
      <w:r w:rsidRPr="0010710D">
        <w:rPr>
          <w:b/>
          <w:bCs/>
          <w:lang w:val="fr-FR"/>
        </w:rPr>
        <w:t>L</w:t>
      </w:r>
      <w:r w:rsidRPr="0010710D">
        <w:rPr>
          <w:b/>
          <w:bCs/>
          <w:vertAlign w:val="subscript"/>
          <w:lang w:val="fr-FR"/>
        </w:rPr>
        <w:t>ph</w:t>
      </w:r>
      <w:proofErr w:type="spellEnd"/>
      <w:r w:rsidRPr="0010710D">
        <w:rPr>
          <w:b/>
          <w:bCs/>
          <w:lang w:val="fr-FR"/>
        </w:rPr>
        <w:t xml:space="preserve"> de l’effet fantôme est calculé comme suit</w:t>
      </w:r>
      <w:r w:rsidR="0032623B" w:rsidRPr="0010710D">
        <w:rPr>
          <w:b/>
          <w:bCs/>
          <w:lang w:val="fr-FR"/>
        </w:rPr>
        <w:t> :</w:t>
      </w:r>
    </w:p>
    <w:p w:rsidR="00851797" w:rsidRPr="00EA759D" w:rsidRDefault="004E34EC" w:rsidP="00BF20C5">
      <w:pPr>
        <w:pStyle w:val="SingleTxtG"/>
        <w:keepNext/>
        <w:ind w:left="2268" w:hanging="1134"/>
        <w:rPr>
          <w:rFonts w:eastAsiaTheme="minorEastAsia"/>
          <w:lang w:val="fr-FR"/>
        </w:rPr>
      </w:pPr>
      <m:oMathPara>
        <m:oMathParaPr>
          <m:jc m:val="left"/>
        </m:oMathParaPr>
        <m:oMath>
          <m:sSub>
            <m:sSubPr>
              <m:ctrlPr>
                <w:rPr>
                  <w:rFonts w:ascii="Cambria Math" w:hAnsi="Cambria Math"/>
                  <w:lang w:val="fr-FR"/>
                </w:rPr>
              </m:ctrlPr>
            </m:sSubPr>
            <m:e>
              <m:r>
                <m:rPr>
                  <m:sty m:val="p"/>
                </m:rPr>
                <w:rPr>
                  <w:rFonts w:ascii="Cambria Math" w:hAnsi="Cambria Math"/>
                  <w:lang w:val="fr-FR"/>
                </w:rPr>
                <m:t>F</m:t>
              </m:r>
            </m:e>
            <m:sub>
              <m:r>
                <m:rPr>
                  <m:sty m:val="p"/>
                </m:rPr>
                <w:rPr>
                  <w:rFonts w:ascii="Cambria Math" w:hAnsi="Cambria Math"/>
                  <w:lang w:val="fr-FR"/>
                </w:rPr>
                <m:t xml:space="preserve">ph </m:t>
              </m:r>
            </m:sub>
          </m:sSub>
          <m:r>
            <m:rPr>
              <m:sty m:val="p"/>
            </m:rPr>
            <w:rPr>
              <w:rFonts w:ascii="Cambria Math" w:hAnsi="Cambria Math"/>
              <w:lang w:val="fr-FR"/>
            </w:rPr>
            <m:t xml:space="preserve">= </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L</m:t>
                  </m:r>
                </m:e>
                <m:sub>
                  <m:r>
                    <m:rPr>
                      <m:sty m:val="p"/>
                    </m:rPr>
                    <w:rPr>
                      <w:rFonts w:ascii="Cambria Math" w:hAnsi="Cambria Math"/>
                      <w:lang w:val="fr-FR"/>
                    </w:rPr>
                    <m:t>s</m:t>
                  </m:r>
                </m:sub>
              </m:sSub>
            </m:num>
            <m:den>
              <m:sSub>
                <m:sSubPr>
                  <m:ctrlPr>
                    <w:rPr>
                      <w:rFonts w:ascii="Cambria Math" w:hAnsi="Cambria Math"/>
                      <w:lang w:val="fr-FR"/>
                    </w:rPr>
                  </m:ctrlPr>
                </m:sSubPr>
                <m:e>
                  <m:r>
                    <m:rPr>
                      <m:sty m:val="p"/>
                    </m:rPr>
                    <w:rPr>
                      <w:rFonts w:ascii="Cambria Math" w:hAnsi="Cambria Math"/>
                      <w:lang w:val="fr-FR"/>
                    </w:rPr>
                    <m:t>L</m:t>
                  </m:r>
                </m:e>
                <m:sub>
                  <m:r>
                    <m:rPr>
                      <m:sty m:val="p"/>
                    </m:rPr>
                    <w:rPr>
                      <w:rFonts w:ascii="Cambria Math" w:hAnsi="Cambria Math"/>
                      <w:lang w:val="fr-FR"/>
                    </w:rPr>
                    <m:t>ph</m:t>
                  </m:r>
                </m:sub>
              </m:sSub>
            </m:den>
          </m:f>
        </m:oMath>
      </m:oMathPara>
    </w:p>
    <w:p w:rsidR="00744A05" w:rsidRPr="0032623B" w:rsidRDefault="00BF20C5" w:rsidP="00BF20C5">
      <w:pPr>
        <w:pStyle w:val="HChG"/>
      </w:pPr>
      <w:r>
        <w:rPr>
          <w:lang w:val="fr-FR"/>
        </w:rPr>
        <w:tab/>
      </w:r>
      <w:r w:rsidR="00744A05" w:rsidRPr="0032623B">
        <w:rPr>
          <w:lang w:val="fr-FR"/>
        </w:rPr>
        <w:t>II.</w:t>
      </w:r>
      <w:r w:rsidR="00744A05" w:rsidRPr="0032623B">
        <w:rPr>
          <w:lang w:val="fr-FR"/>
        </w:rPr>
        <w:tab/>
        <w:t>Justification</w:t>
      </w:r>
    </w:p>
    <w:p w:rsidR="00744A05" w:rsidRPr="0032623B" w:rsidRDefault="00744A05" w:rsidP="00BF20C5">
      <w:pPr>
        <w:pStyle w:val="SingleTxtG"/>
      </w:pPr>
      <w:r w:rsidRPr="0032623B">
        <w:rPr>
          <w:lang w:val="fr-FR"/>
        </w:rPr>
        <w:t>1.</w:t>
      </w:r>
      <w:r w:rsidRPr="0032623B">
        <w:rPr>
          <w:lang w:val="fr-FR"/>
        </w:rPr>
        <w:tab/>
        <w:t>Le Groupe de travail de l’éclairage et de la signalisation lumineuse (GRE) avait commencé à débattre de cette question il y a plusieurs années, et le Groupe de travail « Bruxelles 1952 » (GTB) avait chargé son groupe de travail</w:t>
      </w:r>
      <w:r w:rsidR="0032623B">
        <w:rPr>
          <w:lang w:val="fr-FR"/>
        </w:rPr>
        <w:t xml:space="preserve"> </w:t>
      </w:r>
      <w:r w:rsidRPr="0032623B">
        <w:rPr>
          <w:lang w:val="fr-FR"/>
        </w:rPr>
        <w:t>spécialisé dans la photométrie de trouver une solution. Au début des travaux, le groupe de travail du GTB</w:t>
      </w:r>
      <w:r w:rsidR="0032623B">
        <w:rPr>
          <w:lang w:val="fr-FR"/>
        </w:rPr>
        <w:t xml:space="preserve"> </w:t>
      </w:r>
      <w:r w:rsidRPr="0032623B">
        <w:rPr>
          <w:lang w:val="fr-FR"/>
        </w:rPr>
        <w:t>chargé de la sécurité et des performances visuelles était également</w:t>
      </w:r>
      <w:r w:rsidR="0032623B">
        <w:rPr>
          <w:lang w:val="fr-FR"/>
        </w:rPr>
        <w:t xml:space="preserve"> </w:t>
      </w:r>
      <w:r w:rsidRPr="0032623B">
        <w:rPr>
          <w:lang w:val="fr-FR"/>
        </w:rPr>
        <w:t>mis à contribution</w:t>
      </w:r>
      <w:r w:rsidR="0032623B">
        <w:rPr>
          <w:lang w:val="fr-FR"/>
        </w:rPr>
        <w:t xml:space="preserve"> </w:t>
      </w:r>
      <w:r w:rsidRPr="0032623B">
        <w:rPr>
          <w:lang w:val="fr-FR"/>
        </w:rPr>
        <w:t>afin de rechercher et de trouver un fondement scientifique pour une nouvelle prescription.</w:t>
      </w:r>
    </w:p>
    <w:p w:rsidR="00744A05" w:rsidRDefault="00744A05" w:rsidP="00BF20C5">
      <w:pPr>
        <w:pStyle w:val="SingleTxtG"/>
        <w:rPr>
          <w:lang w:val="fr-FR"/>
        </w:rPr>
      </w:pPr>
      <w:r w:rsidRPr="0032623B">
        <w:rPr>
          <w:lang w:val="fr-FR"/>
        </w:rPr>
        <w:t>2.</w:t>
      </w:r>
      <w:r w:rsidRPr="0032623B">
        <w:rPr>
          <w:lang w:val="fr-FR"/>
        </w:rPr>
        <w:tab/>
        <w:t xml:space="preserve"> La proposition ci-dessus est fondée sur des recherches réalisées par le laboratoire LTIK, avec le soutien du National Traffic </w:t>
      </w:r>
      <w:proofErr w:type="spellStart"/>
      <w:r w:rsidRPr="0032623B">
        <w:rPr>
          <w:lang w:val="fr-FR"/>
        </w:rPr>
        <w:t>Safety</w:t>
      </w:r>
      <w:proofErr w:type="spellEnd"/>
      <w:r w:rsidRPr="0032623B">
        <w:rPr>
          <w:lang w:val="fr-FR"/>
        </w:rPr>
        <w:t xml:space="preserve"> and </w:t>
      </w:r>
      <w:proofErr w:type="spellStart"/>
      <w:r w:rsidRPr="0032623B">
        <w:rPr>
          <w:lang w:val="fr-FR"/>
        </w:rPr>
        <w:t>Environment</w:t>
      </w:r>
      <w:proofErr w:type="spellEnd"/>
      <w:r w:rsidRPr="0032623B">
        <w:rPr>
          <w:lang w:val="fr-FR"/>
        </w:rPr>
        <w:t xml:space="preserve"> </w:t>
      </w:r>
      <w:proofErr w:type="spellStart"/>
      <w:r w:rsidRPr="0032623B">
        <w:rPr>
          <w:lang w:val="fr-FR"/>
        </w:rPr>
        <w:t>Laboratory</w:t>
      </w:r>
      <w:proofErr w:type="spellEnd"/>
      <w:r w:rsidRPr="0032623B">
        <w:rPr>
          <w:lang w:val="fr-FR"/>
        </w:rPr>
        <w:t xml:space="preserve"> entre autres, qui ont été présentées à la soixante et unième session du GRE (GRE-61-01), ainsi que sur les discussions du groupe de travail sur la photométrie à la suite de la présentation desdites</w:t>
      </w:r>
      <w:r w:rsidR="0032623B">
        <w:rPr>
          <w:lang w:val="fr-FR"/>
        </w:rPr>
        <w:t xml:space="preserve"> </w:t>
      </w:r>
      <w:r w:rsidRPr="0032623B">
        <w:rPr>
          <w:lang w:val="fr-FR"/>
        </w:rPr>
        <w:t>recherches. Les essais dont il est question ici donnent une indication sur l’effet fantôme, qui peut retarder la perception d’un signal au point de poser un grave problème de sécurité. La</w:t>
      </w:r>
      <w:r w:rsidR="00BF20C5">
        <w:rPr>
          <w:lang w:val="fr-FR"/>
        </w:rPr>
        <w:t> </w:t>
      </w:r>
      <w:r w:rsidRPr="0032623B">
        <w:rPr>
          <w:lang w:val="fr-FR"/>
        </w:rPr>
        <w:t xml:space="preserve">valeur limite proposée pour </w:t>
      </w:r>
      <w:proofErr w:type="spellStart"/>
      <w:r w:rsidRPr="0032623B">
        <w:rPr>
          <w:lang w:val="fr-FR"/>
        </w:rPr>
        <w:t>F</w:t>
      </w:r>
      <w:r w:rsidRPr="0032623B">
        <w:rPr>
          <w:vertAlign w:val="subscript"/>
          <w:lang w:val="fr-FR"/>
        </w:rPr>
        <w:t>ph</w:t>
      </w:r>
      <w:proofErr w:type="spellEnd"/>
      <w:r w:rsidRPr="0032623B">
        <w:rPr>
          <w:lang w:val="fr-FR"/>
        </w:rPr>
        <w:t xml:space="preserve"> est fixée sur la base des recherches de plusieurs spécialistes et participe d’une approche pragmatique visant à résoudre ce problème et à laisser la liberté de conception aux industriels tout en interdisant les modèles de feu dangereux. Ainsi qu’il a été indiqué à la soixante-quinzième session du GRE (GRE-75-16), d’autres recherches ont été menées à bien et ont fait l’objet d’une évaluation finale. La</w:t>
      </w:r>
      <w:r w:rsidR="00BF20C5">
        <w:rPr>
          <w:lang w:val="fr-FR"/>
        </w:rPr>
        <w:t> </w:t>
      </w:r>
      <w:r w:rsidRPr="0032623B">
        <w:rPr>
          <w:lang w:val="fr-FR"/>
        </w:rPr>
        <w:t>seule valeur</w:t>
      </w:r>
      <w:r w:rsidR="0032623B">
        <w:rPr>
          <w:lang w:val="fr-FR"/>
        </w:rPr>
        <w:t xml:space="preserve"> </w:t>
      </w:r>
      <w:r w:rsidRPr="0032623B">
        <w:rPr>
          <w:lang w:val="fr-FR"/>
        </w:rPr>
        <w:t>restant à déterminer</w:t>
      </w:r>
      <w:r w:rsidR="0032623B">
        <w:rPr>
          <w:lang w:val="fr-FR"/>
        </w:rPr>
        <w:t xml:space="preserve"> </w:t>
      </w:r>
      <w:r w:rsidRPr="0032623B">
        <w:rPr>
          <w:lang w:val="fr-FR"/>
        </w:rPr>
        <w:t xml:space="preserve">était le facteur </w:t>
      </w:r>
      <w:proofErr w:type="spellStart"/>
      <w:r w:rsidRPr="0032623B">
        <w:rPr>
          <w:lang w:val="fr-FR"/>
        </w:rPr>
        <w:t>F</w:t>
      </w:r>
      <w:r w:rsidRPr="0032623B">
        <w:rPr>
          <w:vertAlign w:val="subscript"/>
          <w:lang w:val="fr-FR"/>
        </w:rPr>
        <w:t>ph</w:t>
      </w:r>
      <w:proofErr w:type="spellEnd"/>
      <w:r w:rsidRPr="0032623B">
        <w:rPr>
          <w:lang w:val="fr-FR"/>
        </w:rPr>
        <w:t>, que nous proposons de fixer à 3</w:t>
      </w:r>
      <w:r w:rsidR="0032623B">
        <w:rPr>
          <w:lang w:val="fr-FR"/>
        </w:rPr>
        <w:t> ;</w:t>
      </w:r>
      <w:r w:rsidRPr="0032623B">
        <w:rPr>
          <w:lang w:val="fr-FR"/>
        </w:rPr>
        <w:t xml:space="preserve"> pour les panneaux de signalisation, par exemple, cette valeur </w:t>
      </w:r>
      <w:proofErr w:type="spellStart"/>
      <w:r w:rsidRPr="0032623B">
        <w:rPr>
          <w:lang w:val="fr-FR"/>
        </w:rPr>
        <w:t>F</w:t>
      </w:r>
      <w:r w:rsidRPr="0032623B">
        <w:rPr>
          <w:vertAlign w:val="subscript"/>
          <w:lang w:val="fr-FR"/>
        </w:rPr>
        <w:t>ph</w:t>
      </w:r>
      <w:proofErr w:type="spellEnd"/>
      <w:r w:rsidRPr="0032623B">
        <w:rPr>
          <w:lang w:val="fr-FR"/>
        </w:rPr>
        <w:t xml:space="preserve"> est fixée à 5 dans les prescriptions correspondantes.</w:t>
      </w:r>
    </w:p>
    <w:p w:rsidR="00BF20C5" w:rsidRPr="00BF20C5" w:rsidRDefault="00BF20C5" w:rsidP="00BF20C5">
      <w:pPr>
        <w:pStyle w:val="SingleTxtG"/>
        <w:spacing w:before="240" w:after="0"/>
        <w:jc w:val="center"/>
        <w:rPr>
          <w:u w:val="single"/>
        </w:rPr>
      </w:pPr>
      <w:r>
        <w:rPr>
          <w:u w:val="single"/>
        </w:rPr>
        <w:tab/>
      </w:r>
      <w:r>
        <w:rPr>
          <w:u w:val="single"/>
        </w:rPr>
        <w:tab/>
      </w:r>
      <w:r>
        <w:rPr>
          <w:u w:val="single"/>
        </w:rPr>
        <w:tab/>
      </w:r>
    </w:p>
    <w:sectPr w:rsidR="00BF20C5" w:rsidRPr="00BF20C5" w:rsidSect="00A109B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1D" w:rsidRDefault="00BB571D" w:rsidP="00F95C08">
      <w:pPr>
        <w:spacing w:line="240" w:lineRule="auto"/>
      </w:pPr>
    </w:p>
  </w:endnote>
  <w:endnote w:type="continuationSeparator" w:id="0">
    <w:p w:rsidR="00BB571D" w:rsidRPr="00AC3823" w:rsidRDefault="00BB571D" w:rsidP="00AC3823">
      <w:pPr>
        <w:pStyle w:val="Footer"/>
      </w:pPr>
    </w:p>
  </w:endnote>
  <w:endnote w:type="continuationNotice" w:id="1">
    <w:p w:rsidR="00BB571D" w:rsidRDefault="00BB5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BE" w:rsidRPr="00A109BE" w:rsidRDefault="00A109BE" w:rsidP="00A109BE">
    <w:pPr>
      <w:pStyle w:val="Footer"/>
      <w:tabs>
        <w:tab w:val="right" w:pos="9638"/>
      </w:tabs>
    </w:pPr>
    <w:r w:rsidRPr="00A109BE">
      <w:rPr>
        <w:b/>
        <w:sz w:val="18"/>
      </w:rPr>
      <w:fldChar w:fldCharType="begin"/>
    </w:r>
    <w:r w:rsidRPr="00A109BE">
      <w:rPr>
        <w:b/>
        <w:sz w:val="18"/>
      </w:rPr>
      <w:instrText xml:space="preserve"> PAGE  \* MERGEFORMAT </w:instrText>
    </w:r>
    <w:r w:rsidRPr="00A109BE">
      <w:rPr>
        <w:b/>
        <w:sz w:val="18"/>
      </w:rPr>
      <w:fldChar w:fldCharType="separate"/>
    </w:r>
    <w:r w:rsidRPr="00A109BE">
      <w:rPr>
        <w:b/>
        <w:noProof/>
        <w:sz w:val="18"/>
      </w:rPr>
      <w:t>2</w:t>
    </w:r>
    <w:r w:rsidRPr="00A109BE">
      <w:rPr>
        <w:b/>
        <w:sz w:val="18"/>
      </w:rPr>
      <w:fldChar w:fldCharType="end"/>
    </w:r>
    <w:r>
      <w:rPr>
        <w:b/>
        <w:sz w:val="18"/>
      </w:rPr>
      <w:tab/>
    </w:r>
    <w:r>
      <w:t>GE.19-01448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BE" w:rsidRPr="00A109BE" w:rsidRDefault="00A109BE" w:rsidP="00A109BE">
    <w:pPr>
      <w:pStyle w:val="Footer"/>
      <w:tabs>
        <w:tab w:val="right" w:pos="9638"/>
      </w:tabs>
      <w:rPr>
        <w:b/>
        <w:sz w:val="18"/>
      </w:rPr>
    </w:pPr>
    <w:r>
      <w:t>GE.19-01448</w:t>
    </w:r>
    <w:r>
      <w:tab/>
    </w:r>
    <w:r w:rsidRPr="00A109BE">
      <w:rPr>
        <w:b/>
        <w:sz w:val="18"/>
      </w:rPr>
      <w:fldChar w:fldCharType="begin"/>
    </w:r>
    <w:r w:rsidRPr="00A109BE">
      <w:rPr>
        <w:b/>
        <w:sz w:val="18"/>
      </w:rPr>
      <w:instrText xml:space="preserve"> PAGE  \* MERGEFORMAT </w:instrText>
    </w:r>
    <w:r w:rsidRPr="00A109BE">
      <w:rPr>
        <w:b/>
        <w:sz w:val="18"/>
      </w:rPr>
      <w:fldChar w:fldCharType="separate"/>
    </w:r>
    <w:r w:rsidRPr="00A109BE">
      <w:rPr>
        <w:b/>
        <w:noProof/>
        <w:sz w:val="18"/>
      </w:rPr>
      <w:t>3</w:t>
    </w:r>
    <w:r w:rsidRPr="00A109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109BE" w:rsidRDefault="00A109BE" w:rsidP="00A109BE">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19-01448</w:t>
    </w:r>
    <w:r w:rsidR="0032623B">
      <w:rPr>
        <w:sz w:val="20"/>
      </w:rPr>
      <w:t xml:space="preserve">  </w:t>
    </w:r>
    <w:r>
      <w:rPr>
        <w:sz w:val="20"/>
      </w:rPr>
      <w:t>(F)</w:t>
    </w:r>
    <w:r w:rsidR="0032623B">
      <w:rPr>
        <w:sz w:val="20"/>
      </w:rPr>
      <w:t xml:space="preserve">    </w:t>
    </w:r>
    <w:r>
      <w:rPr>
        <w:sz w:val="20"/>
      </w:rPr>
      <w:t>200219</w:t>
    </w:r>
    <w:r w:rsidR="0032623B">
      <w:rPr>
        <w:sz w:val="20"/>
      </w:rPr>
      <w:t xml:space="preserve">    </w:t>
    </w:r>
    <w:r>
      <w:rPr>
        <w:sz w:val="20"/>
      </w:rPr>
      <w:t>010319</w:t>
    </w:r>
    <w:r>
      <w:rPr>
        <w:sz w:val="20"/>
      </w:rPr>
      <w:br/>
    </w:r>
    <w:r w:rsidRPr="00A109BE">
      <w:rPr>
        <w:rFonts w:ascii="C39T30Lfz" w:hAnsi="C39T30Lfz"/>
        <w:sz w:val="56"/>
      </w:rPr>
      <w:t></w:t>
    </w:r>
    <w:r w:rsidRPr="00A109BE">
      <w:rPr>
        <w:rFonts w:ascii="C39T30Lfz" w:hAnsi="C39T30Lfz"/>
        <w:sz w:val="56"/>
      </w:rPr>
      <w:t></w:t>
    </w:r>
    <w:r w:rsidRPr="00A109BE">
      <w:rPr>
        <w:rFonts w:ascii="C39T30Lfz" w:hAnsi="C39T30Lfz"/>
        <w:sz w:val="56"/>
      </w:rPr>
      <w:t></w:t>
    </w:r>
    <w:r w:rsidRPr="00A109BE">
      <w:rPr>
        <w:rFonts w:ascii="C39T30Lfz" w:hAnsi="C39T30Lfz"/>
        <w:sz w:val="56"/>
      </w:rPr>
      <w:t></w:t>
    </w:r>
    <w:r w:rsidRPr="00A109BE">
      <w:rPr>
        <w:rFonts w:ascii="C39T30Lfz" w:hAnsi="C39T30Lfz"/>
        <w:sz w:val="56"/>
      </w:rPr>
      <w:t></w:t>
    </w:r>
    <w:r w:rsidRPr="00A109BE">
      <w:rPr>
        <w:rFonts w:ascii="C39T30Lfz" w:hAnsi="C39T30Lfz"/>
        <w:sz w:val="56"/>
      </w:rPr>
      <w:t></w:t>
    </w:r>
    <w:r w:rsidRPr="00A109BE">
      <w:rPr>
        <w:rFonts w:ascii="C39T30Lfz" w:hAnsi="C39T30Lfz"/>
        <w:sz w:val="56"/>
      </w:rPr>
      <w:t></w:t>
    </w:r>
    <w:r w:rsidRPr="00A109BE">
      <w:rPr>
        <w:rFonts w:ascii="C39T30Lfz" w:hAnsi="C39T30Lfz"/>
        <w:sz w:val="56"/>
      </w:rPr>
      <w:t></w:t>
    </w:r>
    <w:r w:rsidRPr="00A109B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1D" w:rsidRPr="00AC3823" w:rsidRDefault="00BB571D" w:rsidP="00AC3823">
      <w:pPr>
        <w:pStyle w:val="Footer"/>
        <w:tabs>
          <w:tab w:val="right" w:pos="2155"/>
        </w:tabs>
        <w:spacing w:after="80" w:line="240" w:lineRule="atLeast"/>
        <w:ind w:left="680"/>
        <w:rPr>
          <w:u w:val="single"/>
        </w:rPr>
      </w:pPr>
      <w:r>
        <w:rPr>
          <w:u w:val="single"/>
        </w:rPr>
        <w:tab/>
      </w:r>
    </w:p>
  </w:footnote>
  <w:footnote w:type="continuationSeparator" w:id="0">
    <w:p w:rsidR="00BB571D" w:rsidRPr="00AC3823" w:rsidRDefault="00BB571D" w:rsidP="00AC3823">
      <w:pPr>
        <w:pStyle w:val="Footer"/>
        <w:tabs>
          <w:tab w:val="right" w:pos="2155"/>
        </w:tabs>
        <w:spacing w:after="80" w:line="240" w:lineRule="atLeast"/>
        <w:ind w:left="680"/>
        <w:rPr>
          <w:u w:val="single"/>
        </w:rPr>
      </w:pPr>
      <w:r>
        <w:rPr>
          <w:u w:val="single"/>
        </w:rPr>
        <w:tab/>
      </w:r>
    </w:p>
  </w:footnote>
  <w:footnote w:type="continuationNotice" w:id="1">
    <w:p w:rsidR="00BB571D" w:rsidRPr="00AC3823" w:rsidRDefault="00BB571D">
      <w:pPr>
        <w:spacing w:line="240" w:lineRule="auto"/>
        <w:rPr>
          <w:sz w:val="2"/>
          <w:szCs w:val="2"/>
        </w:rPr>
      </w:pPr>
    </w:p>
  </w:footnote>
  <w:footnote w:id="2">
    <w:p w:rsidR="00DC7B74" w:rsidRPr="0086120C" w:rsidRDefault="00DC7B74" w:rsidP="00DC7B74">
      <w:pPr>
        <w:pStyle w:val="FootnoteText"/>
      </w:pPr>
      <w:r>
        <w:rPr>
          <w:lang w:val="fr-FR"/>
        </w:rPr>
        <w:tab/>
      </w:r>
      <w:r w:rsidRPr="00744A05">
        <w:rPr>
          <w:sz w:val="20"/>
          <w:lang w:val="fr-FR"/>
        </w:rPr>
        <w:t>*</w:t>
      </w:r>
      <w:r w:rsidRPr="00744A05">
        <w:rPr>
          <w:sz w:val="20"/>
          <w:lang w:val="fr-FR"/>
        </w:rPr>
        <w:tab/>
      </w:r>
      <w:r>
        <w:rPr>
          <w:lang w:val="fr-FR"/>
        </w:rPr>
        <w:t>Conformément au programme de travail du Comité des transports intérieurs pour la période 2018</w:t>
      </w:r>
      <w:r w:rsidR="00744A05">
        <w:rPr>
          <w:lang w:val="fr-FR"/>
        </w:rPr>
        <w:noBreakHyphen/>
      </w:r>
      <w:r>
        <w:rPr>
          <w:lang w:val="fr-FR"/>
        </w:rPr>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BE" w:rsidRPr="00A109BE" w:rsidRDefault="004E34EC">
    <w:pPr>
      <w:pStyle w:val="Header"/>
    </w:pPr>
    <w:r>
      <w:fldChar w:fldCharType="begin"/>
    </w:r>
    <w:r>
      <w:instrText xml:space="preserve"> TITLE  \* MERGEFORMAT </w:instrText>
    </w:r>
    <w:r>
      <w:fldChar w:fldCharType="separate"/>
    </w:r>
    <w:r w:rsidR="006F694C">
      <w:t>ECE/TRANS/WP.29/GRE/2019/7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BE" w:rsidRPr="00A109BE" w:rsidRDefault="004E34EC" w:rsidP="00A109BE">
    <w:pPr>
      <w:pStyle w:val="Header"/>
      <w:jc w:val="right"/>
    </w:pPr>
    <w:r>
      <w:fldChar w:fldCharType="begin"/>
    </w:r>
    <w:r>
      <w:instrText xml:space="preserve"> TITLE  \* MERGEFORMAT </w:instrText>
    </w:r>
    <w:r>
      <w:fldChar w:fldCharType="separate"/>
    </w:r>
    <w:r w:rsidR="006F694C">
      <w:t>ECE/TRANS/WP.29/GRE/2019/7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D"/>
    <w:rsid w:val="00017F94"/>
    <w:rsid w:val="00023842"/>
    <w:rsid w:val="000334F9"/>
    <w:rsid w:val="00045FEB"/>
    <w:rsid w:val="0007796D"/>
    <w:rsid w:val="000B7790"/>
    <w:rsid w:val="000D2D5E"/>
    <w:rsid w:val="0010710D"/>
    <w:rsid w:val="00111F2F"/>
    <w:rsid w:val="0014365E"/>
    <w:rsid w:val="00143C66"/>
    <w:rsid w:val="00176178"/>
    <w:rsid w:val="001F525A"/>
    <w:rsid w:val="002078E6"/>
    <w:rsid w:val="00223272"/>
    <w:rsid w:val="0024779E"/>
    <w:rsid w:val="00257168"/>
    <w:rsid w:val="002744B8"/>
    <w:rsid w:val="002832AC"/>
    <w:rsid w:val="002D7C93"/>
    <w:rsid w:val="00305801"/>
    <w:rsid w:val="0032623B"/>
    <w:rsid w:val="003916DE"/>
    <w:rsid w:val="003A1890"/>
    <w:rsid w:val="003B424F"/>
    <w:rsid w:val="00413F11"/>
    <w:rsid w:val="00421996"/>
    <w:rsid w:val="00441C3B"/>
    <w:rsid w:val="00446FE5"/>
    <w:rsid w:val="00452396"/>
    <w:rsid w:val="004837D8"/>
    <w:rsid w:val="004E2EED"/>
    <w:rsid w:val="004E34EC"/>
    <w:rsid w:val="004E468C"/>
    <w:rsid w:val="005505B7"/>
    <w:rsid w:val="00573BE5"/>
    <w:rsid w:val="00586ED3"/>
    <w:rsid w:val="005907B5"/>
    <w:rsid w:val="00596AA9"/>
    <w:rsid w:val="005F365D"/>
    <w:rsid w:val="005F474A"/>
    <w:rsid w:val="006F694C"/>
    <w:rsid w:val="0071601D"/>
    <w:rsid w:val="00724887"/>
    <w:rsid w:val="00744A05"/>
    <w:rsid w:val="007A62E6"/>
    <w:rsid w:val="007A7E04"/>
    <w:rsid w:val="007E0737"/>
    <w:rsid w:val="007F20FA"/>
    <w:rsid w:val="0080684C"/>
    <w:rsid w:val="00851797"/>
    <w:rsid w:val="00871C75"/>
    <w:rsid w:val="008776DC"/>
    <w:rsid w:val="009446C0"/>
    <w:rsid w:val="009705C8"/>
    <w:rsid w:val="009C1CF4"/>
    <w:rsid w:val="009F6B74"/>
    <w:rsid w:val="00A109BE"/>
    <w:rsid w:val="00A3029F"/>
    <w:rsid w:val="00A30353"/>
    <w:rsid w:val="00AC3823"/>
    <w:rsid w:val="00AE323C"/>
    <w:rsid w:val="00AF0CB5"/>
    <w:rsid w:val="00B00181"/>
    <w:rsid w:val="00B00B0D"/>
    <w:rsid w:val="00B45F2E"/>
    <w:rsid w:val="00B62992"/>
    <w:rsid w:val="00B765F7"/>
    <w:rsid w:val="00BA0CA9"/>
    <w:rsid w:val="00BB571D"/>
    <w:rsid w:val="00BD4ABF"/>
    <w:rsid w:val="00BF20C5"/>
    <w:rsid w:val="00BF289E"/>
    <w:rsid w:val="00C02897"/>
    <w:rsid w:val="00C97039"/>
    <w:rsid w:val="00D3439C"/>
    <w:rsid w:val="00D53434"/>
    <w:rsid w:val="00D71B08"/>
    <w:rsid w:val="00DB1831"/>
    <w:rsid w:val="00DC7B74"/>
    <w:rsid w:val="00DD3BFD"/>
    <w:rsid w:val="00DE7A91"/>
    <w:rsid w:val="00DF6678"/>
    <w:rsid w:val="00E0299A"/>
    <w:rsid w:val="00E24F62"/>
    <w:rsid w:val="00E35CDC"/>
    <w:rsid w:val="00E73706"/>
    <w:rsid w:val="00E85C74"/>
    <w:rsid w:val="00EA6547"/>
    <w:rsid w:val="00EA759D"/>
    <w:rsid w:val="00EF2E22"/>
    <w:rsid w:val="00F35BAF"/>
    <w:rsid w:val="00F660DF"/>
    <w:rsid w:val="00F94664"/>
    <w:rsid w:val="00F9573C"/>
    <w:rsid w:val="00F95C08"/>
    <w:rsid w:val="00FE4259"/>
  </w:rsids>
  <m:mathPr>
    <m:mathFont m:val="Cambria Math"/>
    <m:brkBin m:val="before"/>
    <m:brkBinSub m:val="--"/>
    <m:smallFrac m:val="0"/>
    <m:dispDef/>
    <m:lMargin m:val="0"/>
    <m:rMargin m:val="0"/>
    <m:defJc m:val="centerGroup"/>
    <m:wrapIndent m:val="1152"/>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5BE743-920A-49E4-9015-E7B2B1BC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DC7B74"/>
    <w:rPr>
      <w:rFonts w:ascii="Times New Roman" w:eastAsiaTheme="minorHAnsi" w:hAnsi="Times New Roman" w:cs="Times New Roman"/>
      <w:b/>
      <w:sz w:val="28"/>
      <w:szCs w:val="20"/>
      <w:lang w:eastAsia="en-US"/>
    </w:rPr>
  </w:style>
  <w:style w:type="character" w:customStyle="1" w:styleId="H1GChar">
    <w:name w:val="_ H_1_G Char"/>
    <w:link w:val="H1G"/>
    <w:rsid w:val="00DC7B74"/>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744A05"/>
    <w:pPr>
      <w:kinsoku/>
      <w:overflowPunct/>
      <w:autoSpaceDE/>
      <w:autoSpaceDN/>
      <w:adjustRightInd/>
      <w:snapToGrid/>
      <w:ind w:left="720"/>
      <w:contextualSpacing/>
    </w:pPr>
    <w:rPr>
      <w:rFonts w:eastAsia="Times New Roman"/>
      <w:lang w:val="en-GB"/>
    </w:rPr>
  </w:style>
  <w:style w:type="character" w:styleId="PlaceholderText">
    <w:name w:val="Placeholder Text"/>
    <w:basedOn w:val="DefaultParagraphFont"/>
    <w:uiPriority w:val="99"/>
    <w:semiHidden/>
    <w:rsid w:val="00413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ECE/TRANS/WP.29/GRE/2019/7</vt:lpstr>
      <vt:lpstr>ECE/TRANS/WP.29/GRE/2019/7</vt:lpstr>
    </vt:vector>
  </TitlesOfParts>
  <Company>DCM</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ECE/TRANS/WP.29/GRE/2019/7</dc:title>
  <dc:subject/>
  <dc:creator>Nathalie VITTOZ</dc:creator>
  <cp:keywords/>
  <cp:lastModifiedBy>Benedicte Boudol</cp:lastModifiedBy>
  <cp:revision>2</cp:revision>
  <cp:lastPrinted>2019-03-01T08:11:00Z</cp:lastPrinted>
  <dcterms:created xsi:type="dcterms:W3CDTF">2019-03-04T09:26:00Z</dcterms:created>
  <dcterms:modified xsi:type="dcterms:W3CDTF">2019-03-04T09:26:00Z</dcterms:modified>
</cp:coreProperties>
</file>