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DA725B">
            <w:pPr>
              <w:jc w:val="right"/>
            </w:pPr>
            <w:r w:rsidRPr="00EC7CBC">
              <w:rPr>
                <w:sz w:val="40"/>
              </w:rPr>
              <w:t>ECE</w:t>
            </w:r>
            <w:r w:rsidRPr="00EC7CBC">
              <w:t>/TRANS/WP.29/</w:t>
            </w:r>
            <w:r w:rsidR="00360EDD">
              <w:t xml:space="preserve"> GRE/201</w:t>
            </w:r>
            <w:r w:rsidR="009B5460">
              <w:t>9</w:t>
            </w:r>
            <w:r w:rsidRPr="00EC151E">
              <w:t>/</w:t>
            </w:r>
            <w:r w:rsidR="00DA725B">
              <w:t>3</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C740F6" w:rsidP="0025722A">
            <w:pPr>
              <w:spacing w:line="240" w:lineRule="exact"/>
            </w:pPr>
            <w:r>
              <w:t>3</w:t>
            </w:r>
            <w:r w:rsidR="009C2332">
              <w:t>1</w:t>
            </w:r>
            <w:r w:rsidR="00EC151E" w:rsidRPr="00EC151E">
              <w:t xml:space="preserve"> </w:t>
            </w:r>
            <w:r w:rsidR="009B5460">
              <w:t>January</w:t>
            </w:r>
            <w:r w:rsidR="00EC151E" w:rsidRPr="00EC151E">
              <w:t xml:space="preserve"> 201</w:t>
            </w:r>
            <w:r w:rsidR="009B5460">
              <w:t>9</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C740F6">
        <w:rPr>
          <w:b/>
        </w:rPr>
        <w:t xml:space="preserve">y-first </w:t>
      </w:r>
      <w:r w:rsidR="00E04EC7" w:rsidRPr="00E04EC7">
        <w:rPr>
          <w:b/>
        </w:rPr>
        <w:t>session</w:t>
      </w:r>
    </w:p>
    <w:p w:rsidR="00E04EC7" w:rsidRPr="00E04EC7" w:rsidRDefault="00360EDD" w:rsidP="00E04EC7">
      <w:pPr>
        <w:ind w:right="1134"/>
      </w:pPr>
      <w:r>
        <w:t xml:space="preserve">Geneva, </w:t>
      </w:r>
      <w:r w:rsidR="009B5460">
        <w:t>15</w:t>
      </w:r>
      <w:r w:rsidR="007366D4">
        <w:t>-</w:t>
      </w:r>
      <w:r w:rsidR="009B5460">
        <w:t>18</w:t>
      </w:r>
      <w:r w:rsidRPr="00EC151E">
        <w:t xml:space="preserve"> </w:t>
      </w:r>
      <w:r w:rsidR="009B5460">
        <w:t>April</w:t>
      </w:r>
      <w:r>
        <w:t xml:space="preserve"> 201</w:t>
      </w:r>
      <w:r w:rsidR="009B5460">
        <w:t>9</w:t>
      </w:r>
    </w:p>
    <w:p w:rsidR="00732AD2" w:rsidRPr="00525E6C" w:rsidRDefault="00732AD2" w:rsidP="00E04EC7">
      <w:pPr>
        <w:ind w:right="1134"/>
        <w:rPr>
          <w:bCs/>
        </w:rPr>
      </w:pPr>
      <w:r w:rsidRPr="00525E6C">
        <w:rPr>
          <w:bCs/>
        </w:rPr>
        <w:t xml:space="preserve">Item </w:t>
      </w:r>
      <w:r w:rsidR="00DA725B">
        <w:rPr>
          <w:bCs/>
        </w:rPr>
        <w:t xml:space="preserve">4 </w:t>
      </w:r>
      <w:r w:rsidRPr="00525E6C">
        <w:rPr>
          <w:bCs/>
        </w:rPr>
        <w:t>of the provisional agenda</w:t>
      </w:r>
    </w:p>
    <w:p w:rsidR="00DA725B" w:rsidRPr="00C740F6"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Pr>
          <w:b/>
          <w:bCs/>
        </w:rPr>
        <w:t xml:space="preserve"> </w:t>
      </w:r>
    </w:p>
    <w:p w:rsidR="00732AD2" w:rsidRPr="00525E6C" w:rsidRDefault="00732AD2" w:rsidP="00382714">
      <w:pPr>
        <w:pStyle w:val="HChG"/>
      </w:pPr>
      <w:r w:rsidRPr="00525E6C">
        <w:tab/>
      </w:r>
      <w:r w:rsidRPr="00525E6C">
        <w:tab/>
      </w:r>
      <w:r w:rsidR="00DA725B" w:rsidRPr="00DA725B">
        <w:t xml:space="preserve">Proposal for a new [07] series of amendments to </w:t>
      </w:r>
      <w:r w:rsidR="00DA725B">
        <w:t xml:space="preserve">UN </w:t>
      </w:r>
      <w:r w:rsidR="00DA725B" w:rsidRPr="00DA725B">
        <w:t>Regulation No. 48 (Installation of lighting and light-signalling devices)</w:t>
      </w:r>
      <w:r w:rsidR="00DA725B">
        <w:t xml:space="preserve"> </w:t>
      </w:r>
    </w:p>
    <w:p w:rsidR="00732AD2" w:rsidRPr="00525E6C" w:rsidRDefault="00DA725B" w:rsidP="00732AD2">
      <w:pPr>
        <w:pStyle w:val="H1G"/>
        <w:ind w:firstLine="0"/>
        <w:rPr>
          <w:szCs w:val="24"/>
        </w:rPr>
      </w:pPr>
      <w:r w:rsidRPr="00DA725B">
        <w:rPr>
          <w:szCs w:val="24"/>
        </w:rPr>
        <w:t>Submitted by the Informal Working Group on Simplification of Lighting and Light-Signalling Regulations (IWG SLR)</w:t>
      </w:r>
      <w:r w:rsidR="00EC151E" w:rsidRPr="00A96F13">
        <w:rPr>
          <w:szCs w:val="24"/>
        </w:rPr>
        <w:footnoteReference w:customMarkFollows="1" w:id="2"/>
        <w:t>*</w:t>
      </w:r>
      <w:r w:rsidR="005067BB" w:rsidRPr="00525E6C">
        <w:rPr>
          <w:szCs w:val="24"/>
        </w:rPr>
        <w:t xml:space="preserve"> </w:t>
      </w:r>
    </w:p>
    <w:p w:rsidR="00DA725B" w:rsidRDefault="00DA725B" w:rsidP="00DA725B">
      <w:pPr>
        <w:pStyle w:val="SingleTxtG"/>
        <w:tabs>
          <w:tab w:val="left" w:pos="8505"/>
        </w:tabs>
        <w:ind w:firstLine="567"/>
      </w:pPr>
      <w:r>
        <w:t>The text reproduced below was prepared by IWG SLR, on the basis of informal document GRE-79-29, with the purpose of collecting feedback concerning the possible introduction of new requirements for headlamp levelling, in particular regarding the vertical inclination in relation to the dipped-beam headlamp mounting height.</w:t>
      </w:r>
    </w:p>
    <w:p w:rsidR="00DA725B" w:rsidRDefault="00DA725B" w:rsidP="00DA725B">
      <w:pPr>
        <w:pStyle w:val="SingleTxtG"/>
        <w:tabs>
          <w:tab w:val="left" w:pos="8505"/>
        </w:tabs>
        <w:ind w:firstLine="567"/>
      </w:pPr>
      <w:r>
        <w:t xml:space="preserve">The proposal is based on the original proposal of the Informal Working Group on ‘Visibility, Glare and Levelling’ (IWG-VGL) (informal documents GRE-78-23-Rev.1, GRE-78-32 and GRE-78-36) and reflects the positions on this matter expressed by the experts during the seventy-eighth session of GRE (ECE/TRANS/WP.29/GRE/78, paras. 25-27). For clear understanding of the document, in particular the various positions expressed, please read the specific notes in the justification part. </w:t>
      </w:r>
    </w:p>
    <w:p w:rsidR="0053129E" w:rsidRPr="00525E6C" w:rsidRDefault="00DA725B" w:rsidP="0033709A">
      <w:pPr>
        <w:pStyle w:val="SingleTxtG"/>
        <w:tabs>
          <w:tab w:val="left" w:pos="8505"/>
        </w:tabs>
        <w:ind w:firstLine="567"/>
        <w:rPr>
          <w:b/>
          <w:bCs/>
        </w:rPr>
      </w:pPr>
      <w:r>
        <w:t>The modifications to the existing text of the UN Regulation No. 48 are marked in bold for new or strikethrough for deleted characters.</w:t>
      </w:r>
    </w:p>
    <w:p w:rsidR="0053129E" w:rsidRPr="00525E6C" w:rsidRDefault="0053129E" w:rsidP="0053129E">
      <w:pPr>
        <w:rPr>
          <w:lang w:val="en-US"/>
        </w:rPr>
        <w:sectPr w:rsidR="0053129E" w:rsidRPr="00525E6C" w:rsidSect="00BC3911">
          <w:footerReference w:type="even" r:id="rId9"/>
          <w:footerReference w:type="default" r:id="rId10"/>
          <w:footerReference w:type="first" r:id="rId11"/>
          <w:pgSz w:w="11906" w:h="16838" w:code="9"/>
          <w:pgMar w:top="1701" w:right="1134" w:bottom="1134" w:left="1134" w:header="1134" w:footer="1134" w:gutter="0"/>
          <w:cols w:space="720"/>
          <w:docGrid w:linePitch="272"/>
        </w:sectPr>
      </w:pPr>
    </w:p>
    <w:p w:rsidR="00E048CF" w:rsidRDefault="00914CE3" w:rsidP="00AC6294">
      <w:pPr>
        <w:pStyle w:val="HChG"/>
        <w:spacing w:before="240"/>
      </w:pPr>
      <w:r w:rsidRPr="00525E6C">
        <w:lastRenderedPageBreak/>
        <w:tab/>
      </w:r>
      <w:r w:rsidR="00E048CF" w:rsidRPr="00525E6C">
        <w:t>I.</w:t>
      </w:r>
      <w:r w:rsidR="00E048CF" w:rsidRPr="00525E6C">
        <w:tab/>
        <w:t>Proposal</w:t>
      </w:r>
    </w:p>
    <w:p w:rsidR="0033709A" w:rsidRPr="008239BB" w:rsidRDefault="0033709A" w:rsidP="0033709A">
      <w:pPr>
        <w:pStyle w:val="CommentText"/>
        <w:spacing w:after="120"/>
        <w:ind w:left="2268" w:right="1467" w:hanging="1134"/>
      </w:pPr>
      <w:r w:rsidRPr="008239BB">
        <w:rPr>
          <w:i/>
        </w:rPr>
        <w:t xml:space="preserve">Paragraph 4.2., </w:t>
      </w:r>
      <w:r w:rsidRPr="008239BB">
        <w:t>amend to read:</w:t>
      </w:r>
    </w:p>
    <w:p w:rsidR="0033709A" w:rsidRPr="006E4F6E" w:rsidRDefault="0033709A" w:rsidP="0033709A">
      <w:pPr>
        <w:pStyle w:val="para0"/>
        <w:ind w:right="1467"/>
        <w:rPr>
          <w:lang w:val="en-US"/>
        </w:rPr>
      </w:pPr>
      <w:r w:rsidRPr="006E4F6E">
        <w:rPr>
          <w:lang w:val="en-US"/>
        </w:rPr>
        <w:t>4.2.</w:t>
      </w:r>
      <w:r w:rsidRPr="006E4F6E">
        <w:rPr>
          <w:lang w:val="en-US"/>
        </w:rPr>
        <w:tab/>
        <w:t>An approval number shall be assigned to each type approved. Its first two digits (at present</w:t>
      </w:r>
      <w:r w:rsidRPr="00295C98">
        <w:rPr>
          <w:lang w:val="en-US"/>
        </w:rPr>
        <w:t xml:space="preserve"> </w:t>
      </w:r>
      <w:r w:rsidRPr="00BA13D5">
        <w:rPr>
          <w:b/>
          <w:lang w:val="en-US"/>
        </w:rPr>
        <w:t>[</w:t>
      </w:r>
      <w:r w:rsidRPr="00BA13D5">
        <w:rPr>
          <w:b/>
          <w:bCs/>
          <w:lang w:val="en-US"/>
        </w:rPr>
        <w:t>07</w:t>
      </w:r>
      <w:r>
        <w:rPr>
          <w:b/>
          <w:bCs/>
          <w:lang w:val="en-US"/>
        </w:rPr>
        <w:t>]</w:t>
      </w:r>
      <w:r w:rsidRPr="00295C98">
        <w:rPr>
          <w:lang w:val="en-US"/>
        </w:rPr>
        <w:t xml:space="preserve">, corresponding to the </w:t>
      </w:r>
      <w:r w:rsidRPr="00BA13D5">
        <w:rPr>
          <w:b/>
          <w:lang w:val="en-US"/>
        </w:rPr>
        <w:t>[</w:t>
      </w:r>
      <w:r w:rsidRPr="00BA13D5">
        <w:rPr>
          <w:b/>
          <w:bCs/>
          <w:lang w:val="en-US"/>
        </w:rPr>
        <w:t>0</w:t>
      </w:r>
      <w:r w:rsidRPr="00670BE2">
        <w:rPr>
          <w:b/>
          <w:bCs/>
          <w:lang w:val="en-US"/>
        </w:rPr>
        <w:t>7</w:t>
      </w:r>
      <w:r>
        <w:rPr>
          <w:b/>
          <w:bCs/>
          <w:lang w:val="en-US"/>
        </w:rPr>
        <w:t>]</w:t>
      </w:r>
      <w:r w:rsidRPr="00295C98">
        <w:rPr>
          <w:lang w:val="en-US"/>
        </w:rPr>
        <w:t xml:space="preserve"> series of amendments) shall indicate the series </w:t>
      </w:r>
      <w:r w:rsidRPr="00D93043">
        <w:rPr>
          <w:lang w:val="en-US"/>
        </w:rPr>
        <w:t>of</w:t>
      </w:r>
      <w:r w:rsidRPr="00D93043">
        <w:rPr>
          <w:rFonts w:hint="eastAsia"/>
          <w:lang w:val="en-US"/>
        </w:rPr>
        <w:t xml:space="preserve"> </w:t>
      </w:r>
      <w:r w:rsidRPr="00D93043">
        <w:rPr>
          <w:lang w:val="en-US"/>
        </w:rPr>
        <w:t>amendments incorporating the most recent major technical amendments made to the</w:t>
      </w:r>
      <w:r w:rsidRPr="00D93043">
        <w:rPr>
          <w:rFonts w:hint="eastAsia"/>
          <w:lang w:val="en-US"/>
        </w:rPr>
        <w:t xml:space="preserve"> </w:t>
      </w:r>
      <w:r w:rsidRPr="00D93043">
        <w:rPr>
          <w:lang w:val="en-US"/>
        </w:rPr>
        <w:t>Regulation at the time of issue of the approval. The same Contracting Party shall not</w:t>
      </w:r>
      <w:r w:rsidRPr="00D93043">
        <w:rPr>
          <w:rFonts w:hint="eastAsia"/>
          <w:lang w:val="en-US"/>
        </w:rPr>
        <w:t xml:space="preserve"> </w:t>
      </w:r>
      <w:r w:rsidRPr="00D93043">
        <w:rPr>
          <w:lang w:val="en-US"/>
        </w:rPr>
        <w:t>assign this number to another vehicle type or to the same vehicle type submitted with</w:t>
      </w:r>
      <w:r w:rsidRPr="00D93043">
        <w:rPr>
          <w:rFonts w:hint="eastAsia"/>
          <w:lang w:val="en-US"/>
        </w:rPr>
        <w:t xml:space="preserve"> </w:t>
      </w:r>
      <w:r w:rsidRPr="00D93043">
        <w:rPr>
          <w:lang w:val="en-US"/>
        </w:rPr>
        <w:t>equipment not specified in the list referred to in paragraph 3.2.2. above, subject to the</w:t>
      </w:r>
      <w:r w:rsidRPr="00D93043">
        <w:rPr>
          <w:rFonts w:hint="eastAsia"/>
          <w:lang w:val="en-US"/>
        </w:rPr>
        <w:t xml:space="preserve"> </w:t>
      </w:r>
      <w:r w:rsidRPr="00D93043">
        <w:rPr>
          <w:lang w:val="en-US"/>
        </w:rPr>
        <w:t>provisions of paragraph 7. of</w:t>
      </w:r>
      <w:r w:rsidRPr="00D93043">
        <w:rPr>
          <w:rFonts w:hint="eastAsia"/>
          <w:lang w:val="en-US"/>
        </w:rPr>
        <w:t xml:space="preserve"> </w:t>
      </w:r>
      <w:r w:rsidRPr="00D93043">
        <w:rPr>
          <w:lang w:val="en-US"/>
        </w:rPr>
        <w:t>this Regulation.</w:t>
      </w:r>
      <w:r>
        <w:rPr>
          <w:lang w:val="en-US"/>
        </w:rPr>
        <w:t xml:space="preserve"> </w:t>
      </w:r>
    </w:p>
    <w:p w:rsidR="0033709A" w:rsidRPr="008239BB" w:rsidRDefault="0033709A" w:rsidP="0033709A">
      <w:pPr>
        <w:pStyle w:val="CommentText"/>
        <w:spacing w:after="120"/>
        <w:ind w:left="2268" w:right="1467" w:hanging="1134"/>
      </w:pPr>
      <w:r w:rsidRPr="008239BB">
        <w:rPr>
          <w:i/>
        </w:rPr>
        <w:t>Paragraph 6.2.6. and related sub-paragraphs</w:t>
      </w:r>
      <w:r w:rsidRPr="008239BB">
        <w:t>, amend to read:</w:t>
      </w:r>
    </w:p>
    <w:p w:rsidR="0033709A" w:rsidRPr="008239BB" w:rsidRDefault="0033709A" w:rsidP="0033709A">
      <w:pPr>
        <w:pStyle w:val="CommentText"/>
        <w:spacing w:after="120"/>
        <w:ind w:left="2268" w:right="1467" w:hanging="1134"/>
      </w:pPr>
      <w:r w:rsidRPr="008239BB">
        <w:t>6.2.6.</w:t>
      </w:r>
      <w:r w:rsidRPr="008239BB">
        <w:tab/>
        <w:t>Orientation.</w:t>
      </w:r>
    </w:p>
    <w:p w:rsidR="0033709A" w:rsidRPr="006E4F6E" w:rsidRDefault="0033709A" w:rsidP="0033709A">
      <w:pPr>
        <w:pStyle w:val="para0"/>
        <w:ind w:right="1467"/>
        <w:rPr>
          <w:u w:val="single"/>
          <w:lang w:val="en-US"/>
        </w:rPr>
      </w:pPr>
      <w:r w:rsidRPr="006E4F6E">
        <w:rPr>
          <w:lang w:val="en-US"/>
        </w:rPr>
        <w:tab/>
        <w:t>Towards the front.</w:t>
      </w:r>
    </w:p>
    <w:p w:rsidR="0033709A" w:rsidRPr="006E4F6E" w:rsidRDefault="0033709A" w:rsidP="0033709A">
      <w:pPr>
        <w:pStyle w:val="para0"/>
        <w:ind w:right="1467"/>
        <w:rPr>
          <w:lang w:val="en-US"/>
        </w:rPr>
      </w:pPr>
      <w:r w:rsidRPr="006E4F6E">
        <w:rPr>
          <w:lang w:val="en-US"/>
        </w:rPr>
        <w:t>6.2.6.1.</w:t>
      </w:r>
      <w:r w:rsidRPr="006E4F6E">
        <w:rPr>
          <w:lang w:val="en-US"/>
        </w:rPr>
        <w:tab/>
        <w:t>Vertical orientation</w:t>
      </w:r>
    </w:p>
    <w:p w:rsidR="0033709A" w:rsidRPr="006E4F6E" w:rsidRDefault="0033709A" w:rsidP="0033709A">
      <w:pPr>
        <w:pStyle w:val="para0"/>
        <w:ind w:right="1467"/>
        <w:rPr>
          <w:lang w:val="en-US"/>
        </w:rPr>
      </w:pPr>
      <w:r w:rsidRPr="006E4F6E">
        <w:rPr>
          <w:lang w:val="en-US"/>
        </w:rPr>
        <w:t>6.2.6.1.1.</w:t>
      </w:r>
      <w:r w:rsidRPr="006E4F6E">
        <w:rPr>
          <w:lang w:val="en-US"/>
        </w:rPr>
        <w:tab/>
        <w:t>The initial downward inclination of the cut</w:t>
      </w:r>
      <w:r w:rsidRPr="006E4F6E">
        <w:rPr>
          <w:lang w:val="en-US"/>
        </w:rPr>
        <w:noBreakHyphen/>
        <w: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rsidR="0033709A" w:rsidRPr="006E4F6E" w:rsidRDefault="0033709A" w:rsidP="0033709A">
      <w:pPr>
        <w:pStyle w:val="para0"/>
        <w:ind w:right="1467"/>
        <w:rPr>
          <w:b/>
          <w:lang w:val="en-US"/>
        </w:rPr>
      </w:pPr>
      <w:r w:rsidRPr="006E4F6E">
        <w:rPr>
          <w:lang w:val="en-US"/>
        </w:rPr>
        <w:tab/>
        <w:t>The value of this indicated downward inclination</w:t>
      </w:r>
      <w:r w:rsidRPr="006E4F6E">
        <w:rPr>
          <w:b/>
          <w:lang w:val="en-US"/>
        </w:rPr>
        <w:t xml:space="preserve"> </w:t>
      </w:r>
      <w:r w:rsidRPr="006E4F6E">
        <w:rPr>
          <w:lang w:val="en-US"/>
        </w:rPr>
        <w:t xml:space="preserve">shall be defined </w:t>
      </w:r>
      <w:r w:rsidRPr="006E4F6E">
        <w:rPr>
          <w:strike/>
          <w:lang w:val="en-US"/>
        </w:rPr>
        <w:t xml:space="preserve">in accordance with </w:t>
      </w:r>
      <w:r w:rsidRPr="006E4F6E">
        <w:rPr>
          <w:b/>
          <w:lang w:val="en-US"/>
        </w:rPr>
        <w:t>by the vehicle manufacturer in the range prescribed in</w:t>
      </w:r>
      <w:r w:rsidRPr="006E4F6E">
        <w:rPr>
          <w:lang w:val="en-US"/>
        </w:rPr>
        <w:t xml:space="preserve"> paragraph 6.2.6.1.2. </w:t>
      </w:r>
      <w:r w:rsidRPr="006E4F6E">
        <w:rPr>
          <w:b/>
          <w:lang w:val="en-US"/>
        </w:rPr>
        <w:t xml:space="preserve">in relation to the </w:t>
      </w:r>
      <w:r w:rsidRPr="00805CB3">
        <w:rPr>
          <w:b/>
          <w:lang w:val="en-US"/>
        </w:rPr>
        <w:t>dipped</w:t>
      </w:r>
      <w:r w:rsidRPr="00805CB3">
        <w:rPr>
          <w:b/>
          <w:lang w:val="en-US"/>
        </w:rPr>
        <w:noBreakHyphen/>
        <w:t xml:space="preserve">beam headlamp </w:t>
      </w:r>
      <w:r w:rsidRPr="006E4F6E">
        <w:rPr>
          <w:b/>
          <w:lang w:val="en-US"/>
        </w:rPr>
        <w:t>mounting height.</w:t>
      </w:r>
    </w:p>
    <w:p w:rsidR="0033709A" w:rsidRPr="006E4F6E" w:rsidRDefault="0033709A" w:rsidP="0033709A">
      <w:pPr>
        <w:pStyle w:val="para0"/>
        <w:ind w:right="1467" w:firstLine="0"/>
        <w:rPr>
          <w:lang w:val="en-US"/>
        </w:rPr>
      </w:pPr>
      <w:r w:rsidRPr="006E4F6E">
        <w:rPr>
          <w:b/>
          <w:lang w:val="en-US"/>
        </w:rPr>
        <w:t>[Different values of initial downward vertical orientation for different variants/versions of the same vehicle type can be defined, provided that only the pertinent value is indicated on each variant/version.]</w:t>
      </w:r>
    </w:p>
    <w:p w:rsidR="0033709A" w:rsidRPr="006E4F6E" w:rsidRDefault="0033709A" w:rsidP="0033709A">
      <w:pPr>
        <w:pStyle w:val="para0"/>
        <w:ind w:right="1467"/>
        <w:rPr>
          <w:b/>
          <w:lang w:val="en-US"/>
        </w:rPr>
      </w:pPr>
      <w:r w:rsidRPr="006E4F6E">
        <w:rPr>
          <w:lang w:val="en-US"/>
        </w:rPr>
        <w:t>6.2.6.1.2.</w:t>
      </w:r>
      <w:r w:rsidRPr="006E4F6E">
        <w:rPr>
          <w:lang w:val="en-US"/>
        </w:rPr>
        <w:tab/>
        <w:t xml:space="preserve">Depending on the mounting height in </w:t>
      </w:r>
      <w:proofErr w:type="spellStart"/>
      <w:r w:rsidRPr="006E4F6E">
        <w:rPr>
          <w:lang w:val="en-US"/>
        </w:rPr>
        <w:t>metres</w:t>
      </w:r>
      <w:proofErr w:type="spellEnd"/>
      <w:r w:rsidRPr="006E4F6E">
        <w:rPr>
          <w:lang w:val="en-US"/>
        </w:rPr>
        <w:t xml:space="preserve"> (h) of the lower edge of the apparent surface in the direction of the reference axis of the dipped</w:t>
      </w:r>
      <w:r w:rsidRPr="006E4F6E">
        <w:rPr>
          <w:lang w:val="en-US"/>
        </w:rPr>
        <w:noBreakHyphen/>
        <w:t>beam headlamp, measured on the unladen vehicles, the vertical inclination of the cut-off of the dipped beam</w:t>
      </w:r>
      <w:r w:rsidRPr="006E4F6E">
        <w:rPr>
          <w:b/>
          <w:lang w:val="en-US"/>
        </w:rPr>
        <w:t xml:space="preserve">, starting from the initial inclination value set by the vehicle manufacturer as prescribed in paragraph 6.2.6.1.1. above,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sidRPr="006E4F6E">
        <w:rPr>
          <w:b/>
          <w:lang w:val="en-US"/>
        </w:rPr>
        <w:t xml:space="preserve"> under all the stating loading conditions of Annex 5:</w:t>
      </w:r>
    </w:p>
    <w:p w:rsidR="0033709A" w:rsidRPr="006E4F6E" w:rsidRDefault="0033709A" w:rsidP="0033709A">
      <w:pPr>
        <w:pStyle w:val="para0"/>
        <w:spacing w:after="60" w:line="240" w:lineRule="auto"/>
        <w:ind w:left="2835" w:right="1469" w:hanging="567"/>
        <w:rPr>
          <w:b/>
          <w:lang w:val="en-US"/>
        </w:rPr>
      </w:pPr>
      <w:r w:rsidRPr="006E4F6E">
        <w:rPr>
          <w:b/>
          <w:lang w:val="en-US"/>
        </w:rPr>
        <w:t>for 0.5 m &lt; h &lt; 0.9 m, between:</w:t>
      </w:r>
    </w:p>
    <w:p w:rsidR="0033709A" w:rsidRPr="006E4F6E" w:rsidRDefault="0033709A" w:rsidP="0033709A">
      <w:pPr>
        <w:pStyle w:val="para0"/>
        <w:spacing w:after="60" w:line="240" w:lineRule="auto"/>
        <w:ind w:left="2835" w:right="1469" w:hanging="567"/>
        <w:rPr>
          <w:b/>
          <w:lang w:val="en-US"/>
        </w:rPr>
      </w:pPr>
      <w:r w:rsidRPr="006E4F6E">
        <w:rPr>
          <w:b/>
          <w:lang w:val="en-US"/>
        </w:rPr>
        <w:tab/>
      </w:r>
      <w:r w:rsidRPr="006E4F6E">
        <w:rPr>
          <w:b/>
          <w:lang w:val="en-US"/>
        </w:rPr>
        <w:tab/>
        <w:t>-0.2 % and -1.8 %;</w:t>
      </w:r>
    </w:p>
    <w:p w:rsidR="0033709A" w:rsidRPr="006E4F6E" w:rsidRDefault="0033709A" w:rsidP="0033709A">
      <w:pPr>
        <w:pStyle w:val="para0"/>
        <w:spacing w:after="60" w:line="240" w:lineRule="auto"/>
        <w:ind w:left="2835" w:right="1469" w:hanging="567"/>
        <w:rPr>
          <w:b/>
          <w:lang w:val="en-US"/>
        </w:rPr>
      </w:pPr>
      <w:r w:rsidRPr="006E4F6E">
        <w:rPr>
          <w:b/>
          <w:lang w:val="en-US"/>
        </w:rPr>
        <w:t>for 0.9 m &lt; h &lt; 1.2 m, between:</w:t>
      </w:r>
    </w:p>
    <w:p w:rsidR="0033709A" w:rsidRPr="006E4F6E" w:rsidRDefault="0033709A" w:rsidP="0033709A">
      <w:pPr>
        <w:pStyle w:val="para0"/>
        <w:spacing w:after="60" w:line="240" w:lineRule="auto"/>
        <w:ind w:left="2835" w:right="1469" w:hanging="567"/>
        <w:rPr>
          <w:b/>
          <w:lang w:val="en-US"/>
        </w:rPr>
      </w:pPr>
      <w:r w:rsidRPr="006E4F6E">
        <w:rPr>
          <w:b/>
          <w:lang w:val="en-US"/>
        </w:rPr>
        <w:tab/>
      </w:r>
      <w:r w:rsidRPr="006E4F6E">
        <w:rPr>
          <w:b/>
          <w:lang w:val="en-US"/>
        </w:rPr>
        <w:tab/>
        <w:t xml:space="preserve">the minimum 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 xml:space="preserve">mounting height, </w:t>
      </w:r>
    </w:p>
    <w:p w:rsidR="0033709A" w:rsidRPr="006E4F6E" w:rsidRDefault="0033709A" w:rsidP="0033709A">
      <w:pPr>
        <w:pStyle w:val="para0"/>
        <w:spacing w:after="60" w:line="240" w:lineRule="auto"/>
        <w:ind w:left="2835" w:right="1469" w:hanging="567"/>
        <w:rPr>
          <w:b/>
          <w:lang w:val="en-US"/>
        </w:rPr>
      </w:pPr>
      <w:r w:rsidRPr="006E4F6E">
        <w:rPr>
          <w:b/>
          <w:lang w:val="en-US"/>
        </w:rPr>
        <w:tab/>
      </w:r>
      <w:r w:rsidRPr="006E4F6E">
        <w:rPr>
          <w:b/>
          <w:lang w:val="en-US"/>
        </w:rPr>
        <w:tab/>
        <w:t xml:space="preserve">from - 0.2 % to - 0.8[5] % </w:t>
      </w:r>
    </w:p>
    <w:p w:rsidR="0033709A" w:rsidRPr="006E4F6E" w:rsidRDefault="0033709A" w:rsidP="0033709A">
      <w:pPr>
        <w:pStyle w:val="para0"/>
        <w:spacing w:after="60" w:line="240" w:lineRule="auto"/>
        <w:ind w:right="1469" w:firstLine="0"/>
        <w:rPr>
          <w:b/>
          <w:lang w:val="en-US"/>
        </w:rPr>
      </w:pPr>
      <w:r w:rsidRPr="006E4F6E">
        <w:rPr>
          <w:b/>
          <w:lang w:val="en-US"/>
        </w:rPr>
        <w:tab/>
      </w:r>
      <w:r w:rsidRPr="006E4F6E">
        <w:rPr>
          <w:b/>
          <w:lang w:val="en-US"/>
        </w:rPr>
        <w:tab/>
        <w:t xml:space="preserve">and </w:t>
      </w:r>
    </w:p>
    <w:p w:rsidR="0033709A" w:rsidRPr="006E4F6E" w:rsidRDefault="0033709A" w:rsidP="0033709A">
      <w:pPr>
        <w:pStyle w:val="para0"/>
        <w:spacing w:after="60" w:line="240" w:lineRule="auto"/>
        <w:ind w:left="2835" w:right="1469" w:hanging="567"/>
        <w:rPr>
          <w:b/>
          <w:lang w:val="en-US"/>
        </w:rPr>
      </w:pPr>
      <w:r w:rsidRPr="006E4F6E">
        <w:rPr>
          <w:b/>
          <w:lang w:val="en-US"/>
        </w:rPr>
        <w:tab/>
        <w:t xml:space="preserve">the maximum 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 xml:space="preserve">mounting height, </w:t>
      </w:r>
    </w:p>
    <w:p w:rsidR="0033709A" w:rsidRPr="006E4F6E" w:rsidRDefault="0033709A" w:rsidP="0033709A">
      <w:pPr>
        <w:pStyle w:val="para0"/>
        <w:spacing w:after="60" w:line="240" w:lineRule="auto"/>
        <w:ind w:left="2835" w:right="1469" w:hanging="567"/>
        <w:rPr>
          <w:b/>
          <w:lang w:val="en-US"/>
        </w:rPr>
      </w:pPr>
      <w:r w:rsidRPr="006E4F6E">
        <w:rPr>
          <w:b/>
          <w:lang w:val="en-US"/>
        </w:rPr>
        <w:lastRenderedPageBreak/>
        <w:tab/>
        <w:t>from - 1.8 % to - 2.4[5] %;</w:t>
      </w:r>
    </w:p>
    <w:p w:rsidR="0033709A" w:rsidRPr="006E4F6E" w:rsidRDefault="0033709A" w:rsidP="0033709A">
      <w:pPr>
        <w:pStyle w:val="para0"/>
        <w:spacing w:after="0" w:line="240" w:lineRule="auto"/>
        <w:ind w:right="1467" w:firstLine="0"/>
        <w:rPr>
          <w:b/>
          <w:lang w:val="en-US"/>
        </w:rPr>
      </w:pPr>
      <w:r w:rsidRPr="006E4F6E">
        <w:rPr>
          <w:lang w:val="en-US"/>
        </w:rPr>
        <w:t>[</w:t>
      </w:r>
      <w:r w:rsidRPr="006E4F6E">
        <w:rPr>
          <w:strike/>
          <w:lang w:val="en-US"/>
        </w:rPr>
        <w:t>For</w:t>
      </w:r>
      <w:r w:rsidRPr="006E4F6E">
        <w:rPr>
          <w:lang w:val="en-US"/>
        </w:rPr>
        <w:t xml:space="preserve"> </w:t>
      </w:r>
      <w:r w:rsidRPr="006E4F6E">
        <w:rPr>
          <w:b/>
          <w:lang w:val="en-US"/>
        </w:rPr>
        <w:t>In the case of</w:t>
      </w:r>
      <w:r w:rsidRPr="006E4F6E">
        <w:rPr>
          <w:lang w:val="en-US"/>
        </w:rPr>
        <w:t xml:space="preserve"> category N</w:t>
      </w:r>
      <w:r w:rsidRPr="006E4F6E">
        <w:rPr>
          <w:vertAlign w:val="subscript"/>
          <w:lang w:val="en-US"/>
        </w:rPr>
        <w:t>3</w:t>
      </w:r>
      <w:r w:rsidRPr="006E4F6E">
        <w:rPr>
          <w:lang w:val="en-US"/>
        </w:rPr>
        <w:t>G (off-road) vehicles</w:t>
      </w:r>
      <w:r w:rsidRPr="006E4F6E">
        <w:rPr>
          <w:b/>
          <w:lang w:val="en-US"/>
        </w:rPr>
        <w:t>:</w:t>
      </w:r>
      <w:r w:rsidRPr="006E4F6E">
        <w:rPr>
          <w:lang w:val="en-US"/>
        </w:rPr>
        <w:t xml:space="preserve"> </w:t>
      </w:r>
      <w:r w:rsidRPr="006E4F6E">
        <w:rPr>
          <w:strike/>
          <w:lang w:val="en-US"/>
        </w:rPr>
        <w:t>, where the headlamps exceed a height of 1,200 mm the limits for the vertical inclination of the cut-off shall be between: -1.5 per cent and -3.5 per cent</w:t>
      </w:r>
      <w:r w:rsidRPr="006E4F6E">
        <w:rPr>
          <w:b/>
          <w:lang w:val="en-US"/>
        </w:rPr>
        <w:t xml:space="preserve"> </w:t>
      </w:r>
    </w:p>
    <w:p w:rsidR="0033709A" w:rsidRPr="006E4F6E" w:rsidRDefault="0033709A" w:rsidP="0033709A">
      <w:pPr>
        <w:pStyle w:val="para0"/>
        <w:ind w:right="1467" w:firstLine="0"/>
        <w:rPr>
          <w:b/>
          <w:lang w:val="en-US"/>
        </w:rPr>
      </w:pPr>
      <w:r w:rsidRPr="006E4F6E">
        <w:rPr>
          <w:b/>
          <w:lang w:val="en-US"/>
        </w:rPr>
        <w:t>for 1.2 m &lt; h &lt; 1.5 m, between:</w:t>
      </w:r>
    </w:p>
    <w:p w:rsidR="0033709A" w:rsidRPr="006E4F6E" w:rsidRDefault="0033709A" w:rsidP="0033709A">
      <w:pPr>
        <w:pStyle w:val="para0"/>
        <w:spacing w:after="60" w:line="240" w:lineRule="auto"/>
        <w:ind w:left="2835" w:right="1469" w:hanging="567"/>
        <w:rPr>
          <w:b/>
          <w:lang w:val="en-US"/>
        </w:rPr>
      </w:pPr>
      <w:r w:rsidRPr="006E4F6E">
        <w:rPr>
          <w:b/>
          <w:lang w:val="en-US"/>
        </w:rPr>
        <w:tab/>
        <w:t xml:space="preserve">the minimum 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mounting height, from</w:t>
      </w:r>
    </w:p>
    <w:p w:rsidR="0033709A" w:rsidRPr="006E4F6E" w:rsidRDefault="0033709A" w:rsidP="0033709A">
      <w:pPr>
        <w:pStyle w:val="para0"/>
        <w:spacing w:after="60" w:line="240" w:lineRule="auto"/>
        <w:ind w:left="2835" w:right="1469" w:hanging="567"/>
        <w:rPr>
          <w:b/>
          <w:lang w:val="en-US"/>
        </w:rPr>
      </w:pPr>
      <w:r w:rsidRPr="006E4F6E">
        <w:rPr>
          <w:b/>
          <w:lang w:val="en-US"/>
        </w:rPr>
        <w:tab/>
        <w:t xml:space="preserve">- 0.8[5] % to - 1.5 % </w:t>
      </w:r>
    </w:p>
    <w:p w:rsidR="0033709A" w:rsidRPr="006E4F6E" w:rsidRDefault="0033709A" w:rsidP="0033709A">
      <w:pPr>
        <w:pStyle w:val="para0"/>
        <w:spacing w:after="60" w:line="240" w:lineRule="auto"/>
        <w:ind w:left="2835" w:right="1469" w:hanging="567"/>
        <w:rPr>
          <w:b/>
          <w:lang w:val="en-US"/>
        </w:rPr>
      </w:pPr>
      <w:r w:rsidRPr="006E4F6E">
        <w:rPr>
          <w:b/>
          <w:lang w:val="en-US"/>
        </w:rPr>
        <w:tab/>
      </w:r>
      <w:r w:rsidRPr="006E4F6E">
        <w:rPr>
          <w:b/>
          <w:lang w:val="en-US"/>
        </w:rPr>
        <w:tab/>
        <w:t xml:space="preserve">and </w:t>
      </w:r>
    </w:p>
    <w:p w:rsidR="0033709A" w:rsidRPr="006E4F6E" w:rsidRDefault="0033709A" w:rsidP="0033709A">
      <w:pPr>
        <w:pStyle w:val="para0"/>
        <w:spacing w:after="60" w:line="240" w:lineRule="auto"/>
        <w:ind w:left="2835" w:right="1469" w:hanging="567"/>
        <w:rPr>
          <w:b/>
          <w:lang w:val="en-US"/>
        </w:rPr>
      </w:pPr>
      <w:r w:rsidRPr="006E4F6E">
        <w:rPr>
          <w:b/>
          <w:lang w:val="en-US"/>
        </w:rPr>
        <w:tab/>
        <w:t xml:space="preserve">the maximum 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mounting height, from</w:t>
      </w:r>
    </w:p>
    <w:p w:rsidR="0033709A" w:rsidRPr="006E4F6E" w:rsidRDefault="0033709A" w:rsidP="0033709A">
      <w:pPr>
        <w:pStyle w:val="para0"/>
        <w:spacing w:after="60" w:line="240" w:lineRule="auto"/>
        <w:ind w:left="2835" w:right="1469" w:hanging="567"/>
        <w:rPr>
          <w:b/>
          <w:lang w:val="en-US"/>
        </w:rPr>
      </w:pPr>
      <w:r w:rsidRPr="006E4F6E">
        <w:rPr>
          <w:b/>
          <w:lang w:val="en-US"/>
        </w:rPr>
        <w:tab/>
        <w:t>- 2.4[5] %  to - 3.1 %.]</w:t>
      </w:r>
    </w:p>
    <w:p w:rsidR="0033709A" w:rsidRPr="006E4F6E" w:rsidRDefault="0033709A" w:rsidP="0033709A">
      <w:pPr>
        <w:pStyle w:val="para0"/>
        <w:ind w:right="1467" w:firstLine="0"/>
        <w:rPr>
          <w:lang w:val="en-US"/>
        </w:rPr>
      </w:pPr>
      <w:r>
        <w:rPr>
          <w:noProof/>
          <w:snapToGrid/>
          <w:lang w:val="en-GB" w:eastAsia="zh-CN"/>
        </w:rPr>
        <mc:AlternateContent>
          <mc:Choice Requires="wps">
            <w:drawing>
              <wp:anchor distT="0" distB="0" distL="114300" distR="114300" simplePos="0" relativeHeight="251665408" behindDoc="0" locked="0" layoutInCell="1" allowOverlap="1">
                <wp:simplePos x="0" y="0"/>
                <wp:positionH relativeFrom="column">
                  <wp:posOffset>1567180</wp:posOffset>
                </wp:positionH>
                <wp:positionV relativeFrom="paragraph">
                  <wp:posOffset>370205</wp:posOffset>
                </wp:positionV>
                <wp:extent cx="3027680" cy="2809240"/>
                <wp:effectExtent l="19050" t="19050" r="20320" b="29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77828D"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9.15pt" to="361.8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" strokeweight="2.25pt">
                <o:lock v:ext="edit" shapetype="f"/>
              </v:line>
            </w:pict>
          </mc:Fallback>
        </mc:AlternateContent>
      </w:r>
      <w:r>
        <w:rPr>
          <w:noProof/>
          <w:snapToGrid/>
          <w:lang w:val="en-GB" w:eastAsia="zh-CN"/>
        </w:rPr>
        <mc:AlternateContent>
          <mc:Choice Requires="wps">
            <w:drawing>
              <wp:anchor distT="0" distB="0" distL="114300" distR="114300" simplePos="0" relativeHeight="251664384" behindDoc="0" locked="0" layoutInCell="1" allowOverlap="1">
                <wp:simplePos x="0" y="0"/>
                <wp:positionH relativeFrom="column">
                  <wp:posOffset>1526540</wp:posOffset>
                </wp:positionH>
                <wp:positionV relativeFrom="paragraph">
                  <wp:posOffset>370205</wp:posOffset>
                </wp:positionV>
                <wp:extent cx="3022600" cy="2809240"/>
                <wp:effectExtent l="19050" t="19050" r="2540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95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29.15pt" to="358.2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" strokecolor="black [3040]" strokeweight="2.25pt">
                <o:lock v:ext="edit" shapetype="f"/>
              </v:line>
            </w:pict>
          </mc:Fallback>
        </mc:AlternateContent>
      </w:r>
      <w:r w:rsidRPr="006E4F6E">
        <w:rPr>
          <w:lang w:val="en-US"/>
        </w:rPr>
        <w:t xml:space="preserve">The above limits </w:t>
      </w:r>
      <w:r w:rsidRPr="006E4F6E">
        <w:rPr>
          <w:strike/>
          <w:lang w:val="en-US"/>
        </w:rPr>
        <w:t>and the initial aiming values</w:t>
      </w:r>
      <w:r w:rsidRPr="006E4F6E">
        <w:rPr>
          <w:lang w:val="en-US"/>
        </w:rPr>
        <w:t xml:space="preserve"> are summarized in the diagram below. </w:t>
      </w:r>
    </w:p>
    <w:p w:rsidR="0033709A" w:rsidRDefault="0033709A" w:rsidP="0033709A">
      <w:pPr>
        <w:ind w:left="2268" w:right="1467" w:hanging="1134"/>
        <w:jc w:val="center"/>
      </w:pPr>
      <w:r w:rsidRPr="00805CB3">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21.25pt" o:ole="">
            <v:imagedata r:id="rId12" o:title=""/>
          </v:shape>
          <o:OLEObject Type="Embed" ProgID="PBrush" ShapeID="_x0000_i1025" DrawAspect="Content" ObjectID="_1613198277" r:id="rId13"/>
        </w:object>
      </w:r>
    </w:p>
    <w:p w:rsidR="0033709A" w:rsidRDefault="0033709A" w:rsidP="0033709A">
      <w:pPr>
        <w:ind w:left="2268" w:right="1467" w:hanging="1134"/>
        <w:jc w:val="center"/>
        <w:rPr>
          <w:lang w:val="en-US"/>
        </w:rPr>
      </w:pPr>
      <w:r w:rsidRPr="00805CB3">
        <w:rPr>
          <w:noProof/>
          <w:lang w:eastAsia="zh-CN"/>
        </w:rPr>
        <w:drawing>
          <wp:inline distT="0" distB="0" distL="0" distR="0" wp14:anchorId="56499611" wp14:editId="600EEB48">
            <wp:extent cx="3765550" cy="282690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6" t="1503" r="12071" b="1588"/>
                    <a:stretch/>
                  </pic:blipFill>
                  <pic:spPr bwMode="auto">
                    <a:xfrm>
                      <a:off x="0" y="0"/>
                      <a:ext cx="3828864" cy="2874440"/>
                    </a:xfrm>
                    <a:prstGeom prst="rect">
                      <a:avLst/>
                    </a:prstGeom>
                    <a:noFill/>
                    <a:ln>
                      <a:noFill/>
                    </a:ln>
                    <a:extLst>
                      <a:ext uri="{53640926-AAD7-44D8-BBD7-CCE9431645EC}">
                        <a14:shadowObscured xmlns:a14="http://schemas.microsoft.com/office/drawing/2010/main"/>
                      </a:ext>
                    </a:extLst>
                  </pic:spPr>
                </pic:pic>
              </a:graphicData>
            </a:graphic>
          </wp:inline>
        </w:drawing>
      </w:r>
    </w:p>
    <w:p w:rsidR="0033709A" w:rsidRPr="006E4F6E" w:rsidRDefault="0033709A" w:rsidP="0033709A">
      <w:pPr>
        <w:pStyle w:val="para0"/>
        <w:ind w:right="1467"/>
        <w:rPr>
          <w:lang w:val="en-US"/>
        </w:rPr>
      </w:pPr>
      <w:r w:rsidRPr="006E4F6E">
        <w:rPr>
          <w:lang w:val="en-US"/>
        </w:rPr>
        <w:t>6.2.6.2.</w:t>
      </w:r>
      <w:r w:rsidRPr="006E4F6E">
        <w:rPr>
          <w:lang w:val="en-US"/>
        </w:rPr>
        <w:tab/>
        <w:t>Headlamp levelling device</w:t>
      </w:r>
    </w:p>
    <w:p w:rsidR="0033709A" w:rsidRPr="006E4F6E" w:rsidRDefault="0033709A" w:rsidP="0033709A">
      <w:pPr>
        <w:pStyle w:val="para0"/>
        <w:tabs>
          <w:tab w:val="left" w:pos="1134"/>
        </w:tabs>
        <w:ind w:right="1467"/>
        <w:rPr>
          <w:lang w:val="en-US"/>
        </w:rPr>
      </w:pPr>
      <w:r w:rsidRPr="006E4F6E">
        <w:rPr>
          <w:lang w:val="en-US"/>
        </w:rPr>
        <w:t>6.2.6.2.1.</w:t>
      </w:r>
      <w:r w:rsidRPr="006E4F6E">
        <w:rPr>
          <w:lang w:val="en-US"/>
        </w:rPr>
        <w:tab/>
        <w:t>In the case where a headlamp levelling device is necessary to satisfy the requirements of paragraphs 6.2.6.1.1. and 6.2.6.1.2., the device shall be automatic.</w:t>
      </w:r>
    </w:p>
    <w:p w:rsidR="0033709A" w:rsidRPr="006E4F6E" w:rsidRDefault="0033709A" w:rsidP="0033709A">
      <w:pPr>
        <w:pStyle w:val="para0"/>
        <w:ind w:right="1467"/>
        <w:rPr>
          <w:lang w:val="en-US"/>
        </w:rPr>
      </w:pPr>
      <w:r w:rsidRPr="006E4F6E">
        <w:rPr>
          <w:lang w:val="en-US"/>
        </w:rPr>
        <w:t>6.2.6.2.2.</w:t>
      </w:r>
      <w:r w:rsidRPr="006E4F6E">
        <w:rPr>
          <w:lang w:val="en-US"/>
        </w:rPr>
        <w:tab/>
        <w:t>However, devices which are adjusted manually, either continuously or non</w:t>
      </w:r>
      <w:r w:rsidRPr="006E4F6E">
        <w:rPr>
          <w:lang w:val="en-US"/>
        </w:rPr>
        <w:noBreakHyphen/>
        <w:t>continuously, shall be permitted, provided [</w:t>
      </w:r>
      <w:r w:rsidRPr="006E4F6E">
        <w:rPr>
          <w:b/>
          <w:lang w:val="en-US"/>
        </w:rPr>
        <w:t>that]</w:t>
      </w:r>
      <w:r w:rsidRPr="006E4F6E">
        <w:rPr>
          <w:lang w:val="en-US"/>
        </w:rPr>
        <w:t xml:space="preserve"> they have a stop position at which the lamps can be returned to the initial inclination defined in paragraph 6.2.6.1.1. by means of the usual adjusting screws or similar means.</w:t>
      </w:r>
    </w:p>
    <w:p w:rsidR="0033709A" w:rsidRPr="006E4F6E" w:rsidRDefault="0033709A" w:rsidP="0033709A">
      <w:pPr>
        <w:pStyle w:val="para0"/>
        <w:ind w:right="1467"/>
        <w:rPr>
          <w:lang w:val="en-US"/>
        </w:rPr>
      </w:pPr>
      <w:r w:rsidRPr="006E4F6E">
        <w:rPr>
          <w:lang w:val="en-US"/>
        </w:rPr>
        <w:tab/>
        <w:t>These manually adjustable devices shall be from the driver's seat.</w:t>
      </w:r>
    </w:p>
    <w:p w:rsidR="0033709A" w:rsidRPr="006E4F6E" w:rsidRDefault="0033709A" w:rsidP="0033709A">
      <w:pPr>
        <w:pStyle w:val="para0"/>
        <w:ind w:right="1467"/>
        <w:rPr>
          <w:lang w:val="en-US"/>
        </w:rPr>
      </w:pPr>
      <w:r w:rsidRPr="006E4F6E">
        <w:rPr>
          <w:lang w:val="en-US"/>
        </w:rPr>
        <w:tab/>
        <w:t>Continually adjustable devices shall have reference marks indicating the loading conditions that require adjustment of the dipped-beam.</w:t>
      </w:r>
    </w:p>
    <w:p w:rsidR="0033709A" w:rsidRPr="006E4F6E" w:rsidRDefault="0033709A" w:rsidP="0033709A">
      <w:pPr>
        <w:pStyle w:val="para0"/>
        <w:ind w:right="1467" w:firstLine="0"/>
        <w:rPr>
          <w:lang w:val="en-US"/>
        </w:rPr>
      </w:pPr>
      <w:r w:rsidRPr="006E4F6E">
        <w:rPr>
          <w:lang w:val="en-US"/>
        </w:rPr>
        <w:t>The number of positions on devices which are not continuously adjustable shall be such as to ensure compliance with the range of values prescribed in paragraph 6.2.6.1.2. in all the loading conditions defined in Annex 5.</w:t>
      </w:r>
    </w:p>
    <w:p w:rsidR="0033709A" w:rsidRPr="006E4F6E" w:rsidRDefault="0033709A" w:rsidP="0033709A">
      <w:pPr>
        <w:pStyle w:val="para0"/>
        <w:ind w:right="1467" w:firstLine="0"/>
        <w:rPr>
          <w:lang w:val="en-US"/>
        </w:rPr>
      </w:pPr>
      <w:r w:rsidRPr="006E4F6E">
        <w:rPr>
          <w:lang w:val="en-US"/>
        </w:rPr>
        <w:t>For these devices also, the loading conditions of Annex 5 that require adjustment of the dipped-beam shall be clearly marked near the control of the device (Annex 8).</w:t>
      </w:r>
    </w:p>
    <w:p w:rsidR="0033709A" w:rsidRPr="006E4F6E" w:rsidRDefault="0033709A" w:rsidP="0033709A">
      <w:pPr>
        <w:pStyle w:val="para0"/>
        <w:ind w:right="1467"/>
        <w:rPr>
          <w:lang w:val="en-US"/>
        </w:rPr>
      </w:pPr>
      <w:r w:rsidRPr="006E4F6E">
        <w:rPr>
          <w:lang w:val="en-US"/>
        </w:rPr>
        <w:t>6.2.6.2.3.</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paragraphs 6.2.6.2.1. and 6.2.6.2.2., the dipped-beam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p>
    <w:p w:rsidR="0033709A" w:rsidRPr="006E4F6E" w:rsidRDefault="0033709A" w:rsidP="0033709A">
      <w:pPr>
        <w:pStyle w:val="para0"/>
        <w:ind w:right="1467"/>
        <w:rPr>
          <w:lang w:val="en-US"/>
        </w:rPr>
      </w:pPr>
      <w:r w:rsidRPr="006E4F6E">
        <w:rPr>
          <w:lang w:val="en-US"/>
        </w:rPr>
        <w:t>6.2.6.3.</w:t>
      </w:r>
      <w:r w:rsidRPr="006E4F6E">
        <w:rPr>
          <w:lang w:val="en-US"/>
        </w:rPr>
        <w:tab/>
        <w:t>Measuring procedure</w:t>
      </w:r>
    </w:p>
    <w:p w:rsidR="0033709A" w:rsidRPr="006E4F6E" w:rsidRDefault="0033709A" w:rsidP="0033709A">
      <w:pPr>
        <w:pStyle w:val="para0"/>
        <w:ind w:right="1467"/>
        <w:rPr>
          <w:lang w:val="en-US"/>
        </w:rPr>
      </w:pPr>
      <w:r w:rsidRPr="006E4F6E">
        <w:rPr>
          <w:lang w:val="en-US"/>
        </w:rPr>
        <w:t>6.2.6.3.1.</w:t>
      </w:r>
      <w:r w:rsidRPr="006E4F6E">
        <w:rPr>
          <w:lang w:val="en-US"/>
        </w:rPr>
        <w:tab/>
        <w:t xml:space="preserve">After adjustment of the initial </w:t>
      </w:r>
      <w:r w:rsidRPr="006E4F6E">
        <w:rPr>
          <w:b/>
          <w:lang w:val="en-US"/>
        </w:rPr>
        <w:t>downward</w:t>
      </w:r>
      <w:r w:rsidRPr="006E4F6E">
        <w:rPr>
          <w:lang w:val="en-US"/>
        </w:rPr>
        <w:t xml:space="preserve"> vertical inclination, the vertical inclination of the dipped-beam, expressed in per cent, shall be measured in static conditions under all the loading conditions defined in Annex 5.</w:t>
      </w:r>
    </w:p>
    <w:p w:rsidR="0033709A" w:rsidRPr="006E4F6E" w:rsidRDefault="0033709A" w:rsidP="0033709A">
      <w:pPr>
        <w:pStyle w:val="para0"/>
        <w:ind w:right="1467"/>
        <w:rPr>
          <w:lang w:val="en-US"/>
        </w:rPr>
      </w:pPr>
      <w:r w:rsidRPr="006E4F6E">
        <w:rPr>
          <w:lang w:val="en-US"/>
        </w:rPr>
        <w:t>6.2.6.3.2.</w:t>
      </w:r>
      <w:r w:rsidRPr="006E4F6E">
        <w:rPr>
          <w:lang w:val="en-US"/>
        </w:rPr>
        <w:tab/>
        <w:t>The measurement of the variation of dipped</w:t>
      </w:r>
      <w:r w:rsidRPr="006E4F6E">
        <w:rPr>
          <w:lang w:val="en-US"/>
        </w:rPr>
        <w:noBreakHyphen/>
        <w:t xml:space="preserve">beam </w:t>
      </w:r>
      <w:r w:rsidRPr="006E4F6E">
        <w:rPr>
          <w:b/>
          <w:lang w:val="en-US"/>
        </w:rPr>
        <w:t>downward vertical</w:t>
      </w:r>
      <w:r w:rsidRPr="006E4F6E">
        <w:rPr>
          <w:lang w:val="en-US"/>
        </w:rPr>
        <w:t xml:space="preserve"> inclination as a function of load shall be carried out in accordance with the test procedure set out in Annex 6.</w:t>
      </w:r>
    </w:p>
    <w:p w:rsidR="0033709A" w:rsidRPr="008239BB" w:rsidRDefault="0033709A" w:rsidP="0033709A">
      <w:pPr>
        <w:pStyle w:val="CommentText"/>
        <w:spacing w:after="120"/>
        <w:ind w:left="2268" w:right="1467" w:hanging="1134"/>
      </w:pPr>
      <w:r w:rsidRPr="008239BB">
        <w:rPr>
          <w:i/>
        </w:rPr>
        <w:t>Paragraph 6.2.9.</w:t>
      </w:r>
      <w:r w:rsidRPr="008239BB">
        <w:t>, amend to read:</w:t>
      </w:r>
    </w:p>
    <w:p w:rsidR="0033709A" w:rsidRPr="006E4F6E" w:rsidRDefault="0033709A" w:rsidP="0033709A">
      <w:pPr>
        <w:pStyle w:val="para0"/>
        <w:ind w:right="1467"/>
        <w:rPr>
          <w:i/>
          <w:lang w:val="en-US"/>
        </w:rPr>
      </w:pPr>
      <w:r w:rsidRPr="006E4F6E">
        <w:rPr>
          <w:lang w:val="en-US"/>
        </w:rPr>
        <w:t>6.2.9.</w:t>
      </w:r>
      <w:r w:rsidRPr="006E4F6E">
        <w:rPr>
          <w:lang w:val="en-US"/>
        </w:rPr>
        <w:tab/>
        <w:t>Other requirements</w:t>
      </w:r>
      <w:r w:rsidRPr="006E4F6E">
        <w:rPr>
          <w:i/>
          <w:lang w:val="en-US"/>
        </w:rPr>
        <w:t xml:space="preserve"> </w:t>
      </w:r>
    </w:p>
    <w:p w:rsidR="0033709A" w:rsidRPr="006E4F6E" w:rsidRDefault="0033709A" w:rsidP="0033709A">
      <w:pPr>
        <w:pStyle w:val="para0"/>
        <w:ind w:right="1467"/>
        <w:rPr>
          <w:lang w:val="en-US"/>
        </w:rPr>
      </w:pPr>
      <w:r w:rsidRPr="006E4F6E">
        <w:rPr>
          <w:lang w:val="en-US"/>
        </w:rPr>
        <w:tab/>
        <w:t>The requirements of paragraph 5.5.2. shall not apply to dipped-beam headlamps.</w:t>
      </w:r>
    </w:p>
    <w:p w:rsidR="0033709A" w:rsidRPr="006E4F6E" w:rsidRDefault="0033709A" w:rsidP="0033709A">
      <w:pPr>
        <w:pStyle w:val="para0"/>
        <w:ind w:right="1467"/>
        <w:rPr>
          <w:lang w:val="en-US"/>
        </w:rPr>
      </w:pPr>
      <w:r w:rsidRPr="006E4F6E">
        <w:rPr>
          <w:lang w:val="en-US"/>
        </w:rPr>
        <w:tab/>
        <w:t>[</w:t>
      </w:r>
      <w:r w:rsidRPr="006E4F6E">
        <w:rPr>
          <w:strike/>
          <w:lang w:val="en-US"/>
        </w:rPr>
        <w:t>Dipped-beam headlamps with a light source or LED module(s) producing the principal dipped-beam and having a total objective luminous flux which exceeds 2,000 lumen shall only be installed in conjunction with the installation of headlamp cleaning device(s) according to Regulation No. 45.</w:t>
      </w:r>
      <w:r w:rsidRPr="006E4F6E">
        <w:rPr>
          <w:vertAlign w:val="superscript"/>
          <w:lang w:val="en-US"/>
        </w:rPr>
        <w:t>13</w:t>
      </w:r>
      <w:r w:rsidRPr="006E4F6E">
        <w:rPr>
          <w:lang w:val="en-US"/>
        </w:rPr>
        <w:t>]</w:t>
      </w:r>
    </w:p>
    <w:p w:rsidR="0033709A" w:rsidRPr="006E4F6E" w:rsidRDefault="0033709A" w:rsidP="0033709A">
      <w:pPr>
        <w:pStyle w:val="para0"/>
        <w:ind w:right="1467"/>
        <w:rPr>
          <w:strike/>
          <w:lang w:val="en-US"/>
        </w:rPr>
      </w:pPr>
      <w:r w:rsidRPr="006E4F6E">
        <w:rPr>
          <w:lang w:val="en-US"/>
        </w:rPr>
        <w:tab/>
      </w:r>
      <w:r w:rsidRPr="006E4F6E">
        <w:rPr>
          <w:strike/>
          <w:lang w:val="en-US"/>
        </w:rPr>
        <w:t>With respect to vertical inclination the provisions of paragraph 6.2.6.2.2. above shall not be applied for dipped-beam headlamps</w:t>
      </w:r>
      <w:r w:rsidRPr="006E4F6E">
        <w:rPr>
          <w:rFonts w:eastAsia="SimSun"/>
          <w:strike/>
          <w:lang w:val="en-US" w:eastAsia="fr-FR"/>
        </w:rPr>
        <w:t xml:space="preserve"> with a light source or LED module(s) producing the principal dipped beam and having an objective luminous flux which exceeds 2,000 lumens.</w:t>
      </w:r>
    </w:p>
    <w:p w:rsidR="0033709A" w:rsidRPr="006E4F6E" w:rsidRDefault="0033709A" w:rsidP="0033709A">
      <w:pPr>
        <w:pStyle w:val="para0"/>
        <w:ind w:right="1467"/>
        <w:rPr>
          <w:strike/>
          <w:lang w:val="en-US"/>
        </w:rPr>
      </w:pPr>
      <w:r w:rsidRPr="006E4F6E">
        <w:rPr>
          <w:lang w:val="en-US"/>
        </w:rPr>
        <w:tab/>
        <w:t>[</w:t>
      </w:r>
      <w:r w:rsidRPr="006E4F6E">
        <w:rPr>
          <w:strike/>
          <w:lang w:val="en-US"/>
        </w:rPr>
        <w:t>In the case of filament lamps for which more than one test voltage is specified, the objective luminous flux which produces the principal dipped-beam, as indicated in the communication form for the type approval of the device, is applied.</w:t>
      </w:r>
    </w:p>
    <w:p w:rsidR="0033709A" w:rsidRPr="006E4F6E" w:rsidRDefault="0033709A" w:rsidP="0033709A">
      <w:pPr>
        <w:pStyle w:val="para0"/>
        <w:ind w:right="1467"/>
        <w:rPr>
          <w:strike/>
          <w:lang w:val="en-US"/>
        </w:rPr>
      </w:pPr>
      <w:r w:rsidRPr="006E4F6E">
        <w:rPr>
          <w:bCs/>
          <w:lang w:val="en-US"/>
        </w:rPr>
        <w:tab/>
      </w:r>
      <w:r w:rsidRPr="006E4F6E">
        <w:rPr>
          <w:bCs/>
          <w:strike/>
          <w:lang w:val="en-US"/>
        </w:rPr>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sidRPr="006E4F6E">
        <w:rPr>
          <w:bCs/>
          <w:lang w:val="en-US"/>
        </w:rPr>
        <w:t>]</w:t>
      </w:r>
    </w:p>
    <w:p w:rsidR="0033709A" w:rsidRPr="006E4F6E" w:rsidRDefault="0033709A" w:rsidP="0033709A">
      <w:pPr>
        <w:pStyle w:val="para0"/>
        <w:ind w:right="1467"/>
        <w:rPr>
          <w:lang w:val="en-US"/>
        </w:rPr>
      </w:pPr>
      <w:r w:rsidRPr="006E4F6E">
        <w:rPr>
          <w:lang w:val="en-US"/>
        </w:rPr>
        <w:tab/>
        <w:t>Only dipped-beam headlamps according to Regulation Nos. 98 or 112 may be used to produce bend lighting.</w:t>
      </w:r>
    </w:p>
    <w:p w:rsidR="0033709A" w:rsidRPr="006E4F6E" w:rsidRDefault="0033709A" w:rsidP="00C56CF0">
      <w:pPr>
        <w:pStyle w:val="para0"/>
        <w:tabs>
          <w:tab w:val="left" w:pos="8505"/>
        </w:tabs>
        <w:ind w:right="1467"/>
        <w:rPr>
          <w:bCs/>
          <w:lang w:val="en-US"/>
        </w:rPr>
      </w:pPr>
      <w:r w:rsidRPr="006E4F6E">
        <w:rPr>
          <w:lang w:val="en-US"/>
        </w:rPr>
        <w:tab/>
      </w:r>
      <w:r w:rsidRPr="006E4F6E">
        <w:rPr>
          <w:bCs/>
          <w:lang w:val="en-US"/>
        </w:rPr>
        <w:t xml:space="preserve">If </w:t>
      </w:r>
      <w:r w:rsidRPr="006E4F6E">
        <w:rPr>
          <w:lang w:val="en-US"/>
        </w:rPr>
        <w:t>bend</w:t>
      </w:r>
      <w:r w:rsidRPr="006E4F6E">
        <w:rPr>
          <w:bCs/>
          <w:lang w:val="en-US"/>
        </w:rPr>
        <w:t xml:space="preserve">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33709A" w:rsidRPr="008239BB" w:rsidRDefault="0033709A" w:rsidP="0033709A">
      <w:pPr>
        <w:pStyle w:val="CommentText"/>
        <w:tabs>
          <w:tab w:val="left" w:pos="8505"/>
        </w:tabs>
        <w:spacing w:after="120"/>
        <w:ind w:left="2268" w:hanging="1134"/>
      </w:pPr>
      <w:r w:rsidRPr="008239BB">
        <w:rPr>
          <w:i/>
        </w:rPr>
        <w:t>Paragraph 6.22.6.1. and related sub-paragraphs</w:t>
      </w:r>
      <w:r w:rsidRPr="008239BB">
        <w:t>, amend to read:</w:t>
      </w:r>
    </w:p>
    <w:p w:rsidR="0033709A" w:rsidRPr="006E4F6E" w:rsidRDefault="0033709A" w:rsidP="0033709A">
      <w:pPr>
        <w:pStyle w:val="para0"/>
        <w:tabs>
          <w:tab w:val="left" w:pos="8505"/>
        </w:tabs>
        <w:rPr>
          <w:lang w:val="en-US"/>
        </w:rPr>
      </w:pPr>
      <w:r w:rsidRPr="006E4F6E">
        <w:rPr>
          <w:lang w:val="en-US"/>
        </w:rPr>
        <w:t>6.22.6.1.</w:t>
      </w:r>
      <w:r w:rsidRPr="006E4F6E">
        <w:rPr>
          <w:lang w:val="en-US"/>
        </w:rPr>
        <w:tab/>
        <w:t>Vertical orientation:</w:t>
      </w:r>
    </w:p>
    <w:p w:rsidR="0033709A" w:rsidRPr="006E4F6E" w:rsidRDefault="0033709A" w:rsidP="0033709A">
      <w:pPr>
        <w:pStyle w:val="para0"/>
        <w:tabs>
          <w:tab w:val="left" w:pos="8505"/>
        </w:tabs>
        <w:rPr>
          <w:lang w:val="en-US"/>
        </w:rPr>
      </w:pPr>
      <w:r w:rsidRPr="006E4F6E">
        <w:rPr>
          <w:lang w:val="en-US"/>
        </w:rPr>
        <w:t>6.22.6.1.1.</w:t>
      </w:r>
      <w:r w:rsidRPr="006E4F6E">
        <w:rPr>
          <w:lang w:val="en-US"/>
        </w:rPr>
        <w:tab/>
        <w:t xml:space="preserve">The initial downward inclination of the cut-off of the basic </w:t>
      </w:r>
      <w:r w:rsidRPr="006E4F6E">
        <w:rPr>
          <w:strike/>
          <w:lang w:val="en-US"/>
        </w:rPr>
        <w:t>passing</w:t>
      </w:r>
      <w:r w:rsidRPr="006E4F6E">
        <w:rPr>
          <w:lang w:val="en-US"/>
        </w:rPr>
        <w:t xml:space="preserve"> </w:t>
      </w:r>
      <w:r w:rsidRPr="006E4F6E">
        <w:rPr>
          <w:b/>
          <w:lang w:val="en-US"/>
        </w:rPr>
        <w:t>dipped</w:t>
      </w:r>
      <w:r w:rsidRPr="006E4F6E">
        <w:rPr>
          <w:lang w:val="en-US"/>
        </w:rPr>
        <w:t>-beam to be set in the unladen vehicle state with one person in the driver's seat shall be specified with</w:t>
      </w:r>
      <w:r w:rsidRPr="006E4F6E">
        <w:rPr>
          <w:b/>
          <w:lang w:val="en-US"/>
        </w:rPr>
        <w:t>in</w:t>
      </w:r>
      <w:r w:rsidRPr="006E4F6E">
        <w:rPr>
          <w:lang w:val="en-US"/>
        </w:rPr>
        <w:t xml:space="preserve"> a</w:t>
      </w:r>
      <w:r w:rsidRPr="006E4F6E">
        <w:rPr>
          <w:b/>
          <w:lang w:val="en-US"/>
        </w:rPr>
        <w:t>n</w:t>
      </w:r>
      <w:r w:rsidRPr="006E4F6E">
        <w:rPr>
          <w:lang w:val="en-US"/>
        </w:rPr>
        <w:t xml:space="preserve"> </w:t>
      </w:r>
      <w:r w:rsidRPr="006E4F6E">
        <w:rPr>
          <w:strike/>
          <w:lang w:val="en-US"/>
        </w:rPr>
        <w:t>precision</w:t>
      </w:r>
      <w:r w:rsidRPr="006E4F6E">
        <w:rPr>
          <w:lang w:val="en-US"/>
        </w:rPr>
        <w:t xml:space="preserve"> </w:t>
      </w:r>
      <w:r w:rsidRPr="006E4F6E">
        <w:rPr>
          <w:b/>
          <w:lang w:val="en-US"/>
        </w:rPr>
        <w:t>accuracy</w:t>
      </w:r>
      <w:r w:rsidRPr="006E4F6E">
        <w:rPr>
          <w:lang w:val="en-US"/>
        </w:rPr>
        <w:t xml:space="preserve"> of 0.1 per cent by the manufacturer and indicated in </w:t>
      </w:r>
      <w:r w:rsidRPr="006E4F6E">
        <w:rPr>
          <w:b/>
          <w:lang w:val="en-US"/>
        </w:rPr>
        <w:t>a</w:t>
      </w:r>
      <w:r w:rsidRPr="006E4F6E">
        <w:rPr>
          <w:lang w:val="en-US"/>
        </w:rPr>
        <w:t xml:space="preserve"> clearly legible and indelible manner on each vehicle, close to either the front lighting system or the manufacturer's plate, by the symbol shown in Annex 7.</w:t>
      </w:r>
    </w:p>
    <w:p w:rsidR="0033709A" w:rsidRPr="006E4F6E" w:rsidRDefault="0033709A" w:rsidP="0033709A">
      <w:pPr>
        <w:pStyle w:val="para0"/>
        <w:tabs>
          <w:tab w:val="left" w:pos="8505"/>
        </w:tabs>
        <w:rPr>
          <w:b/>
          <w:lang w:val="en-US"/>
        </w:rPr>
      </w:pPr>
      <w:r w:rsidRPr="006E4F6E">
        <w:rPr>
          <w:lang w:val="en-US"/>
        </w:rPr>
        <w:tab/>
        <w:t xml:space="preserve">Where differing initial downward inclination are specified by the manufacturer for different lighting units that provide or contribute to the cut-off of the basic </w:t>
      </w:r>
      <w:r w:rsidRPr="006E4F6E">
        <w:rPr>
          <w:strike/>
          <w:lang w:val="en-US"/>
        </w:rPr>
        <w:t>passing</w:t>
      </w:r>
      <w:r w:rsidRPr="006E4F6E">
        <w:rPr>
          <w:lang w:val="en-US"/>
        </w:rPr>
        <w:t xml:space="preserve"> </w:t>
      </w:r>
      <w:r w:rsidRPr="006E4F6E">
        <w:rPr>
          <w:b/>
          <w:lang w:val="en-US"/>
        </w:rPr>
        <w:t>dipped</w:t>
      </w:r>
      <w:r w:rsidRPr="006E4F6E">
        <w:rPr>
          <w:lang w:val="en-US"/>
        </w:rPr>
        <w:t>-beam, these values of downward inclination shall be specified with</w:t>
      </w:r>
      <w:r w:rsidRPr="006E4F6E">
        <w:rPr>
          <w:b/>
          <w:lang w:val="en-US"/>
        </w:rPr>
        <w:t>in</w:t>
      </w:r>
      <w:r w:rsidRPr="006E4F6E">
        <w:rPr>
          <w:lang w:val="en-US"/>
        </w:rPr>
        <w:t xml:space="preserve"> a</w:t>
      </w:r>
      <w:r w:rsidRPr="006E4F6E">
        <w:rPr>
          <w:b/>
          <w:lang w:val="en-US"/>
        </w:rPr>
        <w:t>n</w:t>
      </w:r>
      <w:r w:rsidRPr="006E4F6E">
        <w:rPr>
          <w:lang w:val="en-US"/>
        </w:rPr>
        <w:t xml:space="preserve"> </w:t>
      </w:r>
      <w:r w:rsidRPr="006E4F6E">
        <w:rPr>
          <w:strike/>
          <w:lang w:val="en-US"/>
        </w:rPr>
        <w:t>precision</w:t>
      </w:r>
      <w:r w:rsidRPr="006E4F6E">
        <w:rPr>
          <w:lang w:val="en-US"/>
        </w:rPr>
        <w:t xml:space="preserve"> </w:t>
      </w:r>
      <w:r w:rsidRPr="006E4F6E">
        <w:rPr>
          <w:b/>
          <w:lang w:val="en-US"/>
        </w:rPr>
        <w:t xml:space="preserve">accuracy </w:t>
      </w:r>
      <w:r w:rsidRPr="006E4F6E">
        <w:rPr>
          <w:lang w:val="en-US"/>
        </w:rPr>
        <w:t xml:space="preserve">of 0.1 per cent by the manufacturer and indicated in </w:t>
      </w:r>
      <w:r w:rsidRPr="006E4F6E">
        <w:rPr>
          <w:b/>
          <w:lang w:val="en-US"/>
        </w:rPr>
        <w:t>a</w:t>
      </w:r>
      <w:r w:rsidRPr="006E4F6E">
        <w:rPr>
          <w:lang w:val="en-US"/>
        </w:rPr>
        <w:t xml:space="preserve"> clearly legible and indelible manner on each vehicle, close to either the relevant lighting units or on the manufacturer</w:t>
      </w:r>
      <w:r w:rsidRPr="006E4F6E">
        <w:rPr>
          <w:b/>
          <w:lang w:val="en-US"/>
        </w:rPr>
        <w:t>'</w:t>
      </w:r>
      <w:r w:rsidRPr="006E4F6E">
        <w:rPr>
          <w:lang w:val="en-US"/>
        </w:rPr>
        <w:t xml:space="preserve">s plate, </w:t>
      </w:r>
      <w:r w:rsidRPr="006E4F6E">
        <w:rPr>
          <w:b/>
          <w:lang w:val="en-US"/>
        </w:rPr>
        <w:t>by the symbol shown in Annex 7</w:t>
      </w:r>
      <w:r w:rsidRPr="006E4F6E">
        <w:rPr>
          <w:lang w:val="en-US"/>
        </w:rPr>
        <w:t xml:space="preserve"> in such a way that all the lighting units concerned can be unambiguously identified.</w:t>
      </w:r>
      <w:r w:rsidRPr="006E4F6E">
        <w:rPr>
          <w:b/>
          <w:lang w:val="en-US"/>
        </w:rPr>
        <w:t xml:space="preserve"> </w:t>
      </w:r>
    </w:p>
    <w:p w:rsidR="0033709A" w:rsidRPr="006E4F6E" w:rsidRDefault="0033709A" w:rsidP="0033709A">
      <w:pPr>
        <w:pStyle w:val="para0"/>
        <w:tabs>
          <w:tab w:val="left" w:pos="8505"/>
        </w:tabs>
        <w:rPr>
          <w:b/>
          <w:lang w:val="en-US"/>
        </w:rPr>
      </w:pPr>
      <w:r w:rsidRPr="006E4F6E">
        <w:rPr>
          <w:b/>
          <w:lang w:val="en-US"/>
        </w:rPr>
        <w:tab/>
        <w:t>The value(s) of this (these) indicated vertical orientation(s) shall be defined by the vehicle manufacturer in the range prescribed in paragraph 6.2.6.1.2. in relation to the mounting height</w:t>
      </w:r>
      <w:r w:rsidRPr="006E4F6E">
        <w:rPr>
          <w:lang w:val="en-US"/>
        </w:rPr>
        <w:t xml:space="preserve"> </w:t>
      </w:r>
      <w:r w:rsidRPr="006E4F6E">
        <w:rPr>
          <w:b/>
          <w:lang w:val="en-US"/>
        </w:rPr>
        <w:t>of the lighting units that provide or contribute to the cut-off of the basic dipped-beam.</w:t>
      </w:r>
    </w:p>
    <w:p w:rsidR="0033709A" w:rsidRPr="006E4F6E" w:rsidRDefault="0033709A" w:rsidP="0033709A">
      <w:pPr>
        <w:pStyle w:val="para0"/>
        <w:tabs>
          <w:tab w:val="left" w:pos="8505"/>
        </w:tabs>
        <w:rPr>
          <w:b/>
          <w:lang w:val="en-US"/>
        </w:rPr>
      </w:pPr>
      <w:r w:rsidRPr="006E4F6E">
        <w:rPr>
          <w:b/>
          <w:lang w:val="en-US"/>
        </w:rPr>
        <w:tab/>
        <w:t>[Different values of initial downward vertical orientation for different variants/versions of the same vehicle type can be defined, provided that only the pertinent value is indicated on each variant/version.]</w:t>
      </w:r>
    </w:p>
    <w:p w:rsidR="0033709A" w:rsidRPr="006E4F6E" w:rsidRDefault="0033709A" w:rsidP="0033709A">
      <w:pPr>
        <w:pStyle w:val="para0"/>
        <w:tabs>
          <w:tab w:val="left" w:pos="8505"/>
        </w:tabs>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6E4F6E">
        <w:rPr>
          <w:strike/>
          <w:lang w:val="en-US"/>
        </w:rPr>
        <w:t>passing</w:t>
      </w:r>
      <w:r w:rsidRPr="006E4F6E">
        <w:rPr>
          <w:lang w:val="en-US"/>
        </w:rPr>
        <w:t xml:space="preserve"> </w:t>
      </w:r>
      <w:r w:rsidRPr="006E4F6E">
        <w:rPr>
          <w:b/>
          <w:lang w:val="en-US"/>
        </w:rPr>
        <w:t>dipped</w:t>
      </w:r>
      <w:r w:rsidRPr="006E4F6E">
        <w:rPr>
          <w:lang w:val="en-US"/>
        </w:rPr>
        <w:t xml:space="preserve">-beam 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rsidR="0033709A" w:rsidRPr="006E4F6E" w:rsidRDefault="0033709A" w:rsidP="0033709A">
      <w:pPr>
        <w:pStyle w:val="para0"/>
        <w:tabs>
          <w:tab w:val="left" w:pos="8505"/>
        </w:tabs>
        <w:rPr>
          <w:lang w:val="en-US"/>
        </w:rPr>
      </w:pPr>
      <w:r w:rsidRPr="006E4F6E">
        <w:rPr>
          <w:lang w:val="en-US"/>
        </w:rPr>
        <w:t>6.22.6.1.2.1.</w:t>
      </w:r>
      <w:r w:rsidRPr="006E4F6E">
        <w:rPr>
          <w:lang w:val="en-US"/>
        </w:rPr>
        <w:tab/>
        <w:t xml:space="preserve">In case the </w:t>
      </w:r>
      <w:r w:rsidRPr="006E4F6E">
        <w:rPr>
          <w:strike/>
          <w:lang w:val="en-US"/>
        </w:rPr>
        <w:t>passing</w:t>
      </w:r>
      <w:r w:rsidRPr="006E4F6E">
        <w:rPr>
          <w:lang w:val="en-US"/>
        </w:rPr>
        <w:t xml:space="preserve"> </w:t>
      </w:r>
      <w:r w:rsidRPr="006E4F6E">
        <w:rPr>
          <w:b/>
          <w:lang w:val="en-US"/>
        </w:rPr>
        <w:t>dipped</w:t>
      </w:r>
      <w:r w:rsidRPr="006E4F6E">
        <w:rPr>
          <w:lang w:val="en-US"/>
        </w:rPr>
        <w:t xml:space="preserve">-beam is generated by several beams from different lighting units, the </w:t>
      </w:r>
      <w:r w:rsidRPr="006E4F6E">
        <w:rPr>
          <w:b/>
          <w:lang w:val="en-US"/>
        </w:rPr>
        <w:t>relevant requirements</w:t>
      </w:r>
      <w:r w:rsidRPr="006E4F6E">
        <w:rPr>
          <w:lang w:val="en-US"/>
        </w:rPr>
        <w:t xml:space="preserve"> </w:t>
      </w:r>
      <w:r w:rsidRPr="006E4F6E">
        <w:rPr>
          <w:strike/>
          <w:lang w:val="en-US"/>
        </w:rPr>
        <w:t>provisions according to paragraph 6.22.6.1.2.</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9.4. of the communication form conforming to the model in Annex 1 to Regulation No. 123.</w:t>
      </w:r>
    </w:p>
    <w:p w:rsidR="0033709A" w:rsidRPr="006E4F6E" w:rsidRDefault="0033709A" w:rsidP="0033709A">
      <w:pPr>
        <w:pStyle w:val="para0"/>
        <w:tabs>
          <w:tab w:val="left" w:pos="8505"/>
        </w:tabs>
        <w:rPr>
          <w:lang w:val="en-US"/>
        </w:rPr>
      </w:pPr>
      <w:r w:rsidRPr="006E4F6E">
        <w:rPr>
          <w:lang w:val="en-US"/>
        </w:rPr>
        <w:t>6.22.6.2.</w:t>
      </w:r>
      <w:r w:rsidRPr="006E4F6E">
        <w:rPr>
          <w:lang w:val="en-US"/>
        </w:rPr>
        <w:tab/>
        <w:t>Headlamp levelling device</w:t>
      </w:r>
    </w:p>
    <w:p w:rsidR="0033709A" w:rsidRPr="006E4F6E" w:rsidRDefault="0033709A" w:rsidP="0033709A">
      <w:pPr>
        <w:pStyle w:val="para0"/>
        <w:tabs>
          <w:tab w:val="left" w:pos="8505"/>
        </w:tabs>
        <w:rPr>
          <w:b/>
          <w:lang w:val="en-US"/>
        </w:rPr>
      </w:pPr>
      <w:r w:rsidRPr="006E4F6E">
        <w:rPr>
          <w:lang w:val="en-US"/>
        </w:rPr>
        <w:t>6.22.6.2.1.</w:t>
      </w:r>
      <w:r w:rsidRPr="006E4F6E">
        <w:rPr>
          <w:lang w:val="en-US"/>
        </w:rPr>
        <w:tab/>
        <w:t>In the case where a headlamp levelling device is necessary to satisfy the requirements of paragraph 6.22.6.1.2., the device shall be automatic.</w:t>
      </w:r>
    </w:p>
    <w:p w:rsidR="0033709A" w:rsidRPr="006E4F6E" w:rsidRDefault="0033709A" w:rsidP="0033709A">
      <w:pPr>
        <w:pStyle w:val="para0"/>
        <w:tabs>
          <w:tab w:val="left" w:pos="8505"/>
        </w:tabs>
        <w:rPr>
          <w:lang w:val="en-US"/>
        </w:rPr>
      </w:pPr>
      <w:r w:rsidRPr="006E4F6E">
        <w:rPr>
          <w:lang w:val="en-US"/>
        </w:rPr>
        <w:t>6.22.6.2.2.</w:t>
      </w:r>
      <w:r w:rsidRPr="006E4F6E">
        <w:rPr>
          <w:lang w:val="en-US"/>
        </w:rPr>
        <w:tab/>
        <w:t xml:space="preserve">In the event of a failure of </w:t>
      </w:r>
      <w:r w:rsidRPr="006E4F6E">
        <w:rPr>
          <w:strike/>
          <w:lang w:val="en-US"/>
        </w:rPr>
        <w:t>this</w:t>
      </w:r>
      <w:r w:rsidRPr="006E4F6E">
        <w:rPr>
          <w:lang w:val="en-US"/>
        </w:rPr>
        <w:t xml:space="preserve"> </w:t>
      </w:r>
      <w:r w:rsidRPr="006E4F6E">
        <w:rPr>
          <w:b/>
          <w:lang w:val="en-US"/>
        </w:rPr>
        <w:t>the</w:t>
      </w:r>
      <w:r w:rsidRPr="006E4F6E">
        <w:rPr>
          <w:lang w:val="en-US"/>
        </w:rPr>
        <w:t xml:space="preserve"> device</w:t>
      </w:r>
      <w:r w:rsidRPr="006E4F6E">
        <w:rPr>
          <w:b/>
          <w:lang w:val="en-US"/>
        </w:rPr>
        <w:t xml:space="preserve"> prescribed</w:t>
      </w:r>
      <w:r w:rsidRPr="006E4F6E">
        <w:rPr>
          <w:lang w:val="en-US"/>
        </w:rPr>
        <w:t xml:space="preserve"> </w:t>
      </w:r>
      <w:r w:rsidRPr="006E4F6E">
        <w:rPr>
          <w:b/>
          <w:lang w:val="en-US"/>
        </w:rPr>
        <w:t>in paragraphs 6.22.6.2.1.,</w:t>
      </w:r>
      <w:r w:rsidRPr="006E4F6E">
        <w:rPr>
          <w:lang w:val="en-US"/>
        </w:rPr>
        <w:t xml:space="preserve"> the </w:t>
      </w:r>
      <w:r w:rsidRPr="006E4F6E">
        <w:rPr>
          <w:b/>
          <w:lang w:val="en-US"/>
        </w:rPr>
        <w:t>basic</w:t>
      </w:r>
      <w:r w:rsidRPr="006E4F6E">
        <w:rPr>
          <w:lang w:val="en-US"/>
        </w:rPr>
        <w:t xml:space="preserve"> </w:t>
      </w:r>
      <w:r w:rsidRPr="006E4F6E">
        <w:rPr>
          <w:strike/>
          <w:lang w:val="en-US"/>
        </w:rPr>
        <w:t>passing</w:t>
      </w:r>
      <w:r w:rsidRPr="006E4F6E">
        <w:rPr>
          <w:lang w:val="en-US"/>
        </w:rPr>
        <w:t xml:space="preserve"> </w:t>
      </w:r>
      <w:r w:rsidRPr="006E4F6E">
        <w:rPr>
          <w:b/>
          <w:lang w:val="en-US"/>
        </w:rPr>
        <w:t>dipped</w:t>
      </w:r>
      <w:r w:rsidRPr="006E4F6E">
        <w:rPr>
          <w:lang w:val="en-US"/>
        </w:rPr>
        <w:t>-beam shall not assume a position</w:t>
      </w:r>
      <w:r w:rsidRPr="006E4F6E">
        <w:rPr>
          <w:b/>
          <w:lang w:val="en-US"/>
        </w:rPr>
        <w:t xml:space="preserve"> </w:t>
      </w:r>
      <w:r w:rsidRPr="006E4F6E">
        <w:rPr>
          <w:lang w:val="en-US"/>
        </w:rPr>
        <w:t xml:space="preserve">in which the </w:t>
      </w:r>
      <w:r w:rsidRPr="006E4F6E">
        <w:rPr>
          <w:strike/>
          <w:lang w:val="en-US"/>
        </w:rPr>
        <w:t>downward inclination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p>
    <w:p w:rsidR="0033709A" w:rsidRDefault="0033709A" w:rsidP="0033709A">
      <w:pPr>
        <w:pStyle w:val="CommentText"/>
        <w:spacing w:after="120"/>
        <w:ind w:left="2268" w:hanging="1134"/>
      </w:pPr>
      <w:bookmarkStart w:id="1" w:name="_Hlk534815639"/>
      <w:r w:rsidRPr="00AD2EB8">
        <w:rPr>
          <w:i/>
        </w:rPr>
        <w:t>Paragraph 6.</w:t>
      </w:r>
      <w:r>
        <w:rPr>
          <w:i/>
        </w:rPr>
        <w:t>2</w:t>
      </w:r>
      <w:r w:rsidRPr="00AD2EB8">
        <w:rPr>
          <w:i/>
        </w:rPr>
        <w:t>2.</w:t>
      </w:r>
      <w:r>
        <w:rPr>
          <w:i/>
        </w:rPr>
        <w:t>9</w:t>
      </w:r>
      <w:r w:rsidRPr="00AD2EB8">
        <w:rPr>
          <w:i/>
        </w:rPr>
        <w:t>.</w:t>
      </w:r>
      <w:r>
        <w:rPr>
          <w:i/>
        </w:rPr>
        <w:t>1.</w:t>
      </w:r>
      <w:r>
        <w:t>, amend to read:</w:t>
      </w:r>
    </w:p>
    <w:p w:rsidR="0033709A" w:rsidRPr="006E4F6E" w:rsidRDefault="0033709A" w:rsidP="002E02E2">
      <w:pPr>
        <w:pStyle w:val="para0"/>
        <w:rPr>
          <w:lang w:val="en-US"/>
        </w:rPr>
      </w:pPr>
      <w:r w:rsidRPr="006E4F6E">
        <w:rPr>
          <w:lang w:val="en-US"/>
        </w:rPr>
        <w:t>[</w:t>
      </w:r>
      <w:r w:rsidRPr="006E4F6E">
        <w:rPr>
          <w:strike/>
          <w:lang w:val="en-US"/>
        </w:rPr>
        <w:t>6.22.9.1.</w:t>
      </w:r>
      <w:r w:rsidRPr="006E4F6E">
        <w:rPr>
          <w:strike/>
          <w:lang w:val="en-US"/>
        </w:rPr>
        <w:tab/>
        <w:t>An AFS shall be permitted only in conjunction with the installation of headlamp cleaning device(s) according to Regulation No. 45 for at least those lighting units, which are indicated under</w:t>
      </w:r>
      <w:r w:rsidRPr="006E4F6E">
        <w:rPr>
          <w:rFonts w:hint="eastAsia"/>
          <w:strike/>
          <w:lang w:val="en-US"/>
        </w:rPr>
        <w:t xml:space="preserve"> </w:t>
      </w:r>
      <w:r w:rsidRPr="006E4F6E">
        <w:rPr>
          <w:strike/>
          <w:lang w:val="en-US"/>
        </w:rPr>
        <w:t>item</w:t>
      </w:r>
      <w:r w:rsidRPr="006E4F6E">
        <w:rPr>
          <w:rFonts w:hint="eastAsia"/>
          <w:strike/>
          <w:lang w:val="en-US"/>
        </w:rPr>
        <w:t xml:space="preserve"> 9.</w:t>
      </w:r>
      <w:r w:rsidRPr="006E4F6E">
        <w:rPr>
          <w:strike/>
          <w:lang w:val="en-US"/>
        </w:rPr>
        <w:t>3.</w:t>
      </w:r>
      <w:r w:rsidRPr="006E4F6E">
        <w:rPr>
          <w:rFonts w:hint="eastAsia"/>
          <w:strike/>
          <w:lang w:val="en-US"/>
        </w:rPr>
        <w:t xml:space="preserve"> of </w:t>
      </w:r>
      <w:r w:rsidRPr="006E4F6E">
        <w:rPr>
          <w:strike/>
          <w:lang w:val="en-US"/>
        </w:rPr>
        <w:t>the communication form conforming to the model in Annex 1 to Regulation No. 123, if the total objective luminous flux of the light sources of these units exceeds 2,000 lm per side, and which contribute to the class C (basic) passing-beam.</w:t>
      </w:r>
      <w:r w:rsidRPr="006E4F6E">
        <w:rPr>
          <w:lang w:val="en-US"/>
        </w:rPr>
        <w:t>]</w:t>
      </w:r>
      <w:bookmarkEnd w:id="1"/>
    </w:p>
    <w:p w:rsidR="0033709A" w:rsidRPr="006E4F6E" w:rsidRDefault="0033709A" w:rsidP="0033709A">
      <w:pPr>
        <w:pStyle w:val="para0"/>
        <w:rPr>
          <w:lang w:val="en-US"/>
        </w:rPr>
      </w:pPr>
      <w:r w:rsidRPr="006E4F6E">
        <w:rPr>
          <w:i/>
          <w:lang w:val="en-US"/>
        </w:rPr>
        <w:t>Annex 2,</w:t>
      </w:r>
      <w:r w:rsidRPr="006E4F6E">
        <w:rPr>
          <w:lang w:val="en-US"/>
        </w:rPr>
        <w:t xml:space="preserve"> amend to read:</w:t>
      </w:r>
    </w:p>
    <w:p w:rsidR="0033709A" w:rsidRPr="006E4F6E" w:rsidRDefault="0033709A" w:rsidP="0033709A">
      <w:pPr>
        <w:pStyle w:val="para0"/>
        <w:rPr>
          <w:lang w:val="en-US"/>
        </w:rPr>
      </w:pPr>
      <w:r w:rsidRPr="006E4F6E">
        <w:rPr>
          <w:lang w:val="en-US"/>
        </w:rPr>
        <w:t>Model A</w:t>
      </w:r>
    </w:p>
    <w:p w:rsidR="0033709A" w:rsidRPr="006E4F6E" w:rsidRDefault="0033709A" w:rsidP="0033709A">
      <w:pPr>
        <w:pStyle w:val="para0"/>
        <w:rPr>
          <w:lang w:val="en-US"/>
        </w:rPr>
      </w:pPr>
      <w:r w:rsidRPr="006E4F6E">
        <w:rPr>
          <w:lang w:val="en-US"/>
        </w:rPr>
        <w:t>(See paragraph 4.4. of this Regulation)</w:t>
      </w:r>
    </w:p>
    <w:p w:rsidR="0033709A" w:rsidRPr="006E4F6E" w:rsidRDefault="0033709A" w:rsidP="0033709A">
      <w:pPr>
        <w:pStyle w:val="para0"/>
        <w:rPr>
          <w:lang w:val="en-US"/>
        </w:rPr>
      </w:pPr>
    </w:p>
    <w:p w:rsidR="0033709A" w:rsidRPr="00F75DB9" w:rsidRDefault="0033709A" w:rsidP="0033709A">
      <w:pPr>
        <w:tabs>
          <w:tab w:val="left" w:pos="1700"/>
          <w:tab w:val="left" w:pos="4536"/>
          <w:tab w:val="left" w:leader="dot" w:pos="8505"/>
        </w:tabs>
        <w:spacing w:after="120"/>
        <w:ind w:left="284" w:right="1134"/>
        <w:jc w:val="right"/>
      </w:pPr>
      <w:r>
        <w:rPr>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3814082</wp:posOffset>
                </wp:positionH>
                <wp:positionV relativeFrom="paragraph">
                  <wp:posOffset>345440</wp:posOffset>
                </wp:positionV>
                <wp:extent cx="330200" cy="30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A" w:rsidRPr="00D62F32" w:rsidRDefault="0033709A" w:rsidP="0033709A">
                            <w:pPr>
                              <w:rPr>
                                <w:rFonts w:ascii="Arial" w:hAnsi="Arial"/>
                                <w:b/>
                                <w:bCs/>
                                <w:sz w:val="40"/>
                                <w:szCs w:val="40"/>
                                <w:lang w:eastAsia="ja-JP"/>
                              </w:rPr>
                            </w:pPr>
                            <w:r w:rsidRPr="00D62F32">
                              <w:rPr>
                                <w:rFonts w:ascii="Arial" w:hAnsi="Arial"/>
                                <w:b/>
                                <w:bCs/>
                                <w:sz w:val="40"/>
                                <w:szCs w:val="4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3pt;margin-top:27.2pt;width:2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" stroked="f">
                <v:textbox inset="0,0,0,0">
                  <w:txbxContent>
                    <w:p w:rsidR="0033709A" w:rsidRPr="00D62F32" w:rsidRDefault="0033709A" w:rsidP="0033709A">
                      <w:pPr>
                        <w:rPr>
                          <w:rFonts w:ascii="Arial" w:hAnsi="Arial"/>
                          <w:b/>
                          <w:bCs/>
                          <w:sz w:val="40"/>
                          <w:szCs w:val="40"/>
                          <w:lang w:eastAsia="ja-JP"/>
                        </w:rPr>
                      </w:pPr>
                      <w:r w:rsidRPr="00D62F32">
                        <w:rPr>
                          <w:rFonts w:ascii="Arial" w:hAnsi="Arial"/>
                          <w:b/>
                          <w:bCs/>
                          <w:sz w:val="40"/>
                          <w:szCs w:val="40"/>
                        </w:rPr>
                        <w:t>07</w:t>
                      </w:r>
                    </w:p>
                  </w:txbxContent>
                </v:textbox>
              </v:shape>
            </w:pict>
          </mc:Fallback>
        </mc:AlternateContent>
      </w:r>
      <w:r>
        <w:rPr>
          <w:noProof/>
          <w:lang w:eastAsia="zh-CN"/>
        </w:rPr>
        <w:drawing>
          <wp:inline distT="0" distB="0" distL="0" distR="0" wp14:anchorId="369DAB81" wp14:editId="59C93FFD">
            <wp:extent cx="4627880" cy="882135"/>
            <wp:effectExtent l="0" t="0" r="1270" b="0"/>
            <wp:docPr id="3" name="Immagine 3"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9445" cy="884339"/>
                    </a:xfrm>
                    <a:prstGeom prst="rect">
                      <a:avLst/>
                    </a:prstGeom>
                    <a:noFill/>
                    <a:ln>
                      <a:noFill/>
                    </a:ln>
                  </pic:spPr>
                </pic:pic>
              </a:graphicData>
            </a:graphic>
          </wp:inline>
        </w:drawing>
      </w:r>
    </w:p>
    <w:p w:rsidR="0033709A" w:rsidRPr="008239BB" w:rsidRDefault="0033709A" w:rsidP="0033709A">
      <w:pPr>
        <w:tabs>
          <w:tab w:val="left" w:pos="1700"/>
          <w:tab w:val="left" w:pos="8505"/>
        </w:tabs>
        <w:spacing w:after="120"/>
        <w:ind w:left="1134" w:right="1134"/>
        <w:jc w:val="right"/>
      </w:pPr>
      <w:r w:rsidRPr="00F75DB9">
        <w:tab/>
      </w:r>
      <w:r w:rsidRPr="008239BB">
        <w:t>a = 8 mm min.</w:t>
      </w:r>
    </w:p>
    <w:p w:rsidR="0033709A" w:rsidRPr="008239BB" w:rsidRDefault="0033709A" w:rsidP="0033709A">
      <w:pPr>
        <w:tabs>
          <w:tab w:val="left" w:pos="1700"/>
          <w:tab w:val="left" w:pos="4536"/>
          <w:tab w:val="left" w:leader="dot" w:pos="8505"/>
        </w:tabs>
        <w:spacing w:before="120" w:after="120"/>
        <w:ind w:left="1134" w:right="1467"/>
        <w:jc w:val="both"/>
      </w:pPr>
      <w:r w:rsidRPr="008239BB">
        <w:tab/>
        <w:t xml:space="preserve">The </w:t>
      </w:r>
      <w:r w:rsidRPr="00F75DB9">
        <w:rPr>
          <w:rFonts w:eastAsiaTheme="minorEastAsia"/>
        </w:rPr>
        <w:t>above</w:t>
      </w:r>
      <w:r w:rsidRPr="008239BB">
        <w:t xml:space="preserve"> approval mark affixed to a vehicle shows that the vehicle type concerned has, with regard to the installation of lighting and light</w:t>
      </w:r>
      <w:r w:rsidRPr="008239BB">
        <w:noBreakHyphen/>
        <w:t xml:space="preserve">signalling devices, been approved in the Netherlands (E 4) pursuant to Regulation No. 48 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The approval number indicates that the approval was granted in accordance with the requirements of Regulation No. 48 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w:t>
      </w:r>
    </w:p>
    <w:p w:rsidR="0033709A" w:rsidRPr="006E4F6E" w:rsidRDefault="0033709A" w:rsidP="0033709A">
      <w:pPr>
        <w:pStyle w:val="para0"/>
        <w:rPr>
          <w:lang w:val="en-US"/>
        </w:rPr>
      </w:pPr>
      <w:r w:rsidRPr="006E4F6E">
        <w:rPr>
          <w:lang w:val="en-US"/>
        </w:rPr>
        <w:t>Model B</w:t>
      </w:r>
    </w:p>
    <w:p w:rsidR="0033709A" w:rsidRPr="006E4F6E" w:rsidRDefault="0033709A" w:rsidP="0033709A">
      <w:pPr>
        <w:pStyle w:val="para0"/>
        <w:rPr>
          <w:lang w:val="en-US"/>
        </w:rPr>
      </w:pPr>
      <w:r w:rsidRPr="006E4F6E">
        <w:rPr>
          <w:lang w:val="en-US"/>
        </w:rPr>
        <w:t>(See paragraph 4.5. of this Regulation)</w:t>
      </w:r>
    </w:p>
    <w:p w:rsidR="0033709A" w:rsidRPr="00F75DB9" w:rsidRDefault="0033709A" w:rsidP="0033709A">
      <w:pPr>
        <w:pStyle w:val="SingleTxtG"/>
      </w:pPr>
    </w:p>
    <w:p w:rsidR="0033709A" w:rsidRPr="00F75DB9" w:rsidRDefault="00DD69DC" w:rsidP="00DD69DC">
      <w:pPr>
        <w:pStyle w:val="Heading1"/>
        <w:numPr>
          <w:ilvl w:val="0"/>
          <w:numId w:val="0"/>
        </w:numPr>
        <w:tabs>
          <w:tab w:val="left" w:pos="284"/>
          <w:tab w:val="left" w:pos="360"/>
        </w:tabs>
        <w:ind w:left="284" w:right="1134" w:hanging="360"/>
        <w:jc w:val="right"/>
      </w:pPr>
      <w:r w:rsidRPr="00F75DB9">
        <w:t>1.</w:t>
      </w:r>
      <w:r w:rsidRPr="00F75DB9">
        <w:tab/>
      </w:r>
      <w:r w:rsidR="0033709A">
        <w:rPr>
          <w:noProof/>
          <w:lang w:eastAsia="zh-CN"/>
        </w:rPr>
        <mc:AlternateContent>
          <mc:Choice Requires="wps">
            <w:drawing>
              <wp:anchor distT="0" distB="0" distL="114300" distR="114300" simplePos="0" relativeHeight="251663360" behindDoc="0" locked="0" layoutInCell="1" allowOverlap="1">
                <wp:simplePos x="0" y="0"/>
                <wp:positionH relativeFrom="column">
                  <wp:posOffset>3533503</wp:posOffset>
                </wp:positionH>
                <wp:positionV relativeFrom="paragraph">
                  <wp:posOffset>129540</wp:posOffset>
                </wp:positionV>
                <wp:extent cx="340360" cy="26924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A" w:rsidRPr="00117DF6" w:rsidRDefault="0033709A" w:rsidP="0033709A">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8.25pt;margin-top:10.2pt;width:26.8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" stroked="f">
                <v:textbox inset="0,0,0,0">
                  <w:txbxContent>
                    <w:p w:rsidR="0033709A" w:rsidRPr="00117DF6" w:rsidRDefault="0033709A" w:rsidP="0033709A">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v:textbox>
              </v:shape>
            </w:pict>
          </mc:Fallback>
        </mc:AlternateContent>
      </w:r>
      <w:r w:rsidR="0033709A" w:rsidRPr="00F75DB9">
        <w:rPr>
          <w:noProof/>
          <w:lang w:eastAsia="zh-CN"/>
        </w:rPr>
        <w:drawing>
          <wp:inline distT="0" distB="0" distL="0" distR="0" wp14:anchorId="1B28FA92" wp14:editId="0E21658B">
            <wp:extent cx="4658360" cy="8387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1489" cy="839326"/>
                    </a:xfrm>
                    <a:prstGeom prst="rect">
                      <a:avLst/>
                    </a:prstGeom>
                    <a:noFill/>
                    <a:ln>
                      <a:noFill/>
                    </a:ln>
                  </pic:spPr>
                </pic:pic>
              </a:graphicData>
            </a:graphic>
          </wp:inline>
        </w:drawing>
      </w:r>
    </w:p>
    <w:p w:rsidR="0033709A" w:rsidRPr="008239BB" w:rsidRDefault="0033709A" w:rsidP="0033709A">
      <w:pPr>
        <w:tabs>
          <w:tab w:val="left" w:pos="1700"/>
          <w:tab w:val="left" w:pos="8505"/>
        </w:tabs>
        <w:spacing w:after="120"/>
        <w:ind w:left="1134" w:right="1134"/>
        <w:jc w:val="right"/>
      </w:pPr>
      <w:r w:rsidRPr="00F75DB9">
        <w:tab/>
      </w:r>
      <w:r w:rsidRPr="008239BB">
        <w:t>a = 8 mm min.</w:t>
      </w:r>
    </w:p>
    <w:p w:rsidR="0033709A" w:rsidRDefault="0033709A" w:rsidP="00174753">
      <w:pPr>
        <w:tabs>
          <w:tab w:val="left" w:pos="1700"/>
          <w:tab w:val="left" w:pos="4536"/>
          <w:tab w:val="left" w:leader="dot" w:pos="8505"/>
        </w:tabs>
        <w:spacing w:before="120" w:after="120"/>
        <w:ind w:left="1134" w:right="1467"/>
        <w:jc w:val="both"/>
        <w:rPr>
          <w:lang w:val="en-US"/>
        </w:rPr>
      </w:pPr>
      <w:r w:rsidRPr="008239BB">
        <w:tab/>
      </w:r>
      <w:r w:rsidRPr="00F75DB9">
        <w:rPr>
          <w:rFonts w:eastAsiaTheme="minorEastAsia"/>
        </w:rPr>
        <w:t>The</w:t>
      </w:r>
      <w:r w:rsidRPr="008239BB">
        <w:t xml:space="preserve"> above approval mark affixed to a vehicle shows that the vehicle type concerned has been approved in the Netherlands (E 4) pursuant to Regulation No. 48 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and Regulation No. 33.</w:t>
      </w:r>
      <w:r w:rsidRPr="004A1632">
        <w:rPr>
          <w:b/>
        </w:rPr>
        <w:t>[</w:t>
      </w:r>
      <w:r>
        <w:rPr>
          <w:rStyle w:val="FootnoteReference"/>
        </w:rPr>
        <w:footnoteReference w:id="3"/>
      </w:r>
      <w:r w:rsidRPr="004A1632">
        <w:rPr>
          <w:b/>
        </w:rPr>
        <w:t>]</w:t>
      </w:r>
      <w:r w:rsidRPr="008239BB">
        <w:t xml:space="preserve"> The approval number indicates that, at the dates when the respective approvals were given, Regulation No. 48 was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and Regulation No. 33 was still in its original form</w:t>
      </w:r>
      <w:r w:rsidRPr="008239BB">
        <w:rPr>
          <w:bCs/>
        </w:rPr>
        <w:t>.</w:t>
      </w:r>
    </w:p>
    <w:p w:rsidR="0033709A" w:rsidRPr="008239BB" w:rsidRDefault="0033709A" w:rsidP="0033709A">
      <w:pPr>
        <w:spacing w:after="120"/>
        <w:ind w:left="2268" w:right="1467" w:hanging="1134"/>
      </w:pPr>
      <w:r w:rsidRPr="008239BB">
        <w:rPr>
          <w:i/>
        </w:rPr>
        <w:t>Annex 9, paragraph 1.3. and related sub-paragraphs</w:t>
      </w:r>
      <w:r w:rsidRPr="008239BB">
        <w:t>, amend to read:</w:t>
      </w:r>
    </w:p>
    <w:p w:rsidR="0033709A" w:rsidRPr="006E4F6E" w:rsidRDefault="0033709A" w:rsidP="0033709A">
      <w:pPr>
        <w:pStyle w:val="para0"/>
        <w:ind w:right="1467"/>
        <w:rPr>
          <w:lang w:val="en-US"/>
        </w:rPr>
      </w:pPr>
      <w:r w:rsidRPr="006E4F6E">
        <w:rPr>
          <w:lang w:val="en-US"/>
        </w:rPr>
        <w:t>1.3.</w:t>
      </w:r>
      <w:r w:rsidRPr="006E4F6E">
        <w:rPr>
          <w:lang w:val="en-US"/>
        </w:rPr>
        <w:tab/>
      </w:r>
      <w:r w:rsidRPr="006E4F6E">
        <w:rPr>
          <w:strike/>
          <w:lang w:val="en-US"/>
        </w:rPr>
        <w:t>Alignment</w:t>
      </w:r>
      <w:r w:rsidRPr="006E4F6E">
        <w:rPr>
          <w:lang w:val="en-US"/>
        </w:rPr>
        <w:t xml:space="preserve"> </w:t>
      </w:r>
      <w:r w:rsidRPr="006E4F6E">
        <w:rPr>
          <w:b/>
          <w:lang w:val="en-US"/>
        </w:rPr>
        <w:t>Vertical orientation</w:t>
      </w:r>
      <w:r w:rsidRPr="006E4F6E">
        <w:rPr>
          <w:lang w:val="en-US"/>
        </w:rPr>
        <w:t xml:space="preserve"> of dipped-beam </w:t>
      </w:r>
      <w:r w:rsidRPr="006E4F6E">
        <w:rPr>
          <w:strike/>
          <w:lang w:val="en-US"/>
        </w:rPr>
        <w:t>headlamps</w:t>
      </w:r>
      <w:r w:rsidRPr="006E4F6E">
        <w:rPr>
          <w:lang w:val="en-US"/>
        </w:rPr>
        <w:t xml:space="preserve"> and class "F3" front fog lamps </w:t>
      </w:r>
      <w:r w:rsidRPr="006E4F6E">
        <w:rPr>
          <w:strike/>
          <w:lang w:val="en-US"/>
        </w:rPr>
        <w:t>towards the front</w:t>
      </w:r>
      <w:r w:rsidRPr="006E4F6E">
        <w:rPr>
          <w:lang w:val="en-US"/>
        </w:rPr>
        <w:t>.</w:t>
      </w:r>
    </w:p>
    <w:p w:rsidR="0033709A" w:rsidRPr="006E4F6E" w:rsidRDefault="0033709A" w:rsidP="0033709A">
      <w:pPr>
        <w:pStyle w:val="para0"/>
        <w:ind w:right="1467"/>
        <w:rPr>
          <w:b/>
          <w:lang w:val="en-US"/>
        </w:rPr>
      </w:pPr>
      <w:r w:rsidRPr="006E4F6E">
        <w:rPr>
          <w:b/>
          <w:lang w:val="en-US"/>
        </w:rPr>
        <w:t>1.3.1.</w:t>
      </w:r>
      <w:r w:rsidRPr="006E4F6E">
        <w:rPr>
          <w:b/>
          <w:lang w:val="en-US"/>
        </w:rPr>
        <w:tab/>
        <w:t>The vertical orientation of a dipped-beam headlamp and of a basic dipped-beam of an AFS shall be checked respectively in accordance with paragraphs 6.2.6. and 6.22.6.1. (and related sub-paragraphs and referenced Annexes) of this Regulation. [No CoP tolerances shall be applied to the limits prescribed in the above-cited paragraphs.]</w:t>
      </w:r>
    </w:p>
    <w:p w:rsidR="0033709A" w:rsidRPr="006E4F6E" w:rsidRDefault="0033709A" w:rsidP="0033709A">
      <w:pPr>
        <w:pStyle w:val="para0"/>
        <w:ind w:right="1467"/>
        <w:rPr>
          <w:lang w:val="en-US"/>
        </w:rPr>
      </w:pPr>
      <w:r w:rsidRPr="006E4F6E">
        <w:rPr>
          <w:b/>
          <w:lang w:val="en-US"/>
        </w:rPr>
        <w:t>1.3.2.</w:t>
      </w:r>
      <w:r w:rsidRPr="006E4F6E">
        <w:rPr>
          <w:b/>
          <w:lang w:val="en-US"/>
        </w:rPr>
        <w:tab/>
        <w:t>The vertical orientation of a front fog lamp shall be checked in accordance with the following requirements.</w:t>
      </w:r>
    </w:p>
    <w:p w:rsidR="0033709A" w:rsidRPr="006E4F6E" w:rsidRDefault="0033709A" w:rsidP="0033709A">
      <w:pPr>
        <w:pStyle w:val="para0"/>
        <w:ind w:right="1467"/>
        <w:rPr>
          <w:lang w:val="en-US"/>
        </w:rPr>
      </w:pPr>
      <w:r w:rsidRPr="006E4F6E">
        <w:rPr>
          <w:lang w:val="en-US"/>
        </w:rPr>
        <w:t>1.3.</w:t>
      </w:r>
      <w:r w:rsidRPr="006E4F6E">
        <w:rPr>
          <w:b/>
          <w:lang w:val="en-US"/>
        </w:rPr>
        <w:t>2.</w:t>
      </w:r>
      <w:r w:rsidRPr="006E4F6E">
        <w:rPr>
          <w:lang w:val="en-US"/>
        </w:rPr>
        <w:t>1.</w:t>
      </w:r>
      <w:r w:rsidRPr="006E4F6E">
        <w:rPr>
          <w:lang w:val="en-US"/>
        </w:rPr>
        <w:tab/>
        <w:t>Initial downward inclination</w:t>
      </w:r>
      <w:r w:rsidRPr="006E4F6E">
        <w:rPr>
          <w:b/>
          <w:lang w:val="en-US"/>
        </w:rPr>
        <w:t xml:space="preserve"> </w:t>
      </w:r>
    </w:p>
    <w:p w:rsidR="0033709A" w:rsidRPr="006E4F6E" w:rsidRDefault="0033709A" w:rsidP="0033709A">
      <w:pPr>
        <w:pStyle w:val="para0"/>
        <w:ind w:right="1467"/>
        <w:rPr>
          <w:lang w:val="en-US"/>
        </w:rPr>
      </w:pPr>
      <w:r w:rsidRPr="006E4F6E">
        <w:rPr>
          <w:lang w:val="en-US"/>
        </w:rPr>
        <w:tab/>
        <w:t>The initial downward inclination of the cut</w:t>
      </w:r>
      <w:r w:rsidRPr="006E4F6E">
        <w:rPr>
          <w:lang w:val="en-US"/>
        </w:rPr>
        <w:noBreakHyphen/>
        <w:t xml:space="preserve">off of </w:t>
      </w:r>
      <w:r w:rsidRPr="006E4F6E">
        <w:rPr>
          <w:strike/>
          <w:lang w:val="en-US"/>
        </w:rPr>
        <w:t>the dipped-beam and</w:t>
      </w:r>
      <w:r w:rsidRPr="006E4F6E">
        <w:rPr>
          <w:lang w:val="en-US"/>
        </w:rPr>
        <w:t xml:space="preserve"> the class "F3" front fog lamps shall be set to the plated figure as required and shown in Annex 7.</w:t>
      </w:r>
    </w:p>
    <w:p w:rsidR="0033709A" w:rsidRPr="006E4F6E" w:rsidRDefault="0033709A" w:rsidP="0033709A">
      <w:pPr>
        <w:pStyle w:val="para0"/>
        <w:ind w:right="1467"/>
        <w:rPr>
          <w:b/>
          <w:bCs/>
          <w:lang w:val="en-US"/>
        </w:rPr>
      </w:pPr>
      <w:r w:rsidRPr="006E4F6E">
        <w:rPr>
          <w:lang w:val="en-US"/>
        </w:rPr>
        <w:tab/>
        <w:t>Alternatively the manufacturer shall set the initial aim to a figure that is different from the plated figure where it can be shown to be representative of the type approved when tested in accordance with the procedures contained in Annex 6</w:t>
      </w:r>
      <w:r w:rsidRPr="006E4F6E">
        <w:rPr>
          <w:b/>
          <w:bCs/>
          <w:lang w:val="en-US"/>
        </w:rPr>
        <w:t xml:space="preserve"> </w:t>
      </w:r>
      <w:r w:rsidRPr="006E4F6E">
        <w:rPr>
          <w:lang w:val="en-US"/>
        </w:rPr>
        <w:t xml:space="preserve">and in particular paragraph 4.1. </w:t>
      </w:r>
    </w:p>
    <w:p w:rsidR="0033709A" w:rsidRPr="006E4F6E" w:rsidRDefault="0033709A" w:rsidP="0033709A">
      <w:pPr>
        <w:pStyle w:val="para0"/>
        <w:ind w:right="1467"/>
        <w:rPr>
          <w:lang w:val="en-US"/>
        </w:rPr>
      </w:pPr>
      <w:r w:rsidRPr="006E4F6E">
        <w:rPr>
          <w:lang w:val="en-US"/>
        </w:rPr>
        <w:t>1.3</w:t>
      </w:r>
      <w:r w:rsidRPr="006E4F6E">
        <w:rPr>
          <w:b/>
          <w:lang w:val="en-US"/>
        </w:rPr>
        <w:t>.2.</w:t>
      </w:r>
      <w:r w:rsidRPr="006E4F6E">
        <w:rPr>
          <w:lang w:val="en-US"/>
        </w:rPr>
        <w:t>2.</w:t>
      </w:r>
      <w:r w:rsidRPr="006E4F6E">
        <w:rPr>
          <w:lang w:val="en-US"/>
        </w:rPr>
        <w:tab/>
        <w:t>Variation of inclination with load</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The variation of the dipped-beam downward inclination as a function of the loading conditions specified within this section shall remain within the range:</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0.2 per cent to 2.8 per cent for headlamp mounting height h &lt; 0.8;</w:t>
      </w:r>
    </w:p>
    <w:p w:rsidR="0033709A" w:rsidRPr="006E4F6E" w:rsidRDefault="0033709A" w:rsidP="0033709A">
      <w:pPr>
        <w:pStyle w:val="para0"/>
        <w:spacing w:after="100"/>
        <w:ind w:right="1467"/>
        <w:jc w:val="left"/>
        <w:rPr>
          <w:strike/>
          <w:lang w:val="en-US"/>
        </w:rPr>
      </w:pPr>
      <w:r w:rsidRPr="006E4F6E">
        <w:rPr>
          <w:lang w:val="en-US"/>
        </w:rPr>
        <w:tab/>
      </w:r>
      <w:r w:rsidRPr="006E4F6E">
        <w:rPr>
          <w:strike/>
          <w:lang w:val="en-US"/>
        </w:rPr>
        <w:t xml:space="preserve">0.2 per cent to 2.8 per cent for headlamp mounting height 0.8 ≤ h ≤ 1.0; </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or</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0.7 per cent to 3.3 per cent (according to the aiming range chosen by the manufacturer at the approval);</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0.7 per cent to 3.3 per cent for headlamp mounting height 1.0 &lt; h ≤ 1.2 m;</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1.2 per cent to 3.8 per cent for headlamp mounting height h &gt; 1.2 m.</w:t>
      </w:r>
    </w:p>
    <w:p w:rsidR="0033709A" w:rsidRPr="006E4F6E" w:rsidRDefault="0033709A" w:rsidP="0033709A">
      <w:pPr>
        <w:pStyle w:val="para0"/>
        <w:spacing w:before="120" w:after="100"/>
        <w:ind w:right="1467"/>
        <w:rPr>
          <w:lang w:val="en-US"/>
        </w:rPr>
      </w:pPr>
      <w:r w:rsidRPr="006E4F6E">
        <w:rPr>
          <w:lang w:val="en-US"/>
        </w:rPr>
        <w:tab/>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rsidR="0033709A" w:rsidRPr="006E4F6E" w:rsidRDefault="0033709A" w:rsidP="0033709A">
      <w:pPr>
        <w:pStyle w:val="para0"/>
        <w:spacing w:after="100"/>
        <w:ind w:right="1467"/>
        <w:rPr>
          <w:lang w:val="en-US"/>
        </w:rPr>
      </w:pPr>
      <w:r w:rsidRPr="006E4F6E">
        <w:rPr>
          <w:lang w:val="en-US"/>
        </w:rPr>
        <w:tab/>
        <w:t>0.7 per cent to 3.3 per cent for front fog lamp mounting height h ≤ 0.8 ;</w:t>
      </w:r>
    </w:p>
    <w:p w:rsidR="0033709A" w:rsidRPr="006E4F6E" w:rsidRDefault="0033709A" w:rsidP="0033709A">
      <w:pPr>
        <w:pStyle w:val="para0"/>
        <w:spacing w:after="100"/>
        <w:ind w:right="1467"/>
        <w:rPr>
          <w:lang w:val="en-US"/>
        </w:rPr>
      </w:pPr>
      <w:r w:rsidRPr="006E4F6E">
        <w:rPr>
          <w:lang w:val="en-US"/>
        </w:rPr>
        <w:tab/>
        <w:t>1.2 per cent to 3.8 per cent for front fog lamp mounting height h &gt; 0.8 m.</w:t>
      </w:r>
    </w:p>
    <w:p w:rsidR="0033709A" w:rsidRPr="006E4F6E" w:rsidRDefault="0033709A" w:rsidP="00174753">
      <w:pPr>
        <w:pStyle w:val="para0"/>
        <w:spacing w:after="100"/>
        <w:ind w:right="1467"/>
        <w:rPr>
          <w:lang w:val="en-US"/>
        </w:rPr>
      </w:pPr>
      <w:r w:rsidRPr="006E4F6E">
        <w:rPr>
          <w:lang w:val="en-US"/>
        </w:rPr>
        <w:tab/>
        <w:t>The states of loading to be used shall be as follows, as indicated in Annex 5 of this Regulation, for every system adjusted accordingly.</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2.1.</w:t>
      </w:r>
      <w:r w:rsidRPr="006E4F6E">
        <w:rPr>
          <w:lang w:val="en-US"/>
        </w:rPr>
        <w:tab/>
        <w:t>Vehicles in category M</w:t>
      </w:r>
      <w:r w:rsidRPr="006E4F6E">
        <w:rPr>
          <w:vertAlign w:val="subscript"/>
          <w:lang w:val="en-US"/>
        </w:rPr>
        <w:t>1</w:t>
      </w:r>
      <w:r w:rsidRPr="006E4F6E">
        <w:rPr>
          <w:lang w:val="en-US"/>
        </w:rPr>
        <w:t>:</w:t>
      </w:r>
    </w:p>
    <w:p w:rsidR="0033709A" w:rsidRPr="006E4F6E" w:rsidRDefault="0033709A" w:rsidP="0033709A">
      <w:pPr>
        <w:pStyle w:val="para0"/>
        <w:spacing w:after="100"/>
        <w:ind w:firstLine="0"/>
        <w:rPr>
          <w:lang w:val="en-US"/>
        </w:rPr>
      </w:pPr>
      <w:r w:rsidRPr="006E4F6E">
        <w:rPr>
          <w:lang w:val="en-US"/>
        </w:rPr>
        <w:t>Paragraph 2.1.1.1.</w:t>
      </w:r>
    </w:p>
    <w:p w:rsidR="0033709A" w:rsidRPr="006E4F6E" w:rsidRDefault="0033709A" w:rsidP="0033709A">
      <w:pPr>
        <w:pStyle w:val="para0"/>
        <w:spacing w:after="100"/>
        <w:ind w:firstLine="0"/>
        <w:rPr>
          <w:lang w:val="en-US"/>
        </w:rPr>
      </w:pPr>
      <w:r w:rsidRPr="006E4F6E">
        <w:rPr>
          <w:lang w:val="en-US"/>
        </w:rPr>
        <w:t>Paragraph 2.1.1.6. taking into account</w:t>
      </w:r>
    </w:p>
    <w:p w:rsidR="0033709A" w:rsidRPr="006E4F6E" w:rsidRDefault="0033709A" w:rsidP="0033709A">
      <w:pPr>
        <w:pStyle w:val="para0"/>
        <w:spacing w:after="100"/>
        <w:ind w:firstLine="0"/>
        <w:rPr>
          <w:lang w:val="en-US"/>
        </w:rPr>
      </w:pPr>
      <w:r w:rsidRPr="006E4F6E">
        <w:rPr>
          <w:lang w:val="en-US"/>
        </w:rPr>
        <w:t xml:space="preserve">Paragraph 2.1.2. </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2.2.</w:t>
      </w:r>
      <w:r w:rsidRPr="006E4F6E">
        <w:rPr>
          <w:lang w:val="en-US"/>
        </w:rPr>
        <w:tab/>
        <w:t>Vehicles in category M</w:t>
      </w:r>
      <w:r w:rsidRPr="006E4F6E">
        <w:rPr>
          <w:vertAlign w:val="subscript"/>
          <w:lang w:val="en-US"/>
        </w:rPr>
        <w:t>2</w:t>
      </w:r>
      <w:r w:rsidRPr="006E4F6E">
        <w:rPr>
          <w:lang w:val="en-US"/>
        </w:rPr>
        <w:t xml:space="preserve"> and M</w:t>
      </w:r>
      <w:r w:rsidRPr="006E4F6E">
        <w:rPr>
          <w:vertAlign w:val="subscript"/>
          <w:lang w:val="en-US"/>
        </w:rPr>
        <w:t>3</w:t>
      </w:r>
      <w:r w:rsidRPr="006E4F6E">
        <w:rPr>
          <w:lang w:val="en-US"/>
        </w:rPr>
        <w:t>:</w:t>
      </w:r>
    </w:p>
    <w:p w:rsidR="0033709A" w:rsidRPr="006E4F6E" w:rsidRDefault="0033709A" w:rsidP="0033709A">
      <w:pPr>
        <w:pStyle w:val="para0"/>
        <w:spacing w:after="100"/>
        <w:ind w:firstLine="0"/>
        <w:rPr>
          <w:lang w:val="en-US"/>
        </w:rPr>
      </w:pPr>
      <w:r w:rsidRPr="006E4F6E">
        <w:rPr>
          <w:lang w:val="en-US"/>
        </w:rPr>
        <w:t>Paragraph 2.2.1.</w:t>
      </w:r>
    </w:p>
    <w:p w:rsidR="0033709A" w:rsidRPr="006E4F6E" w:rsidRDefault="0033709A" w:rsidP="0033709A">
      <w:pPr>
        <w:pStyle w:val="para0"/>
        <w:spacing w:after="100"/>
        <w:ind w:firstLine="0"/>
        <w:rPr>
          <w:lang w:val="en-US"/>
        </w:rPr>
      </w:pPr>
      <w:r w:rsidRPr="006E4F6E">
        <w:rPr>
          <w:lang w:val="en-US"/>
        </w:rPr>
        <w:t>Paragraph 2.2.2.</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2.3.</w:t>
      </w:r>
      <w:r w:rsidRPr="006E4F6E">
        <w:rPr>
          <w:lang w:val="en-US"/>
        </w:rPr>
        <w:tab/>
        <w:t>Vehicles in category N with load surfaces:</w:t>
      </w:r>
    </w:p>
    <w:p w:rsidR="0033709A" w:rsidRPr="006E4F6E" w:rsidRDefault="0033709A" w:rsidP="0033709A">
      <w:pPr>
        <w:pStyle w:val="para0"/>
        <w:spacing w:after="100"/>
        <w:ind w:firstLine="0"/>
        <w:rPr>
          <w:lang w:val="en-US"/>
        </w:rPr>
      </w:pPr>
      <w:r w:rsidRPr="006E4F6E">
        <w:rPr>
          <w:lang w:val="en-US"/>
        </w:rPr>
        <w:t>Paragraph 2.3.1.1.</w:t>
      </w:r>
    </w:p>
    <w:p w:rsidR="0033709A" w:rsidRPr="006E4F6E" w:rsidRDefault="0033709A" w:rsidP="0033709A">
      <w:pPr>
        <w:pStyle w:val="para0"/>
        <w:spacing w:after="100"/>
        <w:ind w:firstLine="0"/>
        <w:rPr>
          <w:lang w:val="en-US"/>
        </w:rPr>
      </w:pPr>
      <w:r w:rsidRPr="006E4F6E">
        <w:rPr>
          <w:lang w:val="en-US"/>
        </w:rPr>
        <w:t xml:space="preserve">Paragraph 2.3.1.2. </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2.4.</w:t>
      </w:r>
      <w:r w:rsidRPr="006E4F6E">
        <w:rPr>
          <w:lang w:val="en-US"/>
        </w:rPr>
        <w:tab/>
        <w:t>Vehicles in category N without load surfaces:</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2.4.1.</w:t>
      </w:r>
      <w:r w:rsidRPr="006E4F6E">
        <w:rPr>
          <w:lang w:val="en-US"/>
        </w:rPr>
        <w:tab/>
        <w:t>Drawing vehicles for semi</w:t>
      </w:r>
      <w:r w:rsidRPr="006E4F6E">
        <w:rPr>
          <w:lang w:val="en-US"/>
        </w:rPr>
        <w:noBreakHyphen/>
        <w:t>trailers:</w:t>
      </w:r>
    </w:p>
    <w:p w:rsidR="0033709A" w:rsidRPr="006E4F6E" w:rsidRDefault="0033709A" w:rsidP="0033709A">
      <w:pPr>
        <w:pStyle w:val="para0"/>
        <w:spacing w:after="100"/>
        <w:ind w:firstLine="0"/>
        <w:rPr>
          <w:lang w:val="en-US"/>
        </w:rPr>
      </w:pPr>
      <w:r w:rsidRPr="006E4F6E">
        <w:rPr>
          <w:lang w:val="en-US"/>
        </w:rPr>
        <w:t>Paragraph 2.4.1.1.</w:t>
      </w:r>
    </w:p>
    <w:p w:rsidR="0033709A" w:rsidRPr="006E4F6E" w:rsidRDefault="0033709A" w:rsidP="0033709A">
      <w:pPr>
        <w:pStyle w:val="para0"/>
        <w:spacing w:after="100"/>
        <w:ind w:firstLine="0"/>
        <w:rPr>
          <w:lang w:val="en-US"/>
        </w:rPr>
      </w:pPr>
      <w:r w:rsidRPr="006E4F6E">
        <w:rPr>
          <w:lang w:val="en-US"/>
        </w:rPr>
        <w:t xml:space="preserve">Paragraph 2.4.1.2. </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2.4.2.</w:t>
      </w:r>
      <w:r w:rsidRPr="006E4F6E">
        <w:rPr>
          <w:lang w:val="en-US"/>
        </w:rPr>
        <w:tab/>
        <w:t>Drawing vehicles for trailers:</w:t>
      </w:r>
    </w:p>
    <w:p w:rsidR="0033709A" w:rsidRPr="00D827EE" w:rsidRDefault="0033709A" w:rsidP="0033709A">
      <w:pPr>
        <w:pStyle w:val="para0"/>
        <w:spacing w:after="100"/>
        <w:ind w:firstLine="0"/>
      </w:pPr>
      <w:proofErr w:type="spellStart"/>
      <w:r w:rsidRPr="00D827EE">
        <w:t>Paragraph</w:t>
      </w:r>
      <w:proofErr w:type="spellEnd"/>
      <w:r w:rsidRPr="00D827EE">
        <w:t xml:space="preserve"> 2.4.2.1.</w:t>
      </w:r>
    </w:p>
    <w:p w:rsidR="009B5460" w:rsidRPr="00A264B3" w:rsidRDefault="0033709A" w:rsidP="0033709A">
      <w:pPr>
        <w:pStyle w:val="para0"/>
        <w:ind w:firstLine="0"/>
      </w:pPr>
      <w:proofErr w:type="spellStart"/>
      <w:r>
        <w:t>Paragraph</w:t>
      </w:r>
      <w:proofErr w:type="spellEnd"/>
      <w:r>
        <w:t xml:space="preserve"> 2.4.2.2.</w:t>
      </w:r>
    </w:p>
    <w:p w:rsidR="00E933B8" w:rsidRDefault="00E933B8" w:rsidP="00E933B8">
      <w:pPr>
        <w:pStyle w:val="HChG"/>
      </w:pPr>
      <w:r w:rsidRPr="00525E6C">
        <w:tab/>
        <w:t>II.</w:t>
      </w:r>
      <w:r w:rsidRPr="00525E6C">
        <w:tab/>
        <w:t>Justification</w:t>
      </w:r>
    </w:p>
    <w:p w:rsidR="0033709A" w:rsidRPr="0033709A" w:rsidRDefault="0033709A" w:rsidP="0033709A">
      <w:pPr>
        <w:spacing w:after="120"/>
        <w:ind w:left="1134" w:right="1134"/>
        <w:jc w:val="both"/>
        <w:rPr>
          <w:bCs/>
          <w:i/>
        </w:rPr>
      </w:pPr>
      <w:r w:rsidRPr="0033709A">
        <w:rPr>
          <w:bCs/>
          <w:i/>
        </w:rPr>
        <w:t>General comments</w:t>
      </w:r>
    </w:p>
    <w:p w:rsidR="0033709A" w:rsidRPr="0033709A" w:rsidRDefault="0033709A" w:rsidP="0033709A">
      <w:pPr>
        <w:spacing w:after="120"/>
        <w:ind w:left="1134" w:right="1134"/>
        <w:jc w:val="both"/>
        <w:rPr>
          <w:bCs/>
        </w:rPr>
      </w:pPr>
      <w:r w:rsidRPr="0033709A">
        <w:rPr>
          <w:bCs/>
        </w:rPr>
        <w:t>1.</w:t>
      </w:r>
      <w:r w:rsidRPr="0033709A">
        <w:rPr>
          <w:bCs/>
        </w:rPr>
        <w:tab/>
        <w:t xml:space="preserve">The Informal Working Group on Visibility, Glare and Levelling (IWG VGL) was established </w:t>
      </w:r>
      <w:r>
        <w:rPr>
          <w:bCs/>
        </w:rPr>
        <w:t xml:space="preserve">at </w:t>
      </w:r>
      <w:r w:rsidRPr="0033709A">
        <w:rPr>
          <w:bCs/>
        </w:rPr>
        <w:t>the</w:t>
      </w:r>
      <w:r>
        <w:rPr>
          <w:bCs/>
        </w:rPr>
        <w:t xml:space="preserve"> seventy-fourth s</w:t>
      </w:r>
      <w:r w:rsidRPr="0033709A">
        <w:rPr>
          <w:bCs/>
        </w:rPr>
        <w:t>ession</w:t>
      </w:r>
      <w:r>
        <w:rPr>
          <w:bCs/>
        </w:rPr>
        <w:t xml:space="preserve"> of GRE</w:t>
      </w:r>
      <w:r w:rsidRPr="0033709A">
        <w:rPr>
          <w:bCs/>
        </w:rPr>
        <w:t xml:space="preserve"> in October 2015. Its </w:t>
      </w:r>
      <w:r>
        <w:rPr>
          <w:bCs/>
        </w:rPr>
        <w:t xml:space="preserve">first </w:t>
      </w:r>
      <w:r w:rsidRPr="0033709A">
        <w:rPr>
          <w:bCs/>
        </w:rPr>
        <w:t>task was to “</w:t>
      </w:r>
      <w:r>
        <w:rPr>
          <w:bCs/>
        </w:rPr>
        <w:t>d</w:t>
      </w:r>
      <w:r w:rsidRPr="0033709A">
        <w:rPr>
          <w:bCs/>
        </w:rPr>
        <w:t>efine technology neutral requirements</w:t>
      </w:r>
      <w:r>
        <w:rPr>
          <w:bCs/>
        </w:rPr>
        <w:t>,</w:t>
      </w:r>
      <w:r w:rsidRPr="0033709A">
        <w:rPr>
          <w:bCs/>
        </w:rPr>
        <w:t xml:space="preserve"> as instructed by WP.29, in particular to find a general solution for glare and visibility issues, and to review all levelling requirements” (ECE/TRANS/WP.29/GRE/74, Annex III).</w:t>
      </w:r>
    </w:p>
    <w:p w:rsidR="0033709A" w:rsidRPr="0033709A" w:rsidRDefault="0033709A" w:rsidP="0033709A">
      <w:pPr>
        <w:spacing w:after="120"/>
        <w:ind w:left="1134" w:right="1134"/>
        <w:jc w:val="both"/>
        <w:rPr>
          <w:bCs/>
        </w:rPr>
      </w:pPr>
      <w:r w:rsidRPr="0033709A">
        <w:rPr>
          <w:bCs/>
        </w:rPr>
        <w:t>2.</w:t>
      </w:r>
      <w:r w:rsidRPr="0033709A">
        <w:rPr>
          <w:bCs/>
        </w:rPr>
        <w:tab/>
        <w:t xml:space="preserve">This proposal is based on the concepts finally agreed at the </w:t>
      </w:r>
      <w:r>
        <w:rPr>
          <w:bCs/>
        </w:rPr>
        <w:t xml:space="preserve">tenth </w:t>
      </w:r>
      <w:r w:rsidRPr="0033709A">
        <w:rPr>
          <w:bCs/>
        </w:rPr>
        <w:t xml:space="preserve">meeting of </w:t>
      </w:r>
      <w:r>
        <w:rPr>
          <w:bCs/>
        </w:rPr>
        <w:t xml:space="preserve">IWG </w:t>
      </w:r>
      <w:r w:rsidRPr="0033709A">
        <w:rPr>
          <w:bCs/>
        </w:rPr>
        <w:t>VGL. The main technical changes apply to paragraph 6.2.6</w:t>
      </w:r>
      <w:r>
        <w:rPr>
          <w:bCs/>
        </w:rPr>
        <w:t>.</w:t>
      </w:r>
      <w:r w:rsidRPr="0033709A">
        <w:rPr>
          <w:bCs/>
        </w:rPr>
        <w:t xml:space="preserve"> and related sub-paragraphs for </w:t>
      </w:r>
      <w:r>
        <w:rPr>
          <w:bCs/>
        </w:rPr>
        <w:t xml:space="preserve">the </w:t>
      </w:r>
      <w:r w:rsidRPr="0033709A">
        <w:rPr>
          <w:bCs/>
        </w:rPr>
        <w:t xml:space="preserve">dipped beam headlamps orientation. The corresponding paragraph 6.22.6.1. and related sub-paragraphs for </w:t>
      </w:r>
      <w:r>
        <w:rPr>
          <w:bCs/>
        </w:rPr>
        <w:t>the a</w:t>
      </w:r>
      <w:r w:rsidRPr="0033709A">
        <w:rPr>
          <w:bCs/>
        </w:rPr>
        <w:t xml:space="preserve">daptive front-lighting systems </w:t>
      </w:r>
      <w:r>
        <w:rPr>
          <w:bCs/>
        </w:rPr>
        <w:t>(</w:t>
      </w:r>
      <w:r w:rsidRPr="0033709A">
        <w:rPr>
          <w:bCs/>
        </w:rPr>
        <w:t>AFS</w:t>
      </w:r>
      <w:r>
        <w:rPr>
          <w:bCs/>
        </w:rPr>
        <w:t>)</w:t>
      </w:r>
      <w:r w:rsidRPr="0033709A">
        <w:rPr>
          <w:bCs/>
        </w:rPr>
        <w:t xml:space="preserve"> dipped beam orientation ha</w:t>
      </w:r>
      <w:r>
        <w:rPr>
          <w:bCs/>
        </w:rPr>
        <w:t xml:space="preserve">ve </w:t>
      </w:r>
      <w:r w:rsidRPr="0033709A">
        <w:rPr>
          <w:bCs/>
        </w:rPr>
        <w:t xml:space="preserve">been changed accordingly. Due to the basic changes agreed by </w:t>
      </w:r>
      <w:r>
        <w:rPr>
          <w:bCs/>
        </w:rPr>
        <w:t xml:space="preserve">IWG </w:t>
      </w:r>
      <w:r w:rsidRPr="0033709A">
        <w:rPr>
          <w:bCs/>
        </w:rPr>
        <w:t>VGL, also some other paragraphs needed to be changed and added.</w:t>
      </w:r>
    </w:p>
    <w:p w:rsidR="0033709A" w:rsidRPr="0033709A" w:rsidRDefault="0033709A" w:rsidP="0033709A">
      <w:pPr>
        <w:spacing w:after="120"/>
        <w:ind w:left="1134" w:right="1134"/>
        <w:jc w:val="both"/>
        <w:rPr>
          <w:bCs/>
        </w:rPr>
      </w:pPr>
      <w:r w:rsidRPr="0033709A">
        <w:rPr>
          <w:bCs/>
        </w:rPr>
        <w:t>3.</w:t>
      </w:r>
      <w:r w:rsidRPr="0033709A">
        <w:rPr>
          <w:bCs/>
        </w:rPr>
        <w:tab/>
        <w:t>GRE</w:t>
      </w:r>
      <w:r>
        <w:rPr>
          <w:bCs/>
        </w:rPr>
        <w:t>,</w:t>
      </w:r>
      <w:r w:rsidRPr="0033709A">
        <w:rPr>
          <w:bCs/>
        </w:rPr>
        <w:t xml:space="preserve"> at its </w:t>
      </w:r>
      <w:proofErr w:type="spellStart"/>
      <w:r>
        <w:rPr>
          <w:bCs/>
        </w:rPr>
        <w:t>sevety-nineth</w:t>
      </w:r>
      <w:proofErr w:type="spellEnd"/>
      <w:r>
        <w:rPr>
          <w:bCs/>
        </w:rPr>
        <w:t xml:space="preserve"> </w:t>
      </w:r>
      <w:r w:rsidRPr="0033709A">
        <w:rPr>
          <w:bCs/>
        </w:rPr>
        <w:t>session, decided that elements of the objectives of IWG VGL (ECE/TRANS/WP.29/GRE/76, Annex III) would be transferred to IWG SLR, since both groups had converging goals and in order to avoid duplication of work (ECE/TRANS/WP.29/GRE/79, para. 31).</w:t>
      </w:r>
    </w:p>
    <w:p w:rsidR="0033709A" w:rsidRPr="0033709A" w:rsidRDefault="0033709A" w:rsidP="0033709A">
      <w:pPr>
        <w:spacing w:after="120"/>
        <w:ind w:left="1134" w:right="1134"/>
        <w:jc w:val="both"/>
        <w:rPr>
          <w:bCs/>
        </w:rPr>
      </w:pPr>
      <w:r w:rsidRPr="0033709A">
        <w:rPr>
          <w:bCs/>
        </w:rPr>
        <w:t>4.</w:t>
      </w:r>
      <w:r w:rsidRPr="0033709A">
        <w:rPr>
          <w:bCs/>
        </w:rPr>
        <w:tab/>
        <w:t xml:space="preserve">As indicated in the adopted Terms of Reference (ECE/TRANS/WP.29/GRE/79, Annex II), IWG SLR shall take over and consider the outcome of IWG VGL, based on the discussion document GRE-79-29 as recommended by the </w:t>
      </w:r>
      <w:proofErr w:type="spellStart"/>
      <w:r>
        <w:rPr>
          <w:bCs/>
        </w:rPr>
        <w:t>sevety</w:t>
      </w:r>
      <w:proofErr w:type="spellEnd"/>
      <w:r>
        <w:rPr>
          <w:bCs/>
        </w:rPr>
        <w:t>-ninth</w:t>
      </w:r>
      <w:r w:rsidRPr="0033709A">
        <w:rPr>
          <w:bCs/>
        </w:rPr>
        <w:t xml:space="preserve"> session of GRE (ECE/TRANS/WP.29/GRE/79, para. 31).</w:t>
      </w:r>
    </w:p>
    <w:p w:rsidR="0033709A" w:rsidRPr="0033709A" w:rsidRDefault="0033709A" w:rsidP="0033709A">
      <w:pPr>
        <w:spacing w:after="120"/>
        <w:ind w:left="1134" w:right="1134"/>
        <w:jc w:val="both"/>
        <w:rPr>
          <w:bCs/>
        </w:rPr>
      </w:pPr>
      <w:r w:rsidRPr="0033709A">
        <w:rPr>
          <w:bCs/>
        </w:rPr>
        <w:t>5.</w:t>
      </w:r>
      <w:r w:rsidRPr="0033709A">
        <w:rPr>
          <w:bCs/>
        </w:rPr>
        <w:tab/>
        <w:t>IWG SLR</w:t>
      </w:r>
      <w:r>
        <w:rPr>
          <w:bCs/>
        </w:rPr>
        <w:t>,</w:t>
      </w:r>
      <w:r w:rsidRPr="0033709A">
        <w:rPr>
          <w:bCs/>
        </w:rPr>
        <w:t xml:space="preserve"> at its </w:t>
      </w:r>
      <w:r>
        <w:rPr>
          <w:bCs/>
        </w:rPr>
        <w:t xml:space="preserve">twenty-seventh </w:t>
      </w:r>
      <w:r w:rsidRPr="0033709A">
        <w:rPr>
          <w:bCs/>
        </w:rPr>
        <w:t>session</w:t>
      </w:r>
      <w:r>
        <w:rPr>
          <w:bCs/>
        </w:rPr>
        <w:t>,</w:t>
      </w:r>
      <w:r w:rsidRPr="0033709A">
        <w:rPr>
          <w:bCs/>
        </w:rPr>
        <w:t xml:space="preserve"> considered informal document GRE-79-29 and </w:t>
      </w:r>
      <w:r>
        <w:rPr>
          <w:bCs/>
        </w:rPr>
        <w:t xml:space="preserve">decided </w:t>
      </w:r>
      <w:r w:rsidRPr="0033709A">
        <w:rPr>
          <w:bCs/>
        </w:rPr>
        <w:t xml:space="preserve">to submit it without modifications to the </w:t>
      </w:r>
      <w:r>
        <w:rPr>
          <w:bCs/>
        </w:rPr>
        <w:t xml:space="preserve">eighty-first </w:t>
      </w:r>
      <w:r w:rsidRPr="0033709A">
        <w:rPr>
          <w:bCs/>
        </w:rPr>
        <w:t xml:space="preserve">GRE session for comments. </w:t>
      </w:r>
      <w:r>
        <w:rPr>
          <w:bCs/>
        </w:rPr>
        <w:t>Based on</w:t>
      </w:r>
      <w:r w:rsidRPr="0033709A">
        <w:rPr>
          <w:bCs/>
        </w:rPr>
        <w:t xml:space="preserve"> the feedback received </w:t>
      </w:r>
      <w:r>
        <w:rPr>
          <w:bCs/>
        </w:rPr>
        <w:t>from</w:t>
      </w:r>
      <w:r w:rsidRPr="0033709A">
        <w:rPr>
          <w:bCs/>
        </w:rPr>
        <w:t xml:space="preserve"> GRE, </w:t>
      </w:r>
      <w:r>
        <w:rPr>
          <w:bCs/>
        </w:rPr>
        <w:t xml:space="preserve">IWG SLR </w:t>
      </w:r>
      <w:r w:rsidRPr="0033709A">
        <w:rPr>
          <w:bCs/>
        </w:rPr>
        <w:t>will further work on the proposal.</w:t>
      </w:r>
    </w:p>
    <w:p w:rsidR="0033709A" w:rsidRPr="002222A1" w:rsidRDefault="0033709A" w:rsidP="0033709A">
      <w:pPr>
        <w:spacing w:after="120"/>
        <w:ind w:left="1134" w:right="1134"/>
        <w:jc w:val="both"/>
        <w:rPr>
          <w:bCs/>
          <w:i/>
        </w:rPr>
      </w:pPr>
      <w:r w:rsidRPr="002222A1">
        <w:rPr>
          <w:bCs/>
          <w:i/>
        </w:rPr>
        <w:t>Detailed comments</w:t>
      </w:r>
    </w:p>
    <w:p w:rsidR="0033709A" w:rsidRPr="0033709A" w:rsidRDefault="00C56CF0" w:rsidP="0033709A">
      <w:pPr>
        <w:spacing w:after="120"/>
        <w:ind w:left="1134" w:right="1134"/>
        <w:jc w:val="both"/>
        <w:rPr>
          <w:bCs/>
        </w:rPr>
      </w:pPr>
      <w:r>
        <w:rPr>
          <w:bCs/>
        </w:rPr>
        <w:t>6.</w:t>
      </w:r>
      <w:r>
        <w:rPr>
          <w:bCs/>
        </w:rPr>
        <w:tab/>
      </w:r>
      <w:r w:rsidR="0033709A" w:rsidRPr="0033709A">
        <w:rPr>
          <w:bCs/>
        </w:rPr>
        <w:t>For the technical justification for the two main changes please refer to the following documents:</w:t>
      </w:r>
    </w:p>
    <w:p w:rsidR="0033709A" w:rsidRPr="00DD69DC" w:rsidRDefault="00DD69DC" w:rsidP="00DD69DC">
      <w:pPr>
        <w:spacing w:after="120"/>
        <w:ind w:left="1701" w:right="1134" w:hanging="567"/>
        <w:jc w:val="both"/>
        <w:rPr>
          <w:bCs/>
        </w:rPr>
      </w:pPr>
      <w:r w:rsidRPr="00283B14">
        <w:rPr>
          <w:rFonts w:ascii="Symbol" w:hAnsi="Symbol"/>
          <w:bCs/>
        </w:rPr>
        <w:t></w:t>
      </w:r>
      <w:r w:rsidRPr="00283B14">
        <w:rPr>
          <w:rFonts w:ascii="Symbol" w:hAnsi="Symbol"/>
          <w:bCs/>
        </w:rPr>
        <w:tab/>
      </w:r>
      <w:r w:rsidR="0033709A" w:rsidRPr="00DD69DC">
        <w:rPr>
          <w:bCs/>
        </w:rPr>
        <w:t>“Justification for the new aiming limits and diagram”. (informal document GRE-78-23-Rev.1)</w:t>
      </w:r>
    </w:p>
    <w:p w:rsidR="0033709A" w:rsidRPr="00DD69DC" w:rsidRDefault="00DD69DC" w:rsidP="00DD69DC">
      <w:pPr>
        <w:spacing w:after="120"/>
        <w:ind w:left="1701" w:right="1134" w:hanging="567"/>
        <w:jc w:val="both"/>
        <w:rPr>
          <w:bCs/>
        </w:rPr>
      </w:pPr>
      <w:r w:rsidRPr="00283B14">
        <w:rPr>
          <w:rFonts w:ascii="Symbol" w:hAnsi="Symbol"/>
          <w:bCs/>
        </w:rPr>
        <w:t></w:t>
      </w:r>
      <w:r w:rsidRPr="00283B14">
        <w:rPr>
          <w:rFonts w:ascii="Symbol" w:hAnsi="Symbol"/>
          <w:bCs/>
        </w:rPr>
        <w:tab/>
      </w:r>
      <w:r w:rsidR="0033709A" w:rsidRPr="00DD69DC">
        <w:rPr>
          <w:bCs/>
        </w:rPr>
        <w:t>“Justification for deletion of the 2000 lm criterion”. (informal document GRE-78-32)</w:t>
      </w:r>
    </w:p>
    <w:p w:rsidR="0033709A" w:rsidRPr="0033709A" w:rsidRDefault="00283B14" w:rsidP="0033709A">
      <w:pPr>
        <w:spacing w:after="120"/>
        <w:ind w:left="1134" w:right="1134"/>
        <w:jc w:val="both"/>
        <w:rPr>
          <w:bCs/>
        </w:rPr>
      </w:pPr>
      <w:r>
        <w:rPr>
          <w:bCs/>
        </w:rPr>
        <w:t>7.</w:t>
      </w:r>
      <w:r>
        <w:rPr>
          <w:bCs/>
        </w:rPr>
        <w:tab/>
      </w:r>
      <w:r w:rsidR="0033709A" w:rsidRPr="0033709A">
        <w:rPr>
          <w:bCs/>
        </w:rPr>
        <w:t>In addition, the following comments provide explanations to the proposed text:</w:t>
      </w:r>
    </w:p>
    <w:p w:rsidR="00283B14" w:rsidRPr="00283B14" w:rsidRDefault="00283B14" w:rsidP="0033709A">
      <w:pPr>
        <w:spacing w:after="120"/>
        <w:ind w:left="1134" w:right="1134"/>
        <w:jc w:val="both"/>
        <w:rPr>
          <w:bCs/>
          <w:i/>
        </w:rPr>
      </w:pPr>
      <w:r w:rsidRPr="00283B14">
        <w:rPr>
          <w:bCs/>
          <w:i/>
        </w:rPr>
        <w:t xml:space="preserve">Paragraph </w:t>
      </w:r>
      <w:r w:rsidR="0033709A" w:rsidRPr="00283B14">
        <w:rPr>
          <w:bCs/>
          <w:i/>
        </w:rPr>
        <w:t>4.2.</w:t>
      </w:r>
      <w:r w:rsidR="0033709A" w:rsidRPr="00283B14">
        <w:rPr>
          <w:bCs/>
          <w:i/>
        </w:rPr>
        <w:tab/>
      </w:r>
    </w:p>
    <w:p w:rsidR="0033709A" w:rsidRPr="0033709A" w:rsidRDefault="00283B14" w:rsidP="0033709A">
      <w:pPr>
        <w:spacing w:after="120"/>
        <w:ind w:left="1134" w:right="1134"/>
        <w:jc w:val="both"/>
        <w:rPr>
          <w:bCs/>
        </w:rPr>
      </w:pPr>
      <w:r>
        <w:rPr>
          <w:bCs/>
        </w:rPr>
        <w:t>8.</w:t>
      </w:r>
      <w:r>
        <w:rPr>
          <w:bCs/>
        </w:rPr>
        <w:tab/>
      </w:r>
      <w:r w:rsidR="0033709A" w:rsidRPr="0033709A">
        <w:rPr>
          <w:bCs/>
        </w:rPr>
        <w:t>This paragraph is modified to update the reference to the new series of amendment 07.</w:t>
      </w:r>
    </w:p>
    <w:p w:rsidR="00283B14" w:rsidRPr="00283B14" w:rsidRDefault="00283B14" w:rsidP="0033709A">
      <w:pPr>
        <w:spacing w:after="120"/>
        <w:ind w:left="1134" w:right="1134"/>
        <w:jc w:val="both"/>
        <w:rPr>
          <w:bCs/>
          <w:i/>
        </w:rPr>
      </w:pPr>
      <w:r w:rsidRPr="00283B14">
        <w:rPr>
          <w:bCs/>
          <w:i/>
        </w:rPr>
        <w:t xml:space="preserve">Paragraph </w:t>
      </w:r>
      <w:r w:rsidR="0033709A" w:rsidRPr="00283B14">
        <w:rPr>
          <w:bCs/>
          <w:i/>
        </w:rPr>
        <w:t>6.2.6.1.1.</w:t>
      </w:r>
      <w:r w:rsidR="0033709A" w:rsidRPr="00283B14">
        <w:rPr>
          <w:bCs/>
          <w:i/>
        </w:rPr>
        <w:tab/>
      </w:r>
    </w:p>
    <w:p w:rsidR="0033709A" w:rsidRPr="0033709A" w:rsidRDefault="00283B14" w:rsidP="0033709A">
      <w:pPr>
        <w:spacing w:after="120"/>
        <w:ind w:left="1134" w:right="1134"/>
        <w:jc w:val="both"/>
        <w:rPr>
          <w:bCs/>
        </w:rPr>
      </w:pPr>
      <w:r>
        <w:rPr>
          <w:bCs/>
        </w:rPr>
        <w:t>9.</w:t>
      </w:r>
      <w:r>
        <w:rPr>
          <w:bCs/>
        </w:rPr>
        <w:tab/>
        <w:t>The s</w:t>
      </w:r>
      <w:r w:rsidR="0033709A" w:rsidRPr="0033709A">
        <w:rPr>
          <w:bCs/>
        </w:rPr>
        <w:t>econd indent is modified to better prescribe how to define the initial aiming value.</w:t>
      </w:r>
      <w:r>
        <w:rPr>
          <w:bCs/>
        </w:rPr>
        <w:t xml:space="preserve"> The l</w:t>
      </w:r>
      <w:r w:rsidR="0033709A" w:rsidRPr="0033709A">
        <w:rPr>
          <w:bCs/>
        </w:rPr>
        <w:t xml:space="preserve">ast indent is added to clarify how to correctly indicate the initial aiming value in case where it is different for different variants/versions of the same vehicle type. This paragraph is in square brackets since it was not agreed during the </w:t>
      </w:r>
      <w:r>
        <w:rPr>
          <w:bCs/>
        </w:rPr>
        <w:t>work of IWG VGL</w:t>
      </w:r>
      <w:r w:rsidR="0033709A" w:rsidRPr="0033709A">
        <w:rPr>
          <w:bCs/>
        </w:rPr>
        <w:t>.</w:t>
      </w:r>
    </w:p>
    <w:p w:rsidR="00283B14" w:rsidRPr="00283B14" w:rsidRDefault="00283B14" w:rsidP="0033709A">
      <w:pPr>
        <w:spacing w:after="120"/>
        <w:ind w:left="1134" w:right="1134"/>
        <w:jc w:val="both"/>
        <w:rPr>
          <w:bCs/>
          <w:i/>
        </w:rPr>
      </w:pPr>
      <w:r w:rsidRPr="00283B14">
        <w:rPr>
          <w:bCs/>
          <w:i/>
        </w:rPr>
        <w:t xml:space="preserve">Paragraph </w:t>
      </w:r>
      <w:r w:rsidR="0033709A" w:rsidRPr="00283B14">
        <w:rPr>
          <w:bCs/>
          <w:i/>
        </w:rPr>
        <w:t>6.2.6.1.2.</w:t>
      </w:r>
      <w:r w:rsidR="0033709A" w:rsidRPr="00283B14">
        <w:rPr>
          <w:bCs/>
          <w:i/>
        </w:rPr>
        <w:tab/>
      </w:r>
    </w:p>
    <w:p w:rsidR="0033709A" w:rsidRPr="0033709A" w:rsidRDefault="00283B14" w:rsidP="0033709A">
      <w:pPr>
        <w:spacing w:after="120"/>
        <w:ind w:left="1134" w:right="1134"/>
        <w:jc w:val="both"/>
        <w:rPr>
          <w:bCs/>
        </w:rPr>
      </w:pPr>
      <w:r>
        <w:rPr>
          <w:bCs/>
        </w:rPr>
        <w:t>10.</w:t>
      </w:r>
      <w:r>
        <w:rPr>
          <w:bCs/>
        </w:rPr>
        <w:tab/>
      </w:r>
      <w:r w:rsidR="0033709A" w:rsidRPr="0033709A">
        <w:rPr>
          <w:bCs/>
        </w:rPr>
        <w:t xml:space="preserve">The range of vertical orientation has been modified based on the IWG VGL decisions. IWG VGL decided to present a proposal in which this range is from 0% to -1.6 %; it was also agreed that, if requested by GRE Experts, the 0 % limit will be moved to the -0.2 % limit maintaining the 1.6 % range (i.e. shifting in parallel the upper limit to -1.8 %). </w:t>
      </w:r>
      <w:r>
        <w:rPr>
          <w:bCs/>
        </w:rPr>
        <w:t xml:space="preserve">The United Kingdom of Great Britain and </w:t>
      </w:r>
      <w:proofErr w:type="spellStart"/>
      <w:r>
        <w:rPr>
          <w:bCs/>
        </w:rPr>
        <w:t>Nothern</w:t>
      </w:r>
      <w:proofErr w:type="spellEnd"/>
      <w:r>
        <w:rPr>
          <w:bCs/>
        </w:rPr>
        <w:t xml:space="preserve"> Ireland </w:t>
      </w:r>
      <w:r w:rsidR="00C92732">
        <w:rPr>
          <w:bCs/>
        </w:rPr>
        <w:t xml:space="preserve">(UK) </w:t>
      </w:r>
      <w:r w:rsidR="0033709A" w:rsidRPr="0033709A">
        <w:rPr>
          <w:bCs/>
        </w:rPr>
        <w:t>and P</w:t>
      </w:r>
      <w:r w:rsidR="00C92732">
        <w:rPr>
          <w:bCs/>
        </w:rPr>
        <w:t>oland</w:t>
      </w:r>
      <w:r w:rsidR="0033709A" w:rsidRPr="0033709A">
        <w:rPr>
          <w:bCs/>
        </w:rPr>
        <w:t xml:space="preserve"> requested </w:t>
      </w:r>
      <w:r w:rsidR="00C92732">
        <w:rPr>
          <w:bCs/>
        </w:rPr>
        <w:t xml:space="preserve">the </w:t>
      </w:r>
      <w:r w:rsidR="00C92732" w:rsidRPr="00C92732">
        <w:rPr>
          <w:bCs/>
        </w:rPr>
        <w:t xml:space="preserve">International Organization of Motor Vehicle Manufacturers </w:t>
      </w:r>
      <w:r w:rsidR="00C92732">
        <w:rPr>
          <w:bCs/>
        </w:rPr>
        <w:t>(</w:t>
      </w:r>
      <w:r w:rsidR="0033709A" w:rsidRPr="0033709A">
        <w:rPr>
          <w:bCs/>
        </w:rPr>
        <w:t>OICA</w:t>
      </w:r>
      <w:r w:rsidR="00C92732">
        <w:rPr>
          <w:bCs/>
        </w:rPr>
        <w:t>)</w:t>
      </w:r>
      <w:r w:rsidR="0033709A" w:rsidRPr="0033709A">
        <w:rPr>
          <w:bCs/>
        </w:rPr>
        <w:t xml:space="preserve"> to provide better justifications for the need to have a range at least 1.6 % wide.</w:t>
      </w:r>
    </w:p>
    <w:p w:rsidR="0033709A" w:rsidRPr="0033709A" w:rsidRDefault="00C92732" w:rsidP="0033709A">
      <w:pPr>
        <w:spacing w:after="120"/>
        <w:ind w:left="1134" w:right="1134"/>
        <w:jc w:val="both"/>
        <w:rPr>
          <w:bCs/>
        </w:rPr>
      </w:pPr>
      <w:r>
        <w:rPr>
          <w:bCs/>
        </w:rPr>
        <w:t>11.</w:t>
      </w:r>
      <w:r>
        <w:rPr>
          <w:bCs/>
        </w:rPr>
        <w:tab/>
      </w:r>
      <w:r w:rsidR="0033709A" w:rsidRPr="0033709A">
        <w:rPr>
          <w:bCs/>
        </w:rPr>
        <w:t xml:space="preserve">At </w:t>
      </w:r>
      <w:r>
        <w:rPr>
          <w:bCs/>
        </w:rPr>
        <w:t xml:space="preserve">the seventy-eighth session of GRE, </w:t>
      </w:r>
      <w:r w:rsidR="0033709A" w:rsidRPr="0033709A">
        <w:rPr>
          <w:bCs/>
        </w:rPr>
        <w:t xml:space="preserve">some </w:t>
      </w:r>
      <w:r>
        <w:rPr>
          <w:bCs/>
        </w:rPr>
        <w:t>e</w:t>
      </w:r>
      <w:r w:rsidR="0033709A" w:rsidRPr="0033709A">
        <w:rPr>
          <w:bCs/>
        </w:rPr>
        <w:t>xperts requested to shift the 0 % limit to -0.2 % and no</w:t>
      </w:r>
      <w:r>
        <w:rPr>
          <w:bCs/>
        </w:rPr>
        <w:t xml:space="preserve">body </w:t>
      </w:r>
      <w:r w:rsidR="0033709A" w:rsidRPr="0033709A">
        <w:rPr>
          <w:bCs/>
        </w:rPr>
        <w:t>opposed the parallel shifting of the -1.6 % limit to -1.8 % limit. UK and P</w:t>
      </w:r>
      <w:r>
        <w:rPr>
          <w:bCs/>
        </w:rPr>
        <w:t xml:space="preserve">oland </w:t>
      </w:r>
      <w:r w:rsidR="0033709A" w:rsidRPr="0033709A">
        <w:rPr>
          <w:bCs/>
        </w:rPr>
        <w:t>reiterated their request for better justification for the need to have a range at least 1.6 % wide.</w:t>
      </w:r>
    </w:p>
    <w:p w:rsidR="0033709A" w:rsidRPr="0033709A" w:rsidRDefault="00C92732" w:rsidP="0033709A">
      <w:pPr>
        <w:spacing w:after="120"/>
        <w:ind w:left="1134" w:right="1134"/>
        <w:jc w:val="both"/>
        <w:rPr>
          <w:bCs/>
        </w:rPr>
      </w:pPr>
      <w:r>
        <w:rPr>
          <w:bCs/>
        </w:rPr>
        <w:t>12.</w:t>
      </w:r>
      <w:r>
        <w:rPr>
          <w:bCs/>
        </w:rPr>
        <w:tab/>
      </w:r>
      <w:r w:rsidR="0033709A" w:rsidRPr="0033709A">
        <w:rPr>
          <w:bCs/>
        </w:rPr>
        <w:t>As far as the range of vertical orientation for N3G category vehicles having headlamps installed at more than 1.2 m from the ground is concerned, IWG VGL did not t</w:t>
      </w:r>
      <w:r>
        <w:rPr>
          <w:bCs/>
        </w:rPr>
        <w:t xml:space="preserve">ake </w:t>
      </w:r>
      <w:r w:rsidR="0033709A" w:rsidRPr="0033709A">
        <w:rPr>
          <w:bCs/>
        </w:rPr>
        <w:t>any decision, even if the idea to follow the same parameters used for the other vehicles categories was discussed. The proposed values are then put in square brackets; in any case they provide an improvement, from illumination distance point of view, in respect to the present requirements.</w:t>
      </w:r>
    </w:p>
    <w:p w:rsidR="0033709A" w:rsidRPr="0033709A" w:rsidRDefault="00C92732" w:rsidP="0033709A">
      <w:pPr>
        <w:spacing w:after="120"/>
        <w:ind w:left="1134" w:right="1134"/>
        <w:jc w:val="both"/>
        <w:rPr>
          <w:bCs/>
        </w:rPr>
      </w:pPr>
      <w:r>
        <w:rPr>
          <w:bCs/>
        </w:rPr>
        <w:t>13.</w:t>
      </w:r>
      <w:r>
        <w:rPr>
          <w:bCs/>
        </w:rPr>
        <w:tab/>
      </w:r>
      <w:r w:rsidR="0033709A" w:rsidRPr="0033709A">
        <w:rPr>
          <w:bCs/>
        </w:rPr>
        <w:t xml:space="preserve">Finally, among the proposed orientation limit values, two of them should have, from calculation, </w:t>
      </w:r>
      <w:r>
        <w:rPr>
          <w:bCs/>
        </w:rPr>
        <w:t xml:space="preserve">two </w:t>
      </w:r>
      <w:r w:rsidR="0033709A" w:rsidRPr="0033709A">
        <w:rPr>
          <w:bCs/>
        </w:rPr>
        <w:t xml:space="preserve">digits after the coma, while only </w:t>
      </w:r>
      <w:r>
        <w:rPr>
          <w:bCs/>
        </w:rPr>
        <w:t xml:space="preserve">one </w:t>
      </w:r>
      <w:r w:rsidR="0033709A" w:rsidRPr="0033709A">
        <w:rPr>
          <w:bCs/>
        </w:rPr>
        <w:t>digit after the coma is indicated in the present text</w:t>
      </w:r>
      <w:r>
        <w:rPr>
          <w:bCs/>
        </w:rPr>
        <w:t xml:space="preserve"> of UN Regulation No. 48</w:t>
      </w:r>
      <w:r w:rsidR="0033709A" w:rsidRPr="0033709A">
        <w:rPr>
          <w:bCs/>
        </w:rPr>
        <w:t>. Consequently, the second digit is always indicated in square brackets, to decide whether to maintain it or round the first digit to the nearest value.</w:t>
      </w:r>
    </w:p>
    <w:p w:rsidR="00C92732" w:rsidRPr="00C92732" w:rsidRDefault="00283B14" w:rsidP="0033709A">
      <w:pPr>
        <w:spacing w:after="120"/>
        <w:ind w:left="1134" w:right="1134"/>
        <w:jc w:val="both"/>
        <w:rPr>
          <w:bCs/>
          <w:i/>
        </w:rPr>
      </w:pPr>
      <w:r w:rsidRPr="00C92732">
        <w:rPr>
          <w:bCs/>
          <w:i/>
        </w:rPr>
        <w:t xml:space="preserve">Paragraph </w:t>
      </w:r>
      <w:r w:rsidR="0033709A" w:rsidRPr="00C92732">
        <w:rPr>
          <w:bCs/>
          <w:i/>
        </w:rPr>
        <w:t>6.2.9.</w:t>
      </w:r>
      <w:r w:rsidR="0033709A" w:rsidRPr="00C92732">
        <w:rPr>
          <w:bCs/>
          <w:i/>
        </w:rPr>
        <w:tab/>
      </w:r>
    </w:p>
    <w:p w:rsidR="0033709A" w:rsidRPr="0033709A" w:rsidRDefault="00C92732" w:rsidP="0033709A">
      <w:pPr>
        <w:spacing w:after="120"/>
        <w:ind w:left="1134" w:right="1134"/>
        <w:jc w:val="both"/>
        <w:rPr>
          <w:bCs/>
        </w:rPr>
      </w:pPr>
      <w:r>
        <w:rPr>
          <w:bCs/>
        </w:rPr>
        <w:t>14.</w:t>
      </w:r>
      <w:r>
        <w:rPr>
          <w:bCs/>
        </w:rPr>
        <w:tab/>
      </w:r>
      <w:r w:rsidR="0033709A" w:rsidRPr="0033709A">
        <w:rPr>
          <w:bCs/>
        </w:rPr>
        <w:t>IWG VGL decided to delete all references to 2000 lumen, since consider</w:t>
      </w:r>
      <w:r>
        <w:rPr>
          <w:bCs/>
        </w:rPr>
        <w:t>ed</w:t>
      </w:r>
      <w:r w:rsidR="0033709A" w:rsidRPr="0033709A">
        <w:rPr>
          <w:bCs/>
        </w:rPr>
        <w:t xml:space="preserve"> it no </w:t>
      </w:r>
      <w:r>
        <w:rPr>
          <w:bCs/>
        </w:rPr>
        <w:t xml:space="preserve">longer </w:t>
      </w:r>
      <w:r w:rsidR="0033709A" w:rsidRPr="0033709A">
        <w:rPr>
          <w:bCs/>
        </w:rPr>
        <w:t>correct</w:t>
      </w:r>
      <w:r>
        <w:rPr>
          <w:bCs/>
        </w:rPr>
        <w:t>. A</w:t>
      </w:r>
      <w:r w:rsidR="0033709A" w:rsidRPr="0033709A">
        <w:rPr>
          <w:bCs/>
        </w:rPr>
        <w:t xml:space="preserve">s a replacement of these requirement, the improvements of the levelling range were adopted. Japan expressed concerns about the deletion of this limit without replacing it with another specific parameter for the mandatory fitment of automatic headlamp levelling. </w:t>
      </w:r>
    </w:p>
    <w:p w:rsidR="0033709A" w:rsidRPr="0033709A" w:rsidRDefault="00C92732" w:rsidP="0033709A">
      <w:pPr>
        <w:spacing w:after="120"/>
        <w:ind w:left="1134" w:right="1134"/>
        <w:jc w:val="both"/>
        <w:rPr>
          <w:bCs/>
        </w:rPr>
      </w:pPr>
      <w:r>
        <w:rPr>
          <w:bCs/>
        </w:rPr>
        <w:t>15.</w:t>
      </w:r>
      <w:r>
        <w:rPr>
          <w:bCs/>
        </w:rPr>
        <w:tab/>
      </w:r>
      <w:r w:rsidR="0033709A" w:rsidRPr="0033709A">
        <w:rPr>
          <w:bCs/>
        </w:rPr>
        <w:t>However, IWG VGL did not decide how to treat the headlamp cleaning system in relation to the 2000 lumen limit. Consequently, the second, fourth and fifth indent of this paragraph, deleting the mandatory fitting of the headlamps cleaning system in case of light sources having a luminous flux higher than 2000 lumen, are in square brackets, while the deletion of the third indent is already fully in line with the IWG VGL decision on this topic.</w:t>
      </w:r>
    </w:p>
    <w:p w:rsidR="00C92732" w:rsidRPr="00C92732" w:rsidRDefault="00283B14" w:rsidP="0033709A">
      <w:pPr>
        <w:spacing w:after="120"/>
        <w:ind w:left="1134" w:right="1134"/>
        <w:jc w:val="both"/>
        <w:rPr>
          <w:bCs/>
          <w:i/>
        </w:rPr>
      </w:pPr>
      <w:r w:rsidRPr="00C92732">
        <w:rPr>
          <w:bCs/>
          <w:i/>
        </w:rPr>
        <w:t xml:space="preserve">Paragraph </w:t>
      </w:r>
      <w:r w:rsidR="0033709A" w:rsidRPr="00C92732">
        <w:rPr>
          <w:bCs/>
          <w:i/>
        </w:rPr>
        <w:t>6.3.6.1.</w:t>
      </w:r>
      <w:r w:rsidR="0033709A" w:rsidRPr="00C92732">
        <w:rPr>
          <w:bCs/>
          <w:i/>
        </w:rPr>
        <w:tab/>
      </w:r>
    </w:p>
    <w:p w:rsidR="0033709A" w:rsidRPr="0033709A" w:rsidRDefault="00C92732" w:rsidP="0033709A">
      <w:pPr>
        <w:spacing w:after="120"/>
        <w:ind w:left="1134" w:right="1134"/>
        <w:jc w:val="both"/>
        <w:rPr>
          <w:bCs/>
        </w:rPr>
      </w:pPr>
      <w:r>
        <w:rPr>
          <w:bCs/>
        </w:rPr>
        <w:t>16.</w:t>
      </w:r>
      <w:r>
        <w:rPr>
          <w:bCs/>
        </w:rPr>
        <w:tab/>
      </w:r>
      <w:r w:rsidR="0033709A" w:rsidRPr="0033709A">
        <w:rPr>
          <w:bCs/>
        </w:rPr>
        <w:t>This paragraph deal</w:t>
      </w:r>
      <w:r>
        <w:rPr>
          <w:bCs/>
        </w:rPr>
        <w:t xml:space="preserve">s </w:t>
      </w:r>
      <w:r w:rsidR="0033709A" w:rsidRPr="0033709A">
        <w:rPr>
          <w:bCs/>
        </w:rPr>
        <w:t xml:space="preserve">with the vertical orientation of front fog lamp and in the present text of </w:t>
      </w:r>
      <w:r>
        <w:rPr>
          <w:bCs/>
        </w:rPr>
        <w:t xml:space="preserve">UN Regulation No. </w:t>
      </w:r>
      <w:r w:rsidR="0033709A" w:rsidRPr="0033709A">
        <w:rPr>
          <w:bCs/>
        </w:rPr>
        <w:t>48 the 2000 lumen limit, deleted for the orientation conditions of the dipped beam, is also used. Since no decision was taken by IWG VGL about vertical orientation of the front fog lamps</w:t>
      </w:r>
      <w:r>
        <w:rPr>
          <w:bCs/>
        </w:rPr>
        <w:t>,</w:t>
      </w:r>
      <w:r w:rsidR="0033709A" w:rsidRPr="0033709A">
        <w:rPr>
          <w:bCs/>
        </w:rPr>
        <w:t xml:space="preserve"> paragraph 6.3.6.1. is not included in the present proposal. This note </w:t>
      </w:r>
      <w:r>
        <w:rPr>
          <w:bCs/>
        </w:rPr>
        <w:t xml:space="preserve">aims to </w:t>
      </w:r>
      <w:r w:rsidR="0033709A" w:rsidRPr="0033709A">
        <w:rPr>
          <w:bCs/>
        </w:rPr>
        <w:t xml:space="preserve">point out to GRE </w:t>
      </w:r>
      <w:r>
        <w:rPr>
          <w:bCs/>
        </w:rPr>
        <w:t>e</w:t>
      </w:r>
      <w:r w:rsidR="0033709A" w:rsidRPr="0033709A">
        <w:rPr>
          <w:bCs/>
        </w:rPr>
        <w:t xml:space="preserve">xperts the above situation and to request </w:t>
      </w:r>
      <w:r>
        <w:rPr>
          <w:bCs/>
        </w:rPr>
        <w:t>guidance on</w:t>
      </w:r>
      <w:r w:rsidR="0033709A" w:rsidRPr="0033709A">
        <w:rPr>
          <w:bCs/>
        </w:rPr>
        <w:t xml:space="preserve"> the amendment </w:t>
      </w:r>
      <w:r>
        <w:rPr>
          <w:bCs/>
        </w:rPr>
        <w:t xml:space="preserve">of </w:t>
      </w:r>
      <w:r w:rsidR="0033709A" w:rsidRPr="0033709A">
        <w:rPr>
          <w:bCs/>
        </w:rPr>
        <w:t>this paragraph, where it is supposed that the 2000 lumen limit should also be deleted.</w:t>
      </w:r>
    </w:p>
    <w:p w:rsidR="00C92732" w:rsidRPr="00C92732" w:rsidRDefault="00283B14" w:rsidP="0033709A">
      <w:pPr>
        <w:spacing w:after="120"/>
        <w:ind w:left="1134" w:right="1134"/>
        <w:jc w:val="both"/>
        <w:rPr>
          <w:bCs/>
          <w:i/>
        </w:rPr>
      </w:pPr>
      <w:r w:rsidRPr="00C92732">
        <w:rPr>
          <w:bCs/>
          <w:i/>
        </w:rPr>
        <w:t xml:space="preserve">Paragraph </w:t>
      </w:r>
      <w:r w:rsidR="0033709A" w:rsidRPr="00C92732">
        <w:rPr>
          <w:bCs/>
          <w:i/>
        </w:rPr>
        <w:t>6.22.6.1.</w:t>
      </w:r>
      <w:r w:rsidR="0033709A" w:rsidRPr="00C92732">
        <w:rPr>
          <w:bCs/>
          <w:i/>
        </w:rPr>
        <w:tab/>
      </w:r>
    </w:p>
    <w:p w:rsidR="0033709A" w:rsidRPr="0033709A" w:rsidRDefault="00C92732" w:rsidP="0033709A">
      <w:pPr>
        <w:spacing w:after="120"/>
        <w:ind w:left="1134" w:right="1134"/>
        <w:jc w:val="both"/>
        <w:rPr>
          <w:bCs/>
        </w:rPr>
      </w:pPr>
      <w:r>
        <w:rPr>
          <w:bCs/>
        </w:rPr>
        <w:t>17.</w:t>
      </w:r>
      <w:r>
        <w:rPr>
          <w:bCs/>
        </w:rPr>
        <w:tab/>
      </w:r>
      <w:r w:rsidR="0033709A" w:rsidRPr="0033709A">
        <w:rPr>
          <w:bCs/>
        </w:rPr>
        <w:t>All the changes to paragraph 6.22.6.1. and related sub-paragraphs are made to align the requirements to paragraph 6.2.6.1. and related subparagraphs (with the small adaptations necessary for AFS application). For AFS</w:t>
      </w:r>
      <w:r w:rsidR="006411D0">
        <w:rPr>
          <w:bCs/>
        </w:rPr>
        <w:t>,</w:t>
      </w:r>
      <w:r w:rsidR="0033709A" w:rsidRPr="0033709A">
        <w:rPr>
          <w:bCs/>
        </w:rPr>
        <w:t xml:space="preserve"> the auto-levelling remains mandatory, as decided by IWG VGL.</w:t>
      </w:r>
    </w:p>
    <w:p w:rsidR="00C92732" w:rsidRPr="00C92732" w:rsidRDefault="00283B14" w:rsidP="0033709A">
      <w:pPr>
        <w:spacing w:after="120"/>
        <w:ind w:left="1134" w:right="1134"/>
        <w:jc w:val="both"/>
        <w:rPr>
          <w:bCs/>
          <w:i/>
        </w:rPr>
      </w:pPr>
      <w:r w:rsidRPr="00C92732">
        <w:rPr>
          <w:bCs/>
          <w:i/>
        </w:rPr>
        <w:t xml:space="preserve">Paragraph </w:t>
      </w:r>
      <w:r w:rsidR="0033709A" w:rsidRPr="00C92732">
        <w:rPr>
          <w:bCs/>
          <w:i/>
        </w:rPr>
        <w:t>6.22.9.1.</w:t>
      </w:r>
      <w:r w:rsidR="0033709A" w:rsidRPr="00C92732">
        <w:rPr>
          <w:bCs/>
          <w:i/>
        </w:rPr>
        <w:tab/>
      </w:r>
    </w:p>
    <w:p w:rsidR="0033709A" w:rsidRPr="0033709A" w:rsidRDefault="00C92732" w:rsidP="0033709A">
      <w:pPr>
        <w:spacing w:after="120"/>
        <w:ind w:left="1134" w:right="1134"/>
        <w:jc w:val="both"/>
        <w:rPr>
          <w:bCs/>
        </w:rPr>
      </w:pPr>
      <w:r>
        <w:rPr>
          <w:bCs/>
        </w:rPr>
        <w:t>18.</w:t>
      </w:r>
      <w:r>
        <w:rPr>
          <w:bCs/>
        </w:rPr>
        <w:tab/>
      </w:r>
      <w:r w:rsidR="0033709A" w:rsidRPr="0033709A">
        <w:rPr>
          <w:bCs/>
        </w:rPr>
        <w:t>For coherence with the changes proposed for paragraph 6.2.9., the deletion of the headlamp cleaning system in relation to the 2000 lumen limit is proposed in square brackets, since no decision was taken by IWG VGL.</w:t>
      </w:r>
    </w:p>
    <w:p w:rsidR="00C92732" w:rsidRPr="00C92732" w:rsidRDefault="0033709A" w:rsidP="0033709A">
      <w:pPr>
        <w:spacing w:after="120"/>
        <w:ind w:left="1134" w:right="1134"/>
        <w:jc w:val="both"/>
        <w:rPr>
          <w:bCs/>
          <w:i/>
        </w:rPr>
      </w:pPr>
      <w:r w:rsidRPr="00C92732">
        <w:rPr>
          <w:bCs/>
          <w:i/>
        </w:rPr>
        <w:t>Annex 2</w:t>
      </w:r>
      <w:r w:rsidRPr="00C92732">
        <w:rPr>
          <w:bCs/>
          <w:i/>
        </w:rPr>
        <w:tab/>
      </w:r>
    </w:p>
    <w:p w:rsidR="0033709A" w:rsidRPr="0033709A" w:rsidRDefault="00C92732" w:rsidP="0033709A">
      <w:pPr>
        <w:spacing w:after="120"/>
        <w:ind w:left="1134" w:right="1134"/>
        <w:jc w:val="both"/>
        <w:rPr>
          <w:bCs/>
        </w:rPr>
      </w:pPr>
      <w:r>
        <w:rPr>
          <w:bCs/>
        </w:rPr>
        <w:t>19.</w:t>
      </w:r>
      <w:r>
        <w:rPr>
          <w:bCs/>
        </w:rPr>
        <w:tab/>
      </w:r>
      <w:r w:rsidR="0033709A" w:rsidRPr="0033709A">
        <w:rPr>
          <w:bCs/>
        </w:rPr>
        <w:t>This annex is amended to update the marking examples and related description to the introduction of the 07 series of amendments.</w:t>
      </w:r>
    </w:p>
    <w:p w:rsidR="00C92732" w:rsidRPr="00C92732" w:rsidRDefault="00283B14" w:rsidP="0033709A">
      <w:pPr>
        <w:spacing w:after="120"/>
        <w:ind w:left="1134" w:right="1134"/>
        <w:jc w:val="both"/>
        <w:rPr>
          <w:bCs/>
          <w:i/>
        </w:rPr>
      </w:pPr>
      <w:r w:rsidRPr="00C92732">
        <w:rPr>
          <w:bCs/>
          <w:i/>
        </w:rPr>
        <w:t xml:space="preserve">Paragraph </w:t>
      </w:r>
      <w:r w:rsidR="0033709A" w:rsidRPr="00C92732">
        <w:rPr>
          <w:bCs/>
          <w:i/>
        </w:rPr>
        <w:t>1.3</w:t>
      </w:r>
      <w:r w:rsidR="006D68C1">
        <w:rPr>
          <w:bCs/>
          <w:i/>
        </w:rPr>
        <w:t>.</w:t>
      </w:r>
      <w:r w:rsidR="0033709A" w:rsidRPr="00C92732">
        <w:rPr>
          <w:bCs/>
          <w:i/>
        </w:rPr>
        <w:t xml:space="preserve"> in Annex 9</w:t>
      </w:r>
      <w:r w:rsidR="0033709A" w:rsidRPr="00C92732">
        <w:rPr>
          <w:bCs/>
          <w:i/>
        </w:rPr>
        <w:tab/>
      </w:r>
    </w:p>
    <w:p w:rsidR="0033709A" w:rsidRDefault="00C92732" w:rsidP="0033709A">
      <w:pPr>
        <w:spacing w:after="120"/>
        <w:ind w:left="1134" w:right="1134"/>
        <w:jc w:val="both"/>
        <w:rPr>
          <w:bCs/>
        </w:rPr>
      </w:pPr>
      <w:r>
        <w:rPr>
          <w:bCs/>
        </w:rPr>
        <w:t>20.</w:t>
      </w:r>
      <w:r>
        <w:rPr>
          <w:bCs/>
        </w:rPr>
        <w:tab/>
      </w:r>
      <w:r w:rsidR="0033709A" w:rsidRPr="0033709A">
        <w:rPr>
          <w:bCs/>
        </w:rPr>
        <w:t xml:space="preserve">The changes to paragraph 1.3. and </w:t>
      </w:r>
      <w:r w:rsidR="006411D0">
        <w:rPr>
          <w:bCs/>
        </w:rPr>
        <w:t xml:space="preserve">the </w:t>
      </w:r>
      <w:r w:rsidR="0033709A" w:rsidRPr="0033709A">
        <w:rPr>
          <w:bCs/>
        </w:rPr>
        <w:t xml:space="preserve">related sub-paragraph in Annex 9 are linked to the decision of IWG VGL to establish, for the dipped-beam headlamp and the basic dipped-beam of AFS, an absolute range of levelling, to be fulfilled by the whole vehicle production without </w:t>
      </w:r>
      <w:r w:rsidR="006411D0">
        <w:rPr>
          <w:bCs/>
        </w:rPr>
        <w:t>t</w:t>
      </w:r>
      <w:r w:rsidR="0033709A" w:rsidRPr="0033709A">
        <w:rPr>
          <w:bCs/>
        </w:rPr>
        <w:t>olerances</w:t>
      </w:r>
      <w:r w:rsidR="006411D0">
        <w:rPr>
          <w:bCs/>
        </w:rPr>
        <w:t xml:space="preserve"> for conformity of production (CoP)</w:t>
      </w:r>
      <w:r w:rsidR="0033709A" w:rsidRPr="0033709A">
        <w:rPr>
          <w:bCs/>
        </w:rPr>
        <w:t>.</w:t>
      </w:r>
      <w:r w:rsidR="0061713D">
        <w:rPr>
          <w:bCs/>
        </w:rPr>
        <w:tab/>
      </w:r>
    </w:p>
    <w:p w:rsidR="00E933B8" w:rsidRPr="006D68C1" w:rsidRDefault="006D68C1" w:rsidP="006D68C1">
      <w:pPr>
        <w:spacing w:before="240"/>
        <w:ind w:left="1134" w:right="1134"/>
        <w:jc w:val="center"/>
        <w:rPr>
          <w:u w:val="single"/>
        </w:rPr>
      </w:pPr>
      <w:r>
        <w:rPr>
          <w:bCs/>
          <w:u w:val="single"/>
        </w:rPr>
        <w:tab/>
      </w:r>
      <w:r>
        <w:rPr>
          <w:bCs/>
          <w:u w:val="single"/>
        </w:rPr>
        <w:tab/>
      </w:r>
      <w:r>
        <w:rPr>
          <w:bCs/>
          <w:u w:val="single"/>
        </w:rPr>
        <w:tab/>
      </w:r>
      <w:r w:rsidR="008C3D6E">
        <w:rPr>
          <w:bCs/>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17"/>
      <w:headerReference w:type="default" r:id="rId18"/>
      <w:footerReference w:type="default" r:id="rId19"/>
      <w:headerReference w:type="firs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F6" w:rsidRDefault="00C740F6"/>
  </w:endnote>
  <w:endnote w:type="continuationSeparator" w:id="0">
    <w:p w:rsidR="00C740F6" w:rsidRDefault="00C740F6"/>
  </w:endnote>
  <w:endnote w:type="continuationNotice" w:id="1">
    <w:p w:rsidR="00C740F6" w:rsidRDefault="00C74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911" w:rsidRPr="006965C0" w:rsidRDefault="006965C0" w:rsidP="006965C0">
    <w:pPr>
      <w:pStyle w:val="Footer"/>
      <w:rPr>
        <w:rFonts w:asciiTheme="majorBidi" w:hAnsiTheme="majorBidi" w:cstheme="majorBidi"/>
        <w:sz w:val="20"/>
      </w:rP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5470759</wp:posOffset>
          </wp:positionH>
          <wp:positionV relativeFrom="margin">
            <wp:posOffset>8369634</wp:posOffset>
          </wp:positionV>
          <wp:extent cx="638175" cy="638175"/>
          <wp:effectExtent l="0" t="0" r="9525" b="9525"/>
          <wp:wrapNone/>
          <wp:docPr id="7" name="Picture 1" descr="https://undocs.org/m2/QRCode.ashx?DS=ECE/TRANS/WP.29/GRE/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5C0">
      <w:rPr>
        <w:rFonts w:asciiTheme="majorBidi" w:hAnsiTheme="majorBidi" w:cstheme="majorBidi"/>
        <w:noProof/>
        <w:lang w:eastAsia="zh-CN"/>
      </w:rPr>
      <w:drawing>
        <wp:anchor distT="0" distB="0" distL="114300" distR="114300" simplePos="0" relativeHeight="251659264" behindDoc="1" locked="1" layoutInCell="1" allowOverlap="1">
          <wp:simplePos x="0" y="0"/>
          <wp:positionH relativeFrom="margin">
            <wp:posOffset>4312285</wp:posOffset>
          </wp:positionH>
          <wp:positionV relativeFrom="margin">
            <wp:posOffset>8719820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BC3911" w:rsidRPr="006965C0">
      <w:rPr>
        <w:rFonts w:asciiTheme="majorBidi" w:hAnsiTheme="majorBidi" w:cstheme="majorBidi"/>
        <w:sz w:val="20"/>
      </w:rPr>
      <w:t>GE.19-01536(E)</w:t>
    </w:r>
  </w:p>
  <w:p w:rsidR="00BC3911" w:rsidRPr="00BC3911" w:rsidRDefault="00BC3911" w:rsidP="00BC39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C740F6" w:rsidRPr="002C0FEE" w:rsidTr="00732AD2">
      <w:tc>
        <w:tcPr>
          <w:tcW w:w="3346" w:type="dxa"/>
        </w:tcPr>
        <w:p w:rsidR="00C740F6" w:rsidRPr="00503D4F" w:rsidRDefault="00C740F6" w:rsidP="00732AD2">
          <w:pPr>
            <w:pStyle w:val="Footer"/>
          </w:pPr>
          <w:r>
            <w:rPr>
              <w:noProof/>
              <w:lang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F6" w:rsidRPr="000B175B" w:rsidRDefault="00C740F6" w:rsidP="000B175B">
      <w:pPr>
        <w:tabs>
          <w:tab w:val="right" w:pos="2155"/>
        </w:tabs>
        <w:spacing w:after="80"/>
        <w:ind w:left="680"/>
        <w:rPr>
          <w:u w:val="single"/>
        </w:rPr>
      </w:pPr>
      <w:r>
        <w:rPr>
          <w:u w:val="single"/>
        </w:rPr>
        <w:tab/>
      </w:r>
    </w:p>
  </w:footnote>
  <w:footnote w:type="continuationSeparator" w:id="0">
    <w:p w:rsidR="00C740F6" w:rsidRPr="00FC68B7" w:rsidRDefault="00C740F6" w:rsidP="00FC68B7">
      <w:pPr>
        <w:tabs>
          <w:tab w:val="left" w:pos="2155"/>
        </w:tabs>
        <w:spacing w:after="80"/>
        <w:ind w:left="680"/>
        <w:rPr>
          <w:u w:val="single"/>
        </w:rPr>
      </w:pPr>
      <w:r>
        <w:rPr>
          <w:u w:val="single"/>
        </w:rPr>
        <w:tab/>
      </w:r>
    </w:p>
  </w:footnote>
  <w:footnote w:type="continuationNotice" w:id="1">
    <w:p w:rsidR="00C740F6" w:rsidRDefault="00C740F6"/>
  </w:footnote>
  <w:footnote w:id="2">
    <w:p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rsidR="0033709A" w:rsidRPr="008239BB" w:rsidRDefault="0033709A" w:rsidP="0033709A">
      <w:pPr>
        <w:pStyle w:val="FootnoteText"/>
        <w:widowControl w:val="0"/>
        <w:tabs>
          <w:tab w:val="clear" w:pos="1021"/>
          <w:tab w:val="right" w:pos="1020"/>
        </w:tabs>
      </w:pPr>
      <w:r w:rsidRPr="008239BB">
        <w:tab/>
      </w:r>
      <w:r>
        <w:t>[</w:t>
      </w:r>
      <w:r>
        <w:rPr>
          <w:rStyle w:val="FootnoteReference"/>
        </w:rPr>
        <w:footnoteRef/>
      </w:r>
      <w:r>
        <w:t>]</w:t>
      </w:r>
      <w:r w:rsidRPr="008239BB">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726B5">
    <w:pPr>
      <w:pStyle w:val="Header"/>
    </w:pPr>
    <w:r w:rsidRPr="00EC151E">
      <w:t>ECE/TRANS/WP.29/GRE/201</w:t>
    </w:r>
    <w:r w:rsidR="00DA725B">
      <w:t>9</w:t>
    </w:r>
    <w:r w:rsidRPr="00EC151E">
      <w:t>/</w:t>
    </w:r>
    <w:r w:rsidR="00DA725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DA725B">
    <w:pPr>
      <w:pStyle w:val="Header"/>
      <w:jc w:val="right"/>
    </w:pPr>
    <w:r w:rsidRPr="00EC151E">
      <w:t>ECE/TRANS/WP.29/GRE/201</w:t>
    </w:r>
    <w:r>
      <w:t>9</w:t>
    </w:r>
    <w:r w:rsidRPr="00EC151E">
      <w:t>/</w:t>
    </w:r>
    <w:r w:rsidR="00DA725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fillcolor="white" stroke="f">
      <v:fill color="white"/>
      <v:stroke on="f"/>
    </o:shapedefaults>
    <o:shapelayout v:ext="edit">
      <o:idmap v:ext="edit" data="1"/>
    </o:shapelayout>
  </w:shapeDefaults>
  <w:decimalSymbol w:val="."/>
  <w:listSeparator w:val=","/>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4EE1-CEB6-4DE1-969A-37221F11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3317</Words>
  <Characters>18911</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ECE/TRANS/WP.29/GRE/2019/3</vt:lpstr>
      <vt:lpstr>ECE/TRANS/WP.29/GRE/2018/49</vt:lpstr>
    </vt:vector>
  </TitlesOfParts>
  <Company>CSD</Company>
  <LinksUpToDate>false</LinksUpToDate>
  <CharactersWithSpaces>22184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ECE/TRANS/WP.29/GRE/2019/3</dc:title>
  <dc:subject>1901536</dc:subject>
  <dc:creator>AFTER JUNE</dc:creator>
  <cp:keywords/>
  <dc:description/>
  <cp:lastModifiedBy>Benedicte Boudol</cp:lastModifiedBy>
  <cp:revision>2</cp:revision>
  <cp:lastPrinted>2019-01-31T15:08:00Z</cp:lastPrinted>
  <dcterms:created xsi:type="dcterms:W3CDTF">2019-03-04T08:52:00Z</dcterms:created>
  <dcterms:modified xsi:type="dcterms:W3CDTF">2019-03-04T08:52:00Z</dcterms:modified>
</cp:coreProperties>
</file>