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ook w:val="04A0" w:firstRow="1" w:lastRow="0" w:firstColumn="1" w:lastColumn="0" w:noHBand="0" w:noVBand="1"/>
      </w:tblPr>
      <w:tblGrid>
        <w:gridCol w:w="5830"/>
        <w:gridCol w:w="3809"/>
      </w:tblGrid>
      <w:tr w:rsidR="003C2FD9" w:rsidRPr="003C2FD9" w14:paraId="3624E04E" w14:textId="77777777" w:rsidTr="00DE1722">
        <w:tc>
          <w:tcPr>
            <w:tcW w:w="5830" w:type="dxa"/>
            <w:vAlign w:val="center"/>
            <w:hideMark/>
          </w:tcPr>
          <w:p w14:paraId="3CE06C31" w14:textId="77777777" w:rsidR="003C2FD9" w:rsidRPr="003C2FD9" w:rsidRDefault="00DE1722" w:rsidP="00845E0A">
            <w:pPr>
              <w:suppressAutoHyphens/>
              <w:spacing w:line="240" w:lineRule="atLeast"/>
              <w:rPr>
                <w:sz w:val="20"/>
                <w:szCs w:val="20"/>
                <w:lang w:val="en-US"/>
              </w:rPr>
            </w:pPr>
            <w:r w:rsidRPr="00F63B12">
              <w:rPr>
                <w:sz w:val="20"/>
                <w:szCs w:val="20"/>
                <w:lang w:val="en-US"/>
              </w:rPr>
              <w:t>Submitted by the experts of the</w:t>
            </w:r>
            <w:r w:rsidRPr="00DE1722">
              <w:rPr>
                <w:sz w:val="20"/>
                <w:szCs w:val="20"/>
              </w:rPr>
              <w:t xml:space="preserve"> Informal Working Group </w:t>
            </w:r>
            <w:r>
              <w:rPr>
                <w:sz w:val="20"/>
                <w:szCs w:val="20"/>
              </w:rPr>
              <w:br/>
            </w:r>
            <w:r w:rsidRPr="00DE1722">
              <w:rPr>
                <w:sz w:val="20"/>
                <w:szCs w:val="20"/>
              </w:rPr>
              <w:t>(IWG) on TYRE GTR</w:t>
            </w:r>
          </w:p>
        </w:tc>
        <w:tc>
          <w:tcPr>
            <w:tcW w:w="3809" w:type="dxa"/>
            <w:hideMark/>
          </w:tcPr>
          <w:p w14:paraId="08A35C09" w14:textId="38C23F85" w:rsidR="003C2FD9" w:rsidRPr="00DD3348" w:rsidRDefault="003C2FD9" w:rsidP="00702854">
            <w:pPr>
              <w:suppressAutoHyphens/>
              <w:spacing w:line="240" w:lineRule="atLeast"/>
              <w:rPr>
                <w:szCs w:val="20"/>
                <w:lang w:val="en-US"/>
              </w:rPr>
            </w:pPr>
            <w:r w:rsidRPr="00DD3348">
              <w:rPr>
                <w:sz w:val="20"/>
                <w:szCs w:val="20"/>
                <w:u w:val="single"/>
                <w:lang w:val="en-US"/>
              </w:rPr>
              <w:t>Informal document</w:t>
            </w:r>
            <w:r w:rsidRPr="00DD3348">
              <w:rPr>
                <w:sz w:val="20"/>
                <w:szCs w:val="20"/>
                <w:lang w:val="en-US"/>
              </w:rPr>
              <w:t xml:space="preserve"> </w:t>
            </w:r>
            <w:r w:rsidRPr="00DD3348">
              <w:rPr>
                <w:b/>
                <w:sz w:val="20"/>
                <w:szCs w:val="20"/>
                <w:lang w:val="en-US"/>
              </w:rPr>
              <w:t>GRB</w:t>
            </w:r>
            <w:r w:rsidR="0032147A" w:rsidRPr="00DD3348">
              <w:rPr>
                <w:b/>
                <w:sz w:val="20"/>
                <w:szCs w:val="20"/>
                <w:lang w:val="en-US"/>
              </w:rPr>
              <w:t>P</w:t>
            </w:r>
            <w:r w:rsidRPr="00DD3348">
              <w:rPr>
                <w:b/>
                <w:sz w:val="20"/>
                <w:szCs w:val="20"/>
                <w:lang w:val="en-US"/>
              </w:rPr>
              <w:t>-</w:t>
            </w:r>
            <w:r w:rsidR="00845E0A" w:rsidRPr="00DD3348">
              <w:rPr>
                <w:b/>
                <w:sz w:val="20"/>
                <w:szCs w:val="20"/>
                <w:lang w:val="en-US"/>
              </w:rPr>
              <w:t>70</w:t>
            </w:r>
            <w:r w:rsidRPr="00DD3348">
              <w:rPr>
                <w:rFonts w:hint="eastAsia"/>
                <w:b/>
                <w:sz w:val="20"/>
                <w:szCs w:val="20"/>
                <w:lang w:val="en-US"/>
              </w:rPr>
              <w:t>-</w:t>
            </w:r>
            <w:r w:rsidR="00DD3348">
              <w:rPr>
                <w:b/>
                <w:sz w:val="20"/>
                <w:szCs w:val="20"/>
                <w:lang w:val="en-US"/>
              </w:rPr>
              <w:t>17</w:t>
            </w:r>
            <w:r w:rsidR="00132A91">
              <w:rPr>
                <w:b/>
                <w:sz w:val="20"/>
                <w:szCs w:val="20"/>
                <w:lang w:val="en-US"/>
              </w:rPr>
              <w:t>-Rev.1</w:t>
            </w:r>
          </w:p>
          <w:p w14:paraId="7E0E7CA3" w14:textId="77777777" w:rsidR="003C2FD9" w:rsidRPr="003C2FD9" w:rsidRDefault="003C2FD9" w:rsidP="00702854">
            <w:pPr>
              <w:suppressAutoHyphens/>
              <w:spacing w:line="240" w:lineRule="atLeast"/>
              <w:rPr>
                <w:sz w:val="20"/>
                <w:szCs w:val="20"/>
                <w:lang w:val="en-US"/>
              </w:rPr>
            </w:pPr>
            <w:r w:rsidRPr="003C2FD9">
              <w:rPr>
                <w:sz w:val="20"/>
                <w:szCs w:val="20"/>
                <w:lang w:val="en-US"/>
              </w:rPr>
              <w:t>(</w:t>
            </w:r>
            <w:r w:rsidR="00845E0A">
              <w:rPr>
                <w:sz w:val="20"/>
                <w:szCs w:val="20"/>
                <w:lang w:val="en-US"/>
              </w:rPr>
              <w:t>70</w:t>
            </w:r>
            <w:r w:rsidRPr="003C2FD9">
              <w:rPr>
                <w:sz w:val="20"/>
                <w:szCs w:val="20"/>
                <w:lang w:val="en-US"/>
              </w:rPr>
              <w:t xml:space="preserve">th GRB, </w:t>
            </w:r>
            <w:r w:rsidR="0032147A" w:rsidRPr="0032147A">
              <w:rPr>
                <w:sz w:val="20"/>
                <w:szCs w:val="20"/>
                <w:lang w:val="en-US"/>
              </w:rPr>
              <w:t xml:space="preserve">11-13 </w:t>
            </w:r>
            <w:r w:rsidR="00845E0A">
              <w:rPr>
                <w:sz w:val="20"/>
                <w:szCs w:val="20"/>
                <w:lang w:val="en-US"/>
              </w:rPr>
              <w:t>Sep</w:t>
            </w:r>
            <w:r w:rsidR="0032147A">
              <w:rPr>
                <w:sz w:val="20"/>
                <w:szCs w:val="20"/>
                <w:lang w:val="en-US"/>
              </w:rPr>
              <w:t xml:space="preserve">tember </w:t>
            </w:r>
            <w:r w:rsidRPr="003C2FD9">
              <w:rPr>
                <w:sz w:val="20"/>
                <w:szCs w:val="20"/>
                <w:lang w:val="en-US"/>
              </w:rPr>
              <w:t>201</w:t>
            </w:r>
            <w:r w:rsidR="00845E0A">
              <w:rPr>
                <w:sz w:val="20"/>
                <w:szCs w:val="20"/>
                <w:lang w:val="en-US"/>
              </w:rPr>
              <w:t>9</w:t>
            </w:r>
            <w:r w:rsidRPr="003C2FD9">
              <w:rPr>
                <w:sz w:val="20"/>
                <w:szCs w:val="20"/>
                <w:lang w:val="en-US"/>
              </w:rPr>
              <w:t>,</w:t>
            </w:r>
          </w:p>
          <w:p w14:paraId="0CD08256" w14:textId="77777777" w:rsidR="003C2FD9" w:rsidRPr="003C2FD9" w:rsidRDefault="003C2FD9" w:rsidP="00702854">
            <w:pPr>
              <w:suppressAutoHyphens/>
              <w:spacing w:line="240" w:lineRule="atLeast"/>
              <w:rPr>
                <w:sz w:val="20"/>
                <w:szCs w:val="20"/>
                <w:lang w:val="en-US"/>
              </w:rPr>
            </w:pPr>
            <w:r w:rsidRPr="003C2FD9">
              <w:rPr>
                <w:sz w:val="20"/>
                <w:szCs w:val="20"/>
                <w:lang w:val="en-US"/>
              </w:rPr>
              <w:t xml:space="preserve">agenda item </w:t>
            </w:r>
            <w:r w:rsidR="00DE1722">
              <w:rPr>
                <w:sz w:val="20"/>
                <w:szCs w:val="20"/>
                <w:lang w:val="en-US"/>
              </w:rPr>
              <w:t>6 (e</w:t>
            </w:r>
            <w:r w:rsidRPr="003C2FD9">
              <w:rPr>
                <w:sz w:val="20"/>
                <w:szCs w:val="20"/>
                <w:lang w:val="en-US"/>
              </w:rPr>
              <w:t>)</w:t>
            </w:r>
            <w:r w:rsidR="00DE1722">
              <w:rPr>
                <w:sz w:val="20"/>
                <w:szCs w:val="20"/>
                <w:lang w:val="en-US"/>
              </w:rPr>
              <w:t>)</w:t>
            </w:r>
          </w:p>
        </w:tc>
      </w:tr>
    </w:tbl>
    <w:p w14:paraId="3FBDD99E" w14:textId="77777777" w:rsidR="003C2FD9" w:rsidRDefault="003C2FD9" w:rsidP="00E321CA">
      <w:pPr>
        <w:tabs>
          <w:tab w:val="left" w:pos="851"/>
        </w:tabs>
        <w:rPr>
          <w:b/>
          <w:sz w:val="22"/>
          <w:szCs w:val="22"/>
          <w:lang w:val="en-US"/>
        </w:rPr>
      </w:pPr>
    </w:p>
    <w:p w14:paraId="71524E99" w14:textId="77777777" w:rsidR="00941A95" w:rsidRDefault="00941A95" w:rsidP="00941A95">
      <w:pPr>
        <w:pStyle w:val="Default"/>
      </w:pPr>
    </w:p>
    <w:p w14:paraId="7D9E395E" w14:textId="77777777" w:rsidR="00DE1722" w:rsidRDefault="00DE1722" w:rsidP="00DE1722">
      <w:pPr>
        <w:pStyle w:val="Default"/>
        <w:jc w:val="center"/>
        <w:rPr>
          <w:b/>
          <w:bCs/>
          <w:sz w:val="28"/>
          <w:szCs w:val="28"/>
          <w:lang w:val="en-GB"/>
        </w:rPr>
      </w:pPr>
    </w:p>
    <w:p w14:paraId="3A0BB9AB" w14:textId="77777777" w:rsidR="003C2FD9" w:rsidRPr="003C2FD9" w:rsidRDefault="00941A95" w:rsidP="00DE1722">
      <w:pPr>
        <w:pStyle w:val="Default"/>
        <w:jc w:val="center"/>
        <w:rPr>
          <w:rFonts w:eastAsia="Calibri"/>
          <w:b/>
          <w:bCs/>
          <w:sz w:val="28"/>
          <w:szCs w:val="28"/>
          <w:lang w:val="en-US" w:eastAsia="en-US"/>
        </w:rPr>
      </w:pPr>
      <w:r w:rsidRPr="00941A95">
        <w:rPr>
          <w:b/>
          <w:bCs/>
          <w:sz w:val="28"/>
          <w:szCs w:val="28"/>
          <w:lang w:val="en-GB"/>
        </w:rPr>
        <w:t xml:space="preserve">Proposal for </w:t>
      </w:r>
      <w:r w:rsidRPr="00542CC2">
        <w:rPr>
          <w:b/>
          <w:bCs/>
          <w:sz w:val="28"/>
          <w:szCs w:val="28"/>
          <w:lang w:val="en-US"/>
        </w:rPr>
        <w:t>amendments</w:t>
      </w:r>
      <w:r>
        <w:rPr>
          <w:b/>
          <w:bCs/>
          <w:sz w:val="28"/>
          <w:szCs w:val="28"/>
        </w:rPr>
        <w:t xml:space="preserve"> </w:t>
      </w:r>
      <w:r w:rsidRPr="00542CC2">
        <w:rPr>
          <w:b/>
          <w:bCs/>
          <w:sz w:val="28"/>
          <w:szCs w:val="28"/>
          <w:lang w:val="en-US"/>
        </w:rPr>
        <w:t>to</w:t>
      </w:r>
      <w:r>
        <w:rPr>
          <w:b/>
          <w:bCs/>
          <w:sz w:val="28"/>
          <w:szCs w:val="28"/>
        </w:rPr>
        <w:t xml:space="preserve"> </w:t>
      </w:r>
      <w:r w:rsidR="00DE1722" w:rsidRPr="00DE1722">
        <w:rPr>
          <w:b/>
          <w:bCs/>
          <w:sz w:val="28"/>
          <w:szCs w:val="28"/>
        </w:rPr>
        <w:t>ECE/TRANS/WP.29/GRBP/2019/21</w:t>
      </w:r>
    </w:p>
    <w:p w14:paraId="6EDEABF6" w14:textId="77777777" w:rsidR="003C2FD9" w:rsidRPr="003C2FD9" w:rsidRDefault="003C2FD9" w:rsidP="003C2FD9">
      <w:pPr>
        <w:ind w:right="283"/>
        <w:rPr>
          <w:lang w:val="en-US"/>
        </w:rPr>
      </w:pPr>
    </w:p>
    <w:p w14:paraId="6F77EA36" w14:textId="77777777" w:rsidR="00DE1722" w:rsidRDefault="00DE1722" w:rsidP="003C2FD9">
      <w:pPr>
        <w:tabs>
          <w:tab w:val="left" w:pos="851"/>
        </w:tabs>
        <w:rPr>
          <w:lang w:val="en-US"/>
        </w:rPr>
      </w:pPr>
    </w:p>
    <w:p w14:paraId="6660FE8B" w14:textId="77777777" w:rsidR="003C2FD9" w:rsidRPr="00DE1722" w:rsidRDefault="003C2FD9" w:rsidP="003C2FD9">
      <w:pPr>
        <w:tabs>
          <w:tab w:val="left" w:pos="851"/>
        </w:tabs>
        <w:rPr>
          <w:b/>
          <w:sz w:val="18"/>
          <w:szCs w:val="18"/>
          <w:lang w:val="en-US"/>
        </w:rPr>
      </w:pPr>
      <w:r w:rsidRPr="00DE1722">
        <w:rPr>
          <w:sz w:val="20"/>
          <w:szCs w:val="20"/>
          <w:lang w:val="en-US"/>
        </w:rPr>
        <w:t>The proposed amend</w:t>
      </w:r>
      <w:r w:rsidR="008F47BD" w:rsidRPr="00DE1722">
        <w:rPr>
          <w:sz w:val="20"/>
          <w:szCs w:val="20"/>
          <w:lang w:val="en-US"/>
        </w:rPr>
        <w:softHyphen/>
      </w:r>
      <w:r w:rsidRPr="00DE1722">
        <w:rPr>
          <w:sz w:val="20"/>
          <w:szCs w:val="20"/>
          <w:lang w:val="en-US"/>
        </w:rPr>
        <w:t>ments are marked in bold for new or strikethrough for deleted characters.</w:t>
      </w:r>
    </w:p>
    <w:p w14:paraId="32120E1D" w14:textId="77777777" w:rsidR="003C2FD9" w:rsidRDefault="003C2FD9" w:rsidP="00E321CA">
      <w:pPr>
        <w:tabs>
          <w:tab w:val="left" w:pos="851"/>
        </w:tabs>
        <w:rPr>
          <w:b/>
          <w:sz w:val="22"/>
          <w:szCs w:val="22"/>
          <w:lang w:val="en-US"/>
        </w:rPr>
      </w:pPr>
    </w:p>
    <w:p w14:paraId="79B42C6C" w14:textId="77777777" w:rsidR="00DE1722" w:rsidRPr="00310032" w:rsidRDefault="00D46825" w:rsidP="00310032">
      <w:pPr>
        <w:pStyle w:val="ListParagraph"/>
        <w:numPr>
          <w:ilvl w:val="0"/>
          <w:numId w:val="3"/>
        </w:numPr>
        <w:tabs>
          <w:tab w:val="left" w:pos="851"/>
        </w:tabs>
        <w:rPr>
          <w:b/>
          <w:bCs/>
          <w:lang w:val="en-US"/>
        </w:rPr>
      </w:pPr>
      <w:r w:rsidRPr="00310032">
        <w:rPr>
          <w:b/>
          <w:bCs/>
          <w:lang w:val="en-US"/>
        </w:rPr>
        <w:t>Proposal</w:t>
      </w:r>
    </w:p>
    <w:p w14:paraId="10192CCA" w14:textId="77777777" w:rsidR="00680A10" w:rsidRDefault="00680A10" w:rsidP="00680A10">
      <w:pPr>
        <w:tabs>
          <w:tab w:val="left" w:pos="851"/>
        </w:tabs>
        <w:rPr>
          <w:sz w:val="20"/>
          <w:szCs w:val="20"/>
          <w:lang w:val="en-US"/>
        </w:rPr>
      </w:pPr>
    </w:p>
    <w:p w14:paraId="30D7F71C" w14:textId="77777777" w:rsidR="00680A10" w:rsidRPr="00680A10" w:rsidRDefault="00680A10" w:rsidP="00680A10">
      <w:pPr>
        <w:tabs>
          <w:tab w:val="left" w:pos="851"/>
        </w:tabs>
        <w:rPr>
          <w:sz w:val="20"/>
          <w:szCs w:val="20"/>
          <w:lang w:val="en-US"/>
        </w:rPr>
      </w:pPr>
      <w:r w:rsidRPr="00680A10">
        <w:rPr>
          <w:sz w:val="20"/>
          <w:szCs w:val="20"/>
          <w:lang w:val="en-US"/>
        </w:rPr>
        <w:t xml:space="preserve">Part I, para. </w:t>
      </w:r>
      <w:r>
        <w:rPr>
          <w:sz w:val="20"/>
          <w:szCs w:val="20"/>
          <w:lang w:val="en-US"/>
        </w:rPr>
        <w:t>62</w:t>
      </w:r>
      <w:r w:rsidRPr="00680A10">
        <w:rPr>
          <w:sz w:val="20"/>
          <w:szCs w:val="20"/>
          <w:lang w:val="en-US"/>
        </w:rPr>
        <w:t xml:space="preserve"> </w:t>
      </w:r>
      <w:r w:rsidRPr="00680A10">
        <w:rPr>
          <w:i/>
          <w:iCs/>
          <w:sz w:val="20"/>
          <w:szCs w:val="20"/>
          <w:lang w:val="en-US"/>
        </w:rPr>
        <w:t>amend to read:</w:t>
      </w:r>
    </w:p>
    <w:p w14:paraId="682FA9B6" w14:textId="77777777" w:rsidR="00310032" w:rsidRDefault="00310032" w:rsidP="00310032">
      <w:pPr>
        <w:pStyle w:val="ListParagraph"/>
        <w:tabs>
          <w:tab w:val="left" w:pos="851"/>
        </w:tabs>
        <w:ind w:left="1210"/>
        <w:rPr>
          <w:b/>
          <w:bCs/>
          <w:lang w:val="en-US"/>
        </w:rPr>
      </w:pPr>
    </w:p>
    <w:p w14:paraId="078EA255" w14:textId="77777777" w:rsidR="00310032" w:rsidRDefault="00310032" w:rsidP="00310032">
      <w:pPr>
        <w:pStyle w:val="SingleTxtGI"/>
        <w:ind w:right="1133"/>
      </w:pPr>
      <w:r w:rsidRPr="006B3F10">
        <w:t>62.</w:t>
      </w:r>
      <w:r w:rsidRPr="006B3F10">
        <w:tab/>
        <w:t>Definitions of “load index”, “load capacity”, “maximum load rating”, “reference test inflation pressure”, “standard reference test tyre (SRTT)” were added consistent with the amendments made in UN GTR No. 16 to harmonize concepts of load range and PSI Index by translating load range into inflation pressure ranges and replacing the term “PSI Index” with the term “Reference Test Inflation Pressure</w:t>
      </w:r>
      <w:r w:rsidR="00680A10">
        <w:rPr>
          <w:b/>
        </w:rPr>
        <w:t>”</w:t>
      </w:r>
      <w:r w:rsidRPr="006B3F10">
        <w:t>.</w:t>
      </w:r>
      <w:r w:rsidR="0077322B">
        <w:br/>
      </w:r>
    </w:p>
    <w:p w14:paraId="05F649FC" w14:textId="77777777" w:rsidR="0077322B" w:rsidRDefault="0077322B" w:rsidP="0077322B">
      <w:pPr>
        <w:tabs>
          <w:tab w:val="left" w:pos="851"/>
        </w:tabs>
        <w:rPr>
          <w:i/>
          <w:iCs/>
          <w:sz w:val="20"/>
          <w:szCs w:val="20"/>
          <w:lang w:val="en-US"/>
        </w:rPr>
      </w:pPr>
      <w:r w:rsidRPr="00680A10">
        <w:rPr>
          <w:sz w:val="20"/>
          <w:szCs w:val="20"/>
          <w:lang w:val="en-US"/>
        </w:rPr>
        <w:t xml:space="preserve">Part I, para. </w:t>
      </w:r>
      <w:r>
        <w:rPr>
          <w:sz w:val="20"/>
          <w:szCs w:val="20"/>
          <w:lang w:val="en-US"/>
        </w:rPr>
        <w:t>72</w:t>
      </w:r>
      <w:r w:rsidRPr="00680A10">
        <w:rPr>
          <w:sz w:val="20"/>
          <w:szCs w:val="20"/>
          <w:lang w:val="en-US"/>
        </w:rPr>
        <w:t xml:space="preserve"> </w:t>
      </w:r>
      <w:r w:rsidRPr="00680A10">
        <w:rPr>
          <w:i/>
          <w:iCs/>
          <w:sz w:val="20"/>
          <w:szCs w:val="20"/>
          <w:lang w:val="en-US"/>
        </w:rPr>
        <w:t>amend to read:</w:t>
      </w:r>
    </w:p>
    <w:p w14:paraId="5480F760" w14:textId="77777777" w:rsidR="0077322B" w:rsidRPr="0077322B" w:rsidRDefault="0077322B" w:rsidP="0077322B">
      <w:pPr>
        <w:tabs>
          <w:tab w:val="left" w:pos="851"/>
        </w:tabs>
        <w:rPr>
          <w:lang w:val="en-US"/>
        </w:rPr>
      </w:pPr>
    </w:p>
    <w:p w14:paraId="729F0BDE" w14:textId="77777777" w:rsidR="0077322B" w:rsidRPr="006B3F10" w:rsidRDefault="0077322B" w:rsidP="00310032">
      <w:pPr>
        <w:pStyle w:val="SingleTxtGI"/>
        <w:ind w:right="1133"/>
      </w:pPr>
      <w:r>
        <w:t xml:space="preserve">72. As described in paragraph 64 above, FMVSS 139 requirements relative to load range and UN PSI index </w:t>
      </w:r>
      <w:r w:rsidRPr="0077322B">
        <w:rPr>
          <w:strike/>
        </w:rPr>
        <w:t>(3.14 and 3.15)</w:t>
      </w:r>
      <w:proofErr w:type="gramStart"/>
      <w:r w:rsidRPr="0077322B">
        <w:rPr>
          <w:strike/>
        </w:rPr>
        <w:t>.</w:t>
      </w:r>
      <w:r>
        <w:t xml:space="preserve"> ,</w:t>
      </w:r>
      <w:proofErr w:type="gramEnd"/>
      <w:r>
        <w:t xml:space="preserve"> </w:t>
      </w:r>
      <w:proofErr w:type="spellStart"/>
      <w:r w:rsidRPr="0077322B">
        <w:rPr>
          <w:strike/>
        </w:rPr>
        <w:t>S</w:t>
      </w:r>
      <w:r w:rsidRPr="0077322B">
        <w:rPr>
          <w:b/>
        </w:rPr>
        <w:t>s</w:t>
      </w:r>
      <w:r>
        <w:t>trength</w:t>
      </w:r>
      <w:proofErr w:type="spellEnd"/>
      <w:r>
        <w:t xml:space="preserve"> test and bead unseat test provisions were harmonized to translate load range into a corresponding reference test inflation pressure.</w:t>
      </w:r>
      <w:bookmarkStart w:id="0" w:name="_GoBack"/>
      <w:bookmarkEnd w:id="0"/>
    </w:p>
    <w:p w14:paraId="5A97365D" w14:textId="77777777" w:rsidR="00D46825" w:rsidRDefault="00D46825" w:rsidP="00E321CA">
      <w:pPr>
        <w:tabs>
          <w:tab w:val="left" w:pos="851"/>
        </w:tabs>
        <w:rPr>
          <w:sz w:val="20"/>
          <w:szCs w:val="20"/>
          <w:lang w:val="en-US"/>
        </w:rPr>
      </w:pPr>
    </w:p>
    <w:p w14:paraId="760D6B38" w14:textId="77777777" w:rsidR="00DE1722" w:rsidRDefault="00DE1722" w:rsidP="00E321CA">
      <w:pPr>
        <w:tabs>
          <w:tab w:val="left" w:pos="851"/>
        </w:tabs>
        <w:rPr>
          <w:sz w:val="20"/>
          <w:szCs w:val="20"/>
          <w:lang w:val="en-US"/>
        </w:rPr>
      </w:pPr>
      <w:r w:rsidRPr="00DE1722">
        <w:rPr>
          <w:sz w:val="20"/>
          <w:szCs w:val="20"/>
          <w:lang w:val="en-US"/>
        </w:rPr>
        <w:t xml:space="preserve">Part I, para. 83 </w:t>
      </w:r>
      <w:r w:rsidRPr="00D46825">
        <w:rPr>
          <w:i/>
          <w:iCs/>
          <w:sz w:val="20"/>
          <w:szCs w:val="20"/>
          <w:lang w:val="en-US"/>
        </w:rPr>
        <w:t>amend to read:</w:t>
      </w:r>
    </w:p>
    <w:p w14:paraId="7BD73096" w14:textId="77777777" w:rsidR="00DE1722" w:rsidRDefault="00DE1722" w:rsidP="00E321CA">
      <w:pPr>
        <w:tabs>
          <w:tab w:val="left" w:pos="851"/>
        </w:tabs>
        <w:rPr>
          <w:sz w:val="20"/>
          <w:szCs w:val="20"/>
          <w:lang w:val="en-US"/>
        </w:rPr>
      </w:pPr>
    </w:p>
    <w:p w14:paraId="096FE467" w14:textId="77777777" w:rsidR="00D46825" w:rsidRDefault="00D46825" w:rsidP="00D46825">
      <w:pPr>
        <w:pStyle w:val="SingleTxtGI"/>
        <w:ind w:right="1133"/>
      </w:pPr>
      <w:r w:rsidRPr="006B3F10">
        <w:t>83.</w:t>
      </w:r>
      <w:r w:rsidRPr="006B3F10">
        <w:rPr>
          <w:rFonts w:eastAsia="Times New Roman"/>
          <w:b/>
          <w:bCs/>
          <w:sz w:val="28"/>
          <w:szCs w:val="28"/>
        </w:rPr>
        <w:tab/>
      </w:r>
      <w:r w:rsidRPr="006B3F10">
        <w:t xml:space="preserve">Physical dimensions provisions were harmonized by deleting the previous section </w:t>
      </w:r>
      <w:r w:rsidRPr="00D46825">
        <w:rPr>
          <w:strike/>
        </w:rPr>
        <w:t>3.5.1</w:t>
      </w:r>
      <w:r w:rsidRPr="006B3F10">
        <w:t xml:space="preserve"> </w:t>
      </w:r>
      <w:r w:rsidRPr="00D46825">
        <w:rPr>
          <w:b/>
          <w:bCs/>
        </w:rPr>
        <w:t>3.20</w:t>
      </w:r>
      <w:r>
        <w:t xml:space="preserve"> </w:t>
      </w:r>
      <w:r w:rsidRPr="006B3F10">
        <w:t xml:space="preserve">and </w:t>
      </w:r>
      <w:r w:rsidRPr="00D46825">
        <w:rPr>
          <w:strike/>
        </w:rPr>
        <w:t>3.5.2</w:t>
      </w:r>
      <w:r>
        <w:t xml:space="preserve"> </w:t>
      </w:r>
      <w:r w:rsidRPr="00D46825">
        <w:rPr>
          <w:b/>
          <w:bCs/>
        </w:rPr>
        <w:t>3.21</w:t>
      </w:r>
      <w:r>
        <w:t xml:space="preserve"> </w:t>
      </w:r>
      <w:r w:rsidRPr="006B3F10">
        <w:t xml:space="preserve">adding a new section </w:t>
      </w:r>
      <w:r w:rsidRPr="00D46825">
        <w:rPr>
          <w:strike/>
        </w:rPr>
        <w:t>3.20</w:t>
      </w:r>
      <w:r>
        <w:t xml:space="preserve"> </w:t>
      </w:r>
      <w:r w:rsidRPr="00D46825">
        <w:rPr>
          <w:b/>
          <w:bCs/>
        </w:rPr>
        <w:t>3.5.2.</w:t>
      </w:r>
      <w:r w:rsidRPr="006B3F10">
        <w:t xml:space="preserve"> Physical dimensions provisions were also harmonized by integrating provisions for measuring and calculating physical dimensions and assuring that all LT/C tyre sizes are addressed by the provisions. Additional provisions were added to address high flotation sizes.</w:t>
      </w:r>
    </w:p>
    <w:p w14:paraId="249A0B47" w14:textId="77777777" w:rsidR="00550E8D" w:rsidRDefault="00550E8D" w:rsidP="00550E8D">
      <w:pPr>
        <w:tabs>
          <w:tab w:val="left" w:pos="851"/>
        </w:tabs>
        <w:rPr>
          <w:i/>
          <w:iCs/>
          <w:sz w:val="20"/>
          <w:szCs w:val="20"/>
          <w:lang w:val="en-US"/>
        </w:rPr>
      </w:pPr>
      <w:r w:rsidRPr="00DE1722">
        <w:rPr>
          <w:sz w:val="20"/>
          <w:szCs w:val="20"/>
          <w:lang w:val="en-US"/>
        </w:rPr>
        <w:t>Part I, para. 8</w:t>
      </w:r>
      <w:r>
        <w:rPr>
          <w:sz w:val="20"/>
          <w:szCs w:val="20"/>
          <w:lang w:val="en-US"/>
        </w:rPr>
        <w:t>4</w:t>
      </w:r>
      <w:r w:rsidRPr="00DE1722">
        <w:rPr>
          <w:sz w:val="20"/>
          <w:szCs w:val="20"/>
          <w:lang w:val="en-US"/>
        </w:rPr>
        <w:t xml:space="preserve"> </w:t>
      </w:r>
      <w:r w:rsidRPr="00D46825">
        <w:rPr>
          <w:i/>
          <w:iCs/>
          <w:sz w:val="20"/>
          <w:szCs w:val="20"/>
          <w:lang w:val="en-US"/>
        </w:rPr>
        <w:t>amend t</w:t>
      </w:r>
      <w:r>
        <w:rPr>
          <w:i/>
          <w:iCs/>
          <w:sz w:val="20"/>
          <w:szCs w:val="20"/>
          <w:lang w:val="en-US"/>
        </w:rPr>
        <w:t>o read</w:t>
      </w:r>
      <w:r w:rsidRPr="00D46825">
        <w:rPr>
          <w:i/>
          <w:iCs/>
          <w:sz w:val="20"/>
          <w:szCs w:val="20"/>
          <w:lang w:val="en-US"/>
        </w:rPr>
        <w:t>:</w:t>
      </w:r>
    </w:p>
    <w:p w14:paraId="44AF5DB0" w14:textId="77777777" w:rsidR="00550E8D" w:rsidRDefault="00550E8D" w:rsidP="00550E8D">
      <w:pPr>
        <w:tabs>
          <w:tab w:val="left" w:pos="851"/>
        </w:tabs>
        <w:rPr>
          <w:i/>
          <w:iCs/>
          <w:sz w:val="20"/>
          <w:szCs w:val="20"/>
          <w:lang w:val="en-US"/>
        </w:rPr>
      </w:pPr>
    </w:p>
    <w:p w14:paraId="16A9F9F0" w14:textId="77777777" w:rsidR="00550E8D" w:rsidRPr="00550E8D" w:rsidRDefault="00550E8D" w:rsidP="00550E8D">
      <w:pPr>
        <w:pStyle w:val="SingleTxtGI"/>
        <w:ind w:right="1133"/>
        <w:rPr>
          <w:b/>
        </w:rPr>
      </w:pPr>
      <w:r w:rsidRPr="006B3F10">
        <w:t>84.</w:t>
      </w:r>
      <w:r w:rsidRPr="006B3F10">
        <w:rPr>
          <w:rFonts w:eastAsia="Times New Roman"/>
          <w:b/>
          <w:bCs/>
          <w:sz w:val="28"/>
          <w:szCs w:val="28"/>
        </w:rPr>
        <w:tab/>
      </w:r>
      <w:r w:rsidRPr="006B3F10">
        <w:t xml:space="preserve">The high-speed performance test for LT/C tyres was harmonized. The harmonized test contains two sets of requirements: the first for LT/C tyres with speed symbols below “Q” and other for LT/C tyres with speed symbols greater than or equal to “Q”. The informal working group concluded that for tyres with speed symbols below “Q” the FMVSS 139 test was the most severe then developed a modified UN Regulation No. 54 high-speed performance test that was equivalent to the FMVSS 139 high-speed performance test in terms of test severity. This modified UN Regulation No. 54 test represents a more efficient test than the FMVSS 139 high-speed performance test because it is of shorter duration, which impacts the capacity of testing facilities and reduces testing costs while representing a test that is comparable in terms of safety. Additionally, eliminating the break-in and cool down cycles further economizes laboratory resources without affecting test results. The results of the tyre industry testing programme were accepted by the informal working group without additional validation by a Contracting Party. For tyres with Speed Symbols “Q” and above the Amendment 2 of UN GTR No. 16 substituted the non-harmonized provisions of UN Regulation No. 54 by the new harmonized provisions of the modified load/speed endurance test method. A provision was also added to recognise a case of a tyre with an alternative service description, specifying that a second tyre of the same type should be tested according to the alternative service description unless a clear engineering justification is made that a single test represents the worst-case combination of load index and speed category symbol. </w:t>
      </w:r>
      <w:r>
        <w:rPr>
          <w:b/>
        </w:rPr>
        <w:t>Consistently with UN Reg</w:t>
      </w:r>
      <w:r w:rsidR="00337D83">
        <w:rPr>
          <w:b/>
        </w:rPr>
        <w:t>ulation No</w:t>
      </w:r>
      <w:r>
        <w:rPr>
          <w:b/>
        </w:rPr>
        <w:t xml:space="preserve"> 54, no provisions were developed for LT/C tyres with speed symbol above </w:t>
      </w:r>
      <w:r w:rsidR="008874D4">
        <w:rPr>
          <w:b/>
        </w:rPr>
        <w:t>“</w:t>
      </w:r>
      <w:r>
        <w:rPr>
          <w:b/>
        </w:rPr>
        <w:t>H</w:t>
      </w:r>
      <w:r w:rsidR="008874D4">
        <w:rPr>
          <w:b/>
        </w:rPr>
        <w:t>”</w:t>
      </w:r>
      <w:r>
        <w:rPr>
          <w:b/>
        </w:rPr>
        <w:t>.</w:t>
      </w:r>
    </w:p>
    <w:p w14:paraId="11E62D3A" w14:textId="77777777" w:rsidR="00550E8D" w:rsidRPr="00550E8D" w:rsidRDefault="00550E8D" w:rsidP="00550E8D">
      <w:pPr>
        <w:tabs>
          <w:tab w:val="left" w:pos="851"/>
        </w:tabs>
        <w:rPr>
          <w:sz w:val="20"/>
          <w:szCs w:val="20"/>
          <w:lang w:val="en-GB"/>
        </w:rPr>
      </w:pPr>
    </w:p>
    <w:p w14:paraId="4661D706" w14:textId="77777777" w:rsidR="00550E8D" w:rsidRPr="00550E8D" w:rsidRDefault="00550E8D" w:rsidP="00D46825">
      <w:pPr>
        <w:pStyle w:val="SingleTxtGI"/>
        <w:ind w:right="1133"/>
        <w:rPr>
          <w:lang w:val="en-US"/>
        </w:rPr>
      </w:pPr>
    </w:p>
    <w:p w14:paraId="3282C990" w14:textId="77777777" w:rsidR="00DE1722" w:rsidRDefault="00DE1722" w:rsidP="00E321CA">
      <w:pPr>
        <w:tabs>
          <w:tab w:val="left" w:pos="851"/>
        </w:tabs>
        <w:rPr>
          <w:sz w:val="20"/>
          <w:szCs w:val="20"/>
          <w:lang w:val="en-US"/>
        </w:rPr>
      </w:pPr>
    </w:p>
    <w:p w14:paraId="5E7B5E9F" w14:textId="77777777" w:rsidR="00DE1722" w:rsidRDefault="00DE1722" w:rsidP="00E321CA">
      <w:pPr>
        <w:tabs>
          <w:tab w:val="left" w:pos="851"/>
        </w:tabs>
        <w:rPr>
          <w:sz w:val="20"/>
          <w:szCs w:val="20"/>
          <w:lang w:val="en-US"/>
        </w:rPr>
      </w:pPr>
    </w:p>
    <w:p w14:paraId="3DE9D447" w14:textId="77777777" w:rsidR="00845E0A" w:rsidRPr="009B6D25" w:rsidRDefault="009B6D25" w:rsidP="000D4420">
      <w:pPr>
        <w:rPr>
          <w:b/>
          <w:bCs/>
          <w:sz w:val="22"/>
          <w:szCs w:val="22"/>
          <w:lang w:val="en-GB"/>
        </w:rPr>
      </w:pPr>
      <w:r w:rsidRPr="009B6D25">
        <w:rPr>
          <w:b/>
          <w:bCs/>
          <w:sz w:val="22"/>
          <w:szCs w:val="22"/>
          <w:lang w:val="en-GB"/>
        </w:rPr>
        <w:t xml:space="preserve">II. </w:t>
      </w:r>
      <w:r w:rsidRPr="009B6D25">
        <w:rPr>
          <w:b/>
          <w:bCs/>
          <w:sz w:val="22"/>
          <w:szCs w:val="22"/>
          <w:lang w:val="en-GB"/>
        </w:rPr>
        <w:tab/>
        <w:t>Justification</w:t>
      </w:r>
    </w:p>
    <w:p w14:paraId="4E816B74" w14:textId="77777777" w:rsidR="00680A10" w:rsidRPr="00680A10" w:rsidRDefault="00680A10" w:rsidP="00680A10">
      <w:pPr>
        <w:rPr>
          <w:sz w:val="20"/>
          <w:szCs w:val="20"/>
          <w:lang w:val="en-GB"/>
        </w:rPr>
      </w:pPr>
    </w:p>
    <w:p w14:paraId="56041BCE" w14:textId="77777777" w:rsidR="009B6D25" w:rsidRDefault="00802098" w:rsidP="00802098">
      <w:pPr>
        <w:pStyle w:val="ListParagraph"/>
        <w:numPr>
          <w:ilvl w:val="0"/>
          <w:numId w:val="2"/>
        </w:numPr>
        <w:rPr>
          <w:sz w:val="20"/>
          <w:szCs w:val="20"/>
          <w:lang w:val="en-GB"/>
        </w:rPr>
      </w:pPr>
      <w:r>
        <w:rPr>
          <w:sz w:val="20"/>
          <w:szCs w:val="20"/>
          <w:lang w:val="en-GB"/>
        </w:rPr>
        <w:t>Paragraph</w:t>
      </w:r>
      <w:r w:rsidR="00680A10">
        <w:rPr>
          <w:sz w:val="20"/>
          <w:szCs w:val="20"/>
          <w:lang w:val="en-GB"/>
        </w:rPr>
        <w:t>s 62 and</w:t>
      </w:r>
      <w:r>
        <w:rPr>
          <w:sz w:val="20"/>
          <w:szCs w:val="20"/>
          <w:lang w:val="en-GB"/>
        </w:rPr>
        <w:t xml:space="preserve"> 83: </w:t>
      </w:r>
      <w:r w:rsidR="009B6D25" w:rsidRPr="00802098">
        <w:rPr>
          <w:sz w:val="20"/>
          <w:szCs w:val="20"/>
          <w:lang w:val="en-GB"/>
        </w:rPr>
        <w:t>Correction of mistyping.</w:t>
      </w:r>
    </w:p>
    <w:p w14:paraId="76AB7F6E" w14:textId="77777777" w:rsidR="0077322B" w:rsidRDefault="0077322B" w:rsidP="00802098">
      <w:pPr>
        <w:pStyle w:val="ListParagraph"/>
        <w:numPr>
          <w:ilvl w:val="0"/>
          <w:numId w:val="2"/>
        </w:numPr>
        <w:rPr>
          <w:sz w:val="20"/>
          <w:szCs w:val="20"/>
          <w:lang w:val="en-GB"/>
        </w:rPr>
      </w:pPr>
      <w:r>
        <w:rPr>
          <w:sz w:val="20"/>
          <w:szCs w:val="20"/>
          <w:lang w:val="en-GB"/>
        </w:rPr>
        <w:t>Paragraph 72: Correction of reference and punctuation.</w:t>
      </w:r>
    </w:p>
    <w:p w14:paraId="2C4497BF" w14:textId="77777777" w:rsidR="00802098" w:rsidRPr="00802098" w:rsidRDefault="00802098" w:rsidP="00802098">
      <w:pPr>
        <w:pStyle w:val="ListParagraph"/>
        <w:numPr>
          <w:ilvl w:val="0"/>
          <w:numId w:val="2"/>
        </w:numPr>
        <w:rPr>
          <w:sz w:val="20"/>
          <w:szCs w:val="20"/>
          <w:lang w:val="en-GB"/>
        </w:rPr>
      </w:pPr>
      <w:r>
        <w:rPr>
          <w:sz w:val="20"/>
          <w:szCs w:val="20"/>
          <w:lang w:val="en-GB"/>
        </w:rPr>
        <w:t>Paragraph 84: Change introduced for clarification</w:t>
      </w:r>
      <w:r w:rsidR="000E73A2">
        <w:rPr>
          <w:sz w:val="20"/>
          <w:szCs w:val="20"/>
          <w:lang w:val="en-GB"/>
        </w:rPr>
        <w:t xml:space="preserve"> (missed wording)</w:t>
      </w:r>
      <w:r w:rsidR="0092691E">
        <w:rPr>
          <w:sz w:val="20"/>
          <w:szCs w:val="20"/>
          <w:lang w:val="en-GB"/>
        </w:rPr>
        <w:t>.</w:t>
      </w:r>
    </w:p>
    <w:p w14:paraId="5E7E4CBB" w14:textId="77777777" w:rsidR="00802098" w:rsidRDefault="00802098" w:rsidP="000D4420">
      <w:pPr>
        <w:rPr>
          <w:sz w:val="20"/>
          <w:szCs w:val="20"/>
          <w:lang w:val="en-GB"/>
        </w:rPr>
      </w:pPr>
    </w:p>
    <w:p w14:paraId="2E5293AD" w14:textId="77777777" w:rsidR="00802098" w:rsidRPr="009B6D25" w:rsidRDefault="00802098" w:rsidP="000D4420">
      <w:pPr>
        <w:rPr>
          <w:sz w:val="20"/>
          <w:szCs w:val="20"/>
          <w:lang w:val="en-GB"/>
        </w:rPr>
      </w:pPr>
    </w:p>
    <w:p w14:paraId="30F82359" w14:textId="77777777" w:rsidR="009B6D25" w:rsidRPr="009B6D25" w:rsidRDefault="009B6D25" w:rsidP="000D4420">
      <w:pPr>
        <w:rPr>
          <w:sz w:val="20"/>
          <w:szCs w:val="20"/>
          <w:lang w:val="en-GB"/>
        </w:rPr>
      </w:pPr>
    </w:p>
    <w:p w14:paraId="3A70DC75" w14:textId="77777777" w:rsidR="009B6D25" w:rsidRPr="009B6D25" w:rsidRDefault="009B6D25" w:rsidP="000D4420">
      <w:pPr>
        <w:rPr>
          <w:sz w:val="20"/>
          <w:szCs w:val="20"/>
          <w:lang w:val="en-GB"/>
        </w:rPr>
      </w:pPr>
    </w:p>
    <w:p w14:paraId="16C64727" w14:textId="77777777" w:rsidR="009B6D25" w:rsidRPr="009B6D25" w:rsidRDefault="009B6D25" w:rsidP="000D4420">
      <w:pPr>
        <w:rPr>
          <w:sz w:val="20"/>
          <w:szCs w:val="20"/>
          <w:lang w:val="en-GB"/>
        </w:rPr>
      </w:pPr>
    </w:p>
    <w:p w14:paraId="4FA4640E" w14:textId="77777777" w:rsidR="00845E0A" w:rsidRPr="00941A95" w:rsidRDefault="009B6D25" w:rsidP="009B6D25">
      <w:pPr>
        <w:jc w:val="center"/>
        <w:rPr>
          <w:sz w:val="16"/>
          <w:szCs w:val="16"/>
          <w:lang w:val="en-GB"/>
        </w:rPr>
      </w:pPr>
      <w:r>
        <w:rPr>
          <w:sz w:val="16"/>
          <w:szCs w:val="16"/>
          <w:lang w:val="en-GB"/>
        </w:rPr>
        <w:t>_______________</w:t>
      </w:r>
    </w:p>
    <w:sectPr w:rsidR="00845E0A" w:rsidRPr="00941A95" w:rsidSect="00941A95">
      <w:type w:val="continuous"/>
      <w:pgSz w:w="11906" w:h="16838"/>
      <w:pgMar w:top="993" w:right="127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7B59" w14:textId="77777777" w:rsidR="00B177C0" w:rsidRDefault="00B177C0" w:rsidP="00BB1F09">
      <w:r>
        <w:separator/>
      </w:r>
    </w:p>
  </w:endnote>
  <w:endnote w:type="continuationSeparator" w:id="0">
    <w:p w14:paraId="05482C84" w14:textId="77777777" w:rsidR="00B177C0" w:rsidRDefault="00B177C0" w:rsidP="00BB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FB44" w14:textId="77777777" w:rsidR="00B177C0" w:rsidRDefault="00B177C0" w:rsidP="00BB1F09">
      <w:r>
        <w:separator/>
      </w:r>
    </w:p>
  </w:footnote>
  <w:footnote w:type="continuationSeparator" w:id="0">
    <w:p w14:paraId="3ADDFEDD" w14:textId="77777777" w:rsidR="00B177C0" w:rsidRDefault="00B177C0" w:rsidP="00BB1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7F7F"/>
    <w:multiLevelType w:val="hybridMultilevel"/>
    <w:tmpl w:val="BD3E6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063207"/>
    <w:multiLevelType w:val="hybridMultilevel"/>
    <w:tmpl w:val="E9526ADE"/>
    <w:lvl w:ilvl="0" w:tplc="07246D4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A5461E"/>
    <w:multiLevelType w:val="hybridMultilevel"/>
    <w:tmpl w:val="B1C46148"/>
    <w:lvl w:ilvl="0" w:tplc="B8B0EB0C">
      <w:start w:val="1"/>
      <w:numFmt w:val="upperRoman"/>
      <w:lvlText w:val="%1."/>
      <w:lvlJc w:val="left"/>
      <w:pPr>
        <w:ind w:left="1210" w:hanging="8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20"/>
    <w:rsid w:val="000021E2"/>
    <w:rsid w:val="000272EF"/>
    <w:rsid w:val="00075BF6"/>
    <w:rsid w:val="00076006"/>
    <w:rsid w:val="000963A2"/>
    <w:rsid w:val="000A25E8"/>
    <w:rsid w:val="000D4420"/>
    <w:rsid w:val="000E73A2"/>
    <w:rsid w:val="00104782"/>
    <w:rsid w:val="00132337"/>
    <w:rsid w:val="00132A91"/>
    <w:rsid w:val="00136DDE"/>
    <w:rsid w:val="0014328D"/>
    <w:rsid w:val="00187744"/>
    <w:rsid w:val="00194C6B"/>
    <w:rsid w:val="00200781"/>
    <w:rsid w:val="00227D20"/>
    <w:rsid w:val="00243DAC"/>
    <w:rsid w:val="00281196"/>
    <w:rsid w:val="00286B78"/>
    <w:rsid w:val="002A78DD"/>
    <w:rsid w:val="002D3400"/>
    <w:rsid w:val="00310032"/>
    <w:rsid w:val="0032147A"/>
    <w:rsid w:val="00337D83"/>
    <w:rsid w:val="00357D25"/>
    <w:rsid w:val="00365237"/>
    <w:rsid w:val="003C2FD9"/>
    <w:rsid w:val="003D10E7"/>
    <w:rsid w:val="003D587C"/>
    <w:rsid w:val="00402F15"/>
    <w:rsid w:val="00460EC5"/>
    <w:rsid w:val="00493933"/>
    <w:rsid w:val="004A058C"/>
    <w:rsid w:val="004B237E"/>
    <w:rsid w:val="004E5363"/>
    <w:rsid w:val="00542CC2"/>
    <w:rsid w:val="005461A2"/>
    <w:rsid w:val="00550E8D"/>
    <w:rsid w:val="00574656"/>
    <w:rsid w:val="00577C14"/>
    <w:rsid w:val="005A1BCE"/>
    <w:rsid w:val="005B6806"/>
    <w:rsid w:val="005C3606"/>
    <w:rsid w:val="005D661B"/>
    <w:rsid w:val="00602EEA"/>
    <w:rsid w:val="00627F0A"/>
    <w:rsid w:val="00636F61"/>
    <w:rsid w:val="0067770F"/>
    <w:rsid w:val="00680A10"/>
    <w:rsid w:val="00702854"/>
    <w:rsid w:val="00744867"/>
    <w:rsid w:val="0077322B"/>
    <w:rsid w:val="007B074A"/>
    <w:rsid w:val="007B4C3C"/>
    <w:rsid w:val="007C25CF"/>
    <w:rsid w:val="007C3CA6"/>
    <w:rsid w:val="00802098"/>
    <w:rsid w:val="00806629"/>
    <w:rsid w:val="00845E0A"/>
    <w:rsid w:val="008874D4"/>
    <w:rsid w:val="008A7FEA"/>
    <w:rsid w:val="008E702A"/>
    <w:rsid w:val="008F47BD"/>
    <w:rsid w:val="009109DE"/>
    <w:rsid w:val="009250BB"/>
    <w:rsid w:val="0092691E"/>
    <w:rsid w:val="009332C3"/>
    <w:rsid w:val="00941A95"/>
    <w:rsid w:val="00944FD9"/>
    <w:rsid w:val="0095040D"/>
    <w:rsid w:val="009505B9"/>
    <w:rsid w:val="009535BC"/>
    <w:rsid w:val="009663D2"/>
    <w:rsid w:val="00990C36"/>
    <w:rsid w:val="009B6D25"/>
    <w:rsid w:val="00A14528"/>
    <w:rsid w:val="00A25781"/>
    <w:rsid w:val="00A73B55"/>
    <w:rsid w:val="00A7537A"/>
    <w:rsid w:val="00A77CDB"/>
    <w:rsid w:val="00AC2251"/>
    <w:rsid w:val="00AF5C13"/>
    <w:rsid w:val="00B07360"/>
    <w:rsid w:val="00B177C0"/>
    <w:rsid w:val="00B415DE"/>
    <w:rsid w:val="00B5174D"/>
    <w:rsid w:val="00B805A7"/>
    <w:rsid w:val="00BB1F09"/>
    <w:rsid w:val="00BC2915"/>
    <w:rsid w:val="00BD6FC9"/>
    <w:rsid w:val="00BE7160"/>
    <w:rsid w:val="00BF358A"/>
    <w:rsid w:val="00BF58B6"/>
    <w:rsid w:val="00C0178E"/>
    <w:rsid w:val="00C606A5"/>
    <w:rsid w:val="00C71D18"/>
    <w:rsid w:val="00CA0328"/>
    <w:rsid w:val="00CC7004"/>
    <w:rsid w:val="00D05763"/>
    <w:rsid w:val="00D12CC6"/>
    <w:rsid w:val="00D46825"/>
    <w:rsid w:val="00D62C86"/>
    <w:rsid w:val="00DA002E"/>
    <w:rsid w:val="00DC7EBC"/>
    <w:rsid w:val="00DD2FCF"/>
    <w:rsid w:val="00DD3348"/>
    <w:rsid w:val="00DE1722"/>
    <w:rsid w:val="00DF0604"/>
    <w:rsid w:val="00E01E4C"/>
    <w:rsid w:val="00E321CA"/>
    <w:rsid w:val="00E32D46"/>
    <w:rsid w:val="00EB7207"/>
    <w:rsid w:val="00EB77C0"/>
    <w:rsid w:val="00EC5974"/>
    <w:rsid w:val="00EF5AE5"/>
    <w:rsid w:val="00F2289C"/>
    <w:rsid w:val="00F45C99"/>
    <w:rsid w:val="00F63B12"/>
    <w:rsid w:val="00F67BF3"/>
    <w:rsid w:val="00FA3773"/>
    <w:rsid w:val="00FF42ED"/>
    <w:rsid w:val="00FF61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C7BE73"/>
  <w15:chartTrackingRefBased/>
  <w15:docId w15:val="{1A2D4969-8F6C-4531-ACFB-94AAA01E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21E2"/>
    <w:rPr>
      <w:rFonts w:ascii="Tahoma" w:hAnsi="Tahoma" w:cs="Tahoma"/>
      <w:sz w:val="16"/>
      <w:szCs w:val="16"/>
    </w:rPr>
  </w:style>
  <w:style w:type="character" w:customStyle="1" w:styleId="BalloonTextChar">
    <w:name w:val="Balloon Text Char"/>
    <w:link w:val="BalloonText"/>
    <w:rsid w:val="000021E2"/>
    <w:rPr>
      <w:rFonts w:ascii="Tahoma" w:hAnsi="Tahoma" w:cs="Tahoma"/>
      <w:sz w:val="16"/>
      <w:szCs w:val="16"/>
    </w:rPr>
  </w:style>
  <w:style w:type="paragraph" w:customStyle="1" w:styleId="Default">
    <w:name w:val="Default"/>
    <w:rsid w:val="00BB1F09"/>
    <w:pPr>
      <w:autoSpaceDE w:val="0"/>
      <w:autoSpaceDN w:val="0"/>
      <w:adjustRightInd w:val="0"/>
    </w:pPr>
    <w:rPr>
      <w:color w:val="000000"/>
      <w:sz w:val="24"/>
      <w:szCs w:val="24"/>
      <w:lang w:val="de-DE" w:eastAsia="de-DE"/>
    </w:rPr>
  </w:style>
  <w:style w:type="paragraph" w:styleId="FootnoteText">
    <w:name w:val="footnote text"/>
    <w:basedOn w:val="Normal"/>
    <w:link w:val="FootnoteTextChar"/>
    <w:rsid w:val="00BB1F09"/>
    <w:rPr>
      <w:sz w:val="20"/>
      <w:szCs w:val="20"/>
    </w:rPr>
  </w:style>
  <w:style w:type="character" w:customStyle="1" w:styleId="FootnoteTextChar">
    <w:name w:val="Footnote Text Char"/>
    <w:basedOn w:val="DefaultParagraphFont"/>
    <w:link w:val="FootnoteText"/>
    <w:rsid w:val="00BB1F09"/>
  </w:style>
  <w:style w:type="character" w:styleId="FootnoteReference">
    <w:name w:val="footnote reference"/>
    <w:rsid w:val="00941A95"/>
    <w:rPr>
      <w:sz w:val="20"/>
      <w:szCs w:val="20"/>
      <w:vertAlign w:val="superscript"/>
      <w:lang w:val="en-GB"/>
    </w:rPr>
  </w:style>
  <w:style w:type="paragraph" w:styleId="PlainText">
    <w:name w:val="Plain Text"/>
    <w:basedOn w:val="Normal"/>
    <w:link w:val="PlainTextChar"/>
    <w:uiPriority w:val="99"/>
    <w:unhideWhenUsed/>
    <w:rsid w:val="00845E0A"/>
    <w:rPr>
      <w:rFonts w:ascii="Calibri" w:eastAsia="Calibri" w:hAnsi="Calibri"/>
      <w:sz w:val="22"/>
      <w:szCs w:val="21"/>
      <w:lang w:eastAsia="en-US"/>
    </w:rPr>
  </w:style>
  <w:style w:type="character" w:customStyle="1" w:styleId="PlainTextChar">
    <w:name w:val="Plain Text Char"/>
    <w:link w:val="PlainText"/>
    <w:uiPriority w:val="99"/>
    <w:rsid w:val="00845E0A"/>
    <w:rPr>
      <w:rFonts w:ascii="Calibri" w:eastAsia="Calibri" w:hAnsi="Calibri"/>
      <w:sz w:val="22"/>
      <w:szCs w:val="21"/>
      <w:lang w:eastAsia="en-US"/>
    </w:rPr>
  </w:style>
  <w:style w:type="paragraph" w:customStyle="1" w:styleId="SingleTxtGI">
    <w:name w:val="_Single Txt_G_I"/>
    <w:basedOn w:val="Normal"/>
    <w:qFormat/>
    <w:rsid w:val="00D46825"/>
    <w:pPr>
      <w:suppressAutoHyphens/>
      <w:spacing w:after="120" w:line="240" w:lineRule="atLeast"/>
      <w:ind w:left="1134" w:right="1588"/>
      <w:jc w:val="both"/>
    </w:pPr>
    <w:rPr>
      <w:rFonts w:eastAsiaTheme="minorEastAsia"/>
      <w:sz w:val="20"/>
      <w:szCs w:val="20"/>
      <w:lang w:val="en-GB" w:eastAsia="en-US"/>
    </w:rPr>
  </w:style>
  <w:style w:type="paragraph" w:styleId="ListParagraph">
    <w:name w:val="List Paragraph"/>
    <w:basedOn w:val="Normal"/>
    <w:uiPriority w:val="34"/>
    <w:qFormat/>
    <w:rsid w:val="00D4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2805-EA56-4AA4-8E0A-59366AEF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3013</Characters>
  <Application>Microsoft Office Word</Application>
  <DocSecurity>4</DocSecurity>
  <Lines>111</Lines>
  <Paragraphs>47</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Titel</vt:lpstr>
      </vt:variant>
      <vt:variant>
        <vt:i4>1</vt:i4>
      </vt:variant>
    </vt:vector>
  </HeadingPairs>
  <TitlesOfParts>
    <vt:vector size="4" baseType="lpstr">
      <vt:lpstr/>
      <vt:lpstr/>
      <vt:lpstr/>
      <vt:lpstr/>
    </vt:vector>
  </TitlesOfParts>
  <Company>MyCompany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Schüttler, Bernd</dc:creator>
  <cp:keywords/>
  <cp:lastModifiedBy>Konstantin Glukhenkiy</cp:lastModifiedBy>
  <cp:revision>2</cp:revision>
  <cp:lastPrinted>2019-07-15T11:07:00Z</cp:lastPrinted>
  <dcterms:created xsi:type="dcterms:W3CDTF">2019-09-11T07:06:00Z</dcterms:created>
  <dcterms:modified xsi:type="dcterms:W3CDTF">2019-09-11T07:06:00Z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2019-07-15T14:17:32.6675161+02:00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ies>
</file>