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9183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91832" w:rsidP="00F91832">
            <w:pPr>
              <w:jc w:val="right"/>
            </w:pPr>
            <w:r w:rsidRPr="00F91832">
              <w:rPr>
                <w:sz w:val="40"/>
              </w:rPr>
              <w:t>ECE</w:t>
            </w:r>
            <w:r>
              <w:t>/TRANS/WP.29/GRBP/2019/26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91832" w:rsidP="00C97039">
            <w:pPr>
              <w:spacing w:before="240"/>
            </w:pPr>
            <w:r>
              <w:t>Distr. générale</w:t>
            </w:r>
          </w:p>
          <w:p w:rsidR="00F91832" w:rsidRDefault="00F91832" w:rsidP="00F91832">
            <w:pPr>
              <w:spacing w:line="240" w:lineRule="exact"/>
            </w:pPr>
            <w:r>
              <w:t>27 juin 2019</w:t>
            </w:r>
          </w:p>
          <w:p w:rsidR="00F91832" w:rsidRDefault="00F91832" w:rsidP="00F91832">
            <w:pPr>
              <w:spacing w:line="240" w:lineRule="exact"/>
            </w:pPr>
            <w:r>
              <w:t>Français</w:t>
            </w:r>
          </w:p>
          <w:p w:rsidR="00F91832" w:rsidRPr="00DB58B5" w:rsidRDefault="00F91832" w:rsidP="00F9183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541FC8" w:rsidRPr="00116E84" w:rsidRDefault="00DF4E47" w:rsidP="00F91832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</w:rPr>
      </w:pPr>
      <w:r w:rsidRPr="00116E84">
        <w:rPr>
          <w:rFonts w:eastAsia="Times New Roman"/>
          <w:b/>
          <w:sz w:val="24"/>
          <w:szCs w:val="24"/>
        </w:rPr>
        <w:t xml:space="preserve">Forum mondial de l’harmonisation </w:t>
      </w:r>
      <w:r w:rsidR="00116E84" w:rsidRPr="00116E84">
        <w:rPr>
          <w:rFonts w:eastAsia="Times New Roman"/>
          <w:b/>
          <w:sz w:val="24"/>
          <w:szCs w:val="24"/>
        </w:rPr>
        <w:br/>
      </w:r>
      <w:r w:rsidRPr="00116E84">
        <w:rPr>
          <w:rFonts w:eastAsia="Times New Roman"/>
          <w:b/>
          <w:sz w:val="24"/>
          <w:szCs w:val="24"/>
        </w:rPr>
        <w:t>des Règlements concernant les véhicules</w:t>
      </w:r>
    </w:p>
    <w:p w:rsidR="00541FC8" w:rsidRPr="00B47AB2" w:rsidRDefault="00DF4E47" w:rsidP="00F91832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bCs/>
        </w:rPr>
      </w:pPr>
      <w:bookmarkStart w:id="0" w:name="_Hlk518466992"/>
      <w:r w:rsidRPr="00B47AB2">
        <w:rPr>
          <w:rFonts w:eastAsia="Times New Roman"/>
          <w:b/>
          <w:bCs/>
        </w:rPr>
        <w:t>Groupe de travail du bruit</w:t>
      </w:r>
      <w:bookmarkEnd w:id="0"/>
      <w:r w:rsidRPr="00B47AB2">
        <w:rPr>
          <w:rFonts w:eastAsia="Times New Roman"/>
          <w:b/>
          <w:bCs/>
        </w:rPr>
        <w:t xml:space="preserve"> et des pneumatiques</w:t>
      </w:r>
    </w:p>
    <w:p w:rsidR="00541FC8" w:rsidRPr="00B47AB2" w:rsidRDefault="00DF4E47" w:rsidP="00F91832">
      <w:pPr>
        <w:kinsoku/>
        <w:overflowPunct/>
        <w:autoSpaceDE/>
        <w:autoSpaceDN/>
        <w:adjustRightInd/>
        <w:snapToGrid/>
        <w:spacing w:before="120"/>
        <w:jc w:val="both"/>
        <w:rPr>
          <w:rFonts w:eastAsia="Times New Roman"/>
          <w:b/>
        </w:rPr>
      </w:pPr>
      <w:r w:rsidRPr="00B47AB2">
        <w:rPr>
          <w:rFonts w:eastAsia="Times New Roman"/>
          <w:b/>
        </w:rPr>
        <w:t>Soixante-dixième session</w:t>
      </w:r>
    </w:p>
    <w:p w:rsidR="00541FC8" w:rsidRPr="00B47AB2" w:rsidRDefault="00DF4E47" w:rsidP="00F91832">
      <w:pPr>
        <w:kinsoku/>
        <w:overflowPunct/>
        <w:autoSpaceDE/>
        <w:autoSpaceDN/>
        <w:adjustRightInd/>
        <w:snapToGrid/>
        <w:spacing w:line="0" w:lineRule="atLeast"/>
        <w:rPr>
          <w:rFonts w:eastAsia="Times New Roman"/>
        </w:rPr>
      </w:pPr>
      <w:r w:rsidRPr="00B47AB2">
        <w:rPr>
          <w:rFonts w:eastAsia="Times New Roman"/>
        </w:rPr>
        <w:t>Genève, 11-13 septembre 2019</w:t>
      </w:r>
    </w:p>
    <w:p w:rsidR="00541FC8" w:rsidRPr="00640809" w:rsidRDefault="00DF4E47" w:rsidP="00F91832">
      <w:pPr>
        <w:kinsoku/>
        <w:overflowPunct/>
        <w:autoSpaceDE/>
        <w:autoSpaceDN/>
        <w:adjustRightInd/>
        <w:snapToGrid/>
        <w:jc w:val="both"/>
        <w:rPr>
          <w:rFonts w:eastAsia="Times New Roman"/>
        </w:rPr>
      </w:pPr>
      <w:bookmarkStart w:id="1" w:name="_Hlk518910264"/>
      <w:r w:rsidRPr="00640809">
        <w:rPr>
          <w:rFonts w:eastAsia="Times New Roman"/>
        </w:rPr>
        <w:t>Point 14 de l’ordre du jour provisoire</w:t>
      </w:r>
    </w:p>
    <w:p w:rsidR="00541FC8" w:rsidRPr="00B47AB2" w:rsidRDefault="00DF4E47" w:rsidP="00F91832">
      <w:pPr>
        <w:kinsoku/>
        <w:overflowPunct/>
        <w:autoSpaceDE/>
        <w:autoSpaceDN/>
        <w:adjustRightInd/>
        <w:snapToGrid/>
        <w:jc w:val="both"/>
        <w:rPr>
          <w:rFonts w:eastAsia="Times New Roman"/>
          <w:b/>
        </w:rPr>
      </w:pPr>
      <w:r w:rsidRPr="00B47AB2">
        <w:rPr>
          <w:rFonts w:eastAsia="Times New Roman"/>
          <w:b/>
        </w:rPr>
        <w:t>Questions diverses</w:t>
      </w:r>
    </w:p>
    <w:bookmarkEnd w:id="1"/>
    <w:p w:rsidR="00541FC8" w:rsidRPr="00F91832" w:rsidRDefault="00F91832" w:rsidP="00F9183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DF4E47" w:rsidRPr="00F91832">
        <w:rPr>
          <w:lang w:val="fr-FR"/>
        </w:rPr>
        <w:t>Proposition de complément au Règlement ONU n</w:t>
      </w:r>
      <w:r w:rsidR="00DF4E47" w:rsidRPr="00F9183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DF4E47" w:rsidRPr="00F91832">
        <w:rPr>
          <w:lang w:val="fr-FR"/>
        </w:rPr>
        <w:t>28 (Avertisseurs sonores)</w:t>
      </w:r>
    </w:p>
    <w:p w:rsidR="00541FC8" w:rsidRPr="00F91832" w:rsidRDefault="00F91832" w:rsidP="00F91832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DF4E47" w:rsidRPr="00F91832">
        <w:rPr>
          <w:lang w:val="fr-FR"/>
        </w:rPr>
        <w:t>Communication des experts de la France</w:t>
      </w:r>
      <w:r w:rsidR="001A13EA" w:rsidRPr="001A13EA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541FC8" w:rsidRDefault="00DF4E47" w:rsidP="00F91832">
      <w:pPr>
        <w:pStyle w:val="SingleTxtG"/>
        <w:ind w:firstLine="567"/>
        <w:rPr>
          <w:lang w:val="fr-FR"/>
        </w:rPr>
      </w:pPr>
      <w:r w:rsidRPr="00F91832">
        <w:rPr>
          <w:lang w:val="fr-FR"/>
        </w:rPr>
        <w:t>Le texte ci-après, établi par les experts de la France, vise à proposer un amendement au Règlement ONU n</w:t>
      </w:r>
      <w:r w:rsidRPr="00F91832">
        <w:rPr>
          <w:vertAlign w:val="superscript"/>
          <w:lang w:val="fr-FR"/>
        </w:rPr>
        <w:t>o</w:t>
      </w:r>
      <w:r w:rsidR="001A13EA">
        <w:rPr>
          <w:lang w:val="fr-FR"/>
        </w:rPr>
        <w:t> </w:t>
      </w:r>
      <w:r w:rsidRPr="00F91832">
        <w:rPr>
          <w:lang w:val="fr-FR"/>
        </w:rPr>
        <w:t>28. Les modifications qu’il est proposé d’apporter au texte actuel du Règlement figurent en caractères gras pour les ajouts et biffés pour les suppressions.</w:t>
      </w:r>
    </w:p>
    <w:p w:rsidR="00541FC8" w:rsidRPr="00F91832" w:rsidRDefault="001A13EA" w:rsidP="001A13EA">
      <w:pPr>
        <w:pStyle w:val="HChG"/>
      </w:pPr>
      <w:r>
        <w:br w:type="page"/>
      </w:r>
      <w:r w:rsidR="00F91832">
        <w:lastRenderedPageBreak/>
        <w:tab/>
      </w:r>
      <w:r w:rsidR="00DF4E47" w:rsidRPr="00F91832">
        <w:t>I.</w:t>
      </w:r>
      <w:r w:rsidR="00DF4E47" w:rsidRPr="00F91832">
        <w:tab/>
      </w:r>
      <w:r w:rsidR="00DF4E47" w:rsidRPr="00F91832">
        <w:rPr>
          <w:lang w:val="fr-FR"/>
        </w:rPr>
        <w:t>Proposition</w:t>
      </w:r>
    </w:p>
    <w:p w:rsidR="00541FC8" w:rsidRPr="00F91832" w:rsidRDefault="00DF4E47" w:rsidP="00F91832">
      <w:pPr>
        <w:pStyle w:val="SingleTxtG"/>
        <w:rPr>
          <w:i/>
        </w:rPr>
      </w:pPr>
      <w:r w:rsidRPr="00F91832">
        <w:rPr>
          <w:i/>
          <w:iCs/>
          <w:lang w:val="fr-FR"/>
        </w:rPr>
        <w:t xml:space="preserve">Paragraphe 2, « Définitions », </w:t>
      </w:r>
      <w:r w:rsidRPr="00F91832">
        <w:rPr>
          <w:lang w:val="fr-FR"/>
        </w:rPr>
        <w:t>lire</w:t>
      </w:r>
      <w:r w:rsidR="00F91832">
        <w:rPr>
          <w:lang w:val="fr-FR"/>
        </w:rPr>
        <w:t> </w:t>
      </w:r>
      <w:r w:rsidRPr="00F91832">
        <w:rPr>
          <w:lang w:val="fr-FR"/>
        </w:rPr>
        <w:t>:</w:t>
      </w:r>
    </w:p>
    <w:p w:rsidR="00541FC8" w:rsidRPr="00F91832" w:rsidRDefault="00DF4E47" w:rsidP="00F91832">
      <w:pPr>
        <w:pStyle w:val="SingleTxtG"/>
      </w:pPr>
      <w:r w:rsidRPr="00F91832">
        <w:rPr>
          <w:lang w:val="fr-FR"/>
        </w:rPr>
        <w:t>« </w:t>
      </w:r>
      <w:r>
        <w:rPr>
          <w:lang w:val="fr-FR"/>
        </w:rPr>
        <w:t>…</w:t>
      </w:r>
    </w:p>
    <w:p w:rsidR="00541FC8" w:rsidRPr="00F91832" w:rsidRDefault="00DF4E47" w:rsidP="00B47AB2">
      <w:pPr>
        <w:pStyle w:val="SingleTxtG"/>
        <w:ind w:left="2268" w:hanging="1134"/>
      </w:pPr>
      <w:r w:rsidRPr="00F91832">
        <w:rPr>
          <w:lang w:val="fr-FR"/>
        </w:rPr>
        <w:t>2.4</w:t>
      </w:r>
      <w:r w:rsidRPr="00F91832">
        <w:rPr>
          <w:lang w:val="fr-FR"/>
        </w:rPr>
        <w:tab/>
        <w:t>Principes de fonctionnement des avertisseurs sonores, des systèmes d’avertissement sonores et des systèmes d’avertissement sonores à sons multiples</w:t>
      </w:r>
      <w:r w:rsidR="00F91832">
        <w:rPr>
          <w:lang w:val="fr-FR"/>
        </w:rPr>
        <w:t> </w:t>
      </w:r>
      <w:r w:rsidRPr="00F91832">
        <w:rPr>
          <w:lang w:val="fr-FR"/>
        </w:rPr>
        <w:t>:</w:t>
      </w:r>
    </w:p>
    <w:p w:rsidR="00541FC8" w:rsidRPr="00F91832" w:rsidRDefault="00B47AB2" w:rsidP="00B47AB2">
      <w:pPr>
        <w:pStyle w:val="SingleTxtG"/>
        <w:ind w:left="2268" w:hanging="1134"/>
      </w:pPr>
      <w:r>
        <w:rPr>
          <w:lang w:val="fr-FR"/>
        </w:rPr>
        <w:t>2.4.1</w:t>
      </w:r>
      <w:r>
        <w:rPr>
          <w:lang w:val="fr-FR"/>
        </w:rPr>
        <w:tab/>
        <w:t>“</w:t>
      </w:r>
      <w:bookmarkStart w:id="2" w:name="_GoBack"/>
      <w:bookmarkEnd w:id="2"/>
      <w:r w:rsidR="00AF7C97">
        <w:rPr>
          <w:lang w:val="fr-FR"/>
        </w:rPr>
        <w:t>Pneumatique</w:t>
      </w:r>
      <w:r>
        <w:rPr>
          <w:lang w:val="fr-FR"/>
        </w:rPr>
        <w:t>”</w:t>
      </w:r>
      <w:r w:rsidR="00DF4E47" w:rsidRPr="00F91832">
        <w:rPr>
          <w:lang w:val="fr-FR"/>
        </w:rPr>
        <w:t>, à savoir par air comprimé provenant d’une source externe</w:t>
      </w:r>
      <w:r w:rsidR="00F91832">
        <w:rPr>
          <w:lang w:val="fr-FR"/>
        </w:rPr>
        <w:t> </w:t>
      </w:r>
      <w:r w:rsidR="00DF4E47" w:rsidRPr="00F91832">
        <w:rPr>
          <w:lang w:val="fr-FR"/>
        </w:rPr>
        <w:t>;</w:t>
      </w:r>
    </w:p>
    <w:p w:rsidR="00541FC8" w:rsidRPr="00F91832" w:rsidRDefault="00B47AB2" w:rsidP="00B47AB2">
      <w:pPr>
        <w:pStyle w:val="SingleTxtG"/>
        <w:ind w:left="2268" w:hanging="1134"/>
      </w:pPr>
      <w:r>
        <w:rPr>
          <w:lang w:val="fr-FR"/>
        </w:rPr>
        <w:t>2.4.2</w:t>
      </w:r>
      <w:r>
        <w:rPr>
          <w:lang w:val="fr-FR"/>
        </w:rPr>
        <w:tab/>
      </w:r>
      <w:r>
        <w:rPr>
          <w:lang w:val="fr-FR"/>
        </w:rPr>
        <w:t>“</w:t>
      </w:r>
      <w:r w:rsidR="00AF7C97">
        <w:rPr>
          <w:lang w:val="fr-FR"/>
        </w:rPr>
        <w:t>Électropneumatique</w:t>
      </w:r>
      <w:r>
        <w:rPr>
          <w:lang w:val="fr-FR"/>
        </w:rPr>
        <w:t>”</w:t>
      </w:r>
      <w:r w:rsidR="00DF4E47" w:rsidRPr="00F91832">
        <w:rPr>
          <w:lang w:val="fr-FR"/>
        </w:rPr>
        <w:t>, à savoir par air comprimé à partir d’une source commandée électriquement (courant continu ou alternatif)</w:t>
      </w:r>
      <w:r w:rsidR="00F91832">
        <w:rPr>
          <w:lang w:val="fr-FR"/>
        </w:rPr>
        <w:t> </w:t>
      </w:r>
      <w:r w:rsidR="00DF4E47" w:rsidRPr="00F91832">
        <w:rPr>
          <w:lang w:val="fr-FR"/>
        </w:rPr>
        <w:t>;</w:t>
      </w:r>
    </w:p>
    <w:p w:rsidR="00541FC8" w:rsidRPr="00F91832" w:rsidRDefault="00DF4E47" w:rsidP="00B47AB2">
      <w:pPr>
        <w:pStyle w:val="SingleTxtG"/>
        <w:ind w:left="2268" w:hanging="1134"/>
      </w:pPr>
      <w:r w:rsidRPr="00F91832">
        <w:rPr>
          <w:lang w:val="fr-FR"/>
        </w:rPr>
        <w:t>2.4.3</w:t>
      </w:r>
      <w:r w:rsidRPr="00F91832">
        <w:rPr>
          <w:lang w:val="fr-FR"/>
        </w:rPr>
        <w:tab/>
      </w:r>
      <w:r w:rsidR="00B47AB2">
        <w:rPr>
          <w:lang w:val="fr-FR"/>
        </w:rPr>
        <w:t>“</w:t>
      </w:r>
      <w:r w:rsidRPr="00F91832">
        <w:rPr>
          <w:lang w:val="fr-FR"/>
        </w:rPr>
        <w:t>Électr</w:t>
      </w:r>
      <w:r w:rsidR="00AF7C97">
        <w:rPr>
          <w:lang w:val="fr-FR"/>
        </w:rPr>
        <w:t>omagnétique à disque résonateur</w:t>
      </w:r>
      <w:r w:rsidR="00B47AB2">
        <w:rPr>
          <w:lang w:val="fr-FR"/>
        </w:rPr>
        <w:t>”</w:t>
      </w:r>
      <w:r w:rsidRPr="00F91832">
        <w:rPr>
          <w:lang w:val="fr-FR"/>
        </w:rPr>
        <w:t>, à savoir par une force électromagnétique amplifiée par un disque résonateur</w:t>
      </w:r>
      <w:r w:rsidR="00F91832">
        <w:rPr>
          <w:lang w:val="fr-FR"/>
        </w:rPr>
        <w:t> </w:t>
      </w:r>
      <w:r w:rsidRPr="00F91832">
        <w:rPr>
          <w:lang w:val="fr-FR"/>
        </w:rPr>
        <w:t>;</w:t>
      </w:r>
    </w:p>
    <w:p w:rsidR="00541FC8" w:rsidRPr="00F91832" w:rsidRDefault="00DF4E47" w:rsidP="00B47AB2">
      <w:pPr>
        <w:pStyle w:val="SingleTxtG"/>
        <w:ind w:left="2268" w:hanging="1134"/>
      </w:pPr>
      <w:r w:rsidRPr="00F91832">
        <w:rPr>
          <w:lang w:val="fr-FR"/>
        </w:rPr>
        <w:t>2.4.4</w:t>
      </w:r>
      <w:r w:rsidRPr="00F91832">
        <w:rPr>
          <w:lang w:val="fr-FR"/>
        </w:rPr>
        <w:tab/>
      </w:r>
      <w:r w:rsidR="00B47AB2">
        <w:rPr>
          <w:lang w:val="fr-FR"/>
        </w:rPr>
        <w:t>“</w:t>
      </w:r>
      <w:r w:rsidR="00AF7C97">
        <w:rPr>
          <w:lang w:val="fr-FR"/>
        </w:rPr>
        <w:t>Électromagnétique à trompe</w:t>
      </w:r>
      <w:r w:rsidR="00B47AB2">
        <w:rPr>
          <w:lang w:val="fr-FR"/>
        </w:rPr>
        <w:t>”</w:t>
      </w:r>
      <w:r w:rsidRPr="00F91832">
        <w:rPr>
          <w:lang w:val="fr-FR"/>
        </w:rPr>
        <w:t>, à savoir par une force électromagnétique amplifiée par une trompe</w:t>
      </w:r>
      <w:r w:rsidR="00F91832">
        <w:rPr>
          <w:lang w:val="fr-FR"/>
        </w:rPr>
        <w:t> </w:t>
      </w:r>
      <w:r w:rsidRPr="00F91832">
        <w:rPr>
          <w:lang w:val="fr-FR"/>
        </w:rPr>
        <w:t>;</w:t>
      </w:r>
    </w:p>
    <w:p w:rsidR="00541FC8" w:rsidRPr="00F91832" w:rsidRDefault="00DF4E47" w:rsidP="00B47AB2">
      <w:pPr>
        <w:pStyle w:val="SingleTxtG"/>
        <w:ind w:left="2268" w:hanging="1134"/>
        <w:rPr>
          <w:b/>
        </w:rPr>
      </w:pPr>
      <w:r w:rsidRPr="00F91832">
        <w:rPr>
          <w:b/>
          <w:lang w:val="fr-FR"/>
        </w:rPr>
        <w:t>2.4.5</w:t>
      </w:r>
      <w:r w:rsidRPr="00F91832">
        <w:rPr>
          <w:lang w:val="fr-FR"/>
        </w:rPr>
        <w:tab/>
      </w:r>
      <w:r w:rsidR="00B47AB2" w:rsidRPr="00B47AB2">
        <w:rPr>
          <w:b/>
          <w:lang w:val="fr-FR"/>
        </w:rPr>
        <w:t>“</w:t>
      </w:r>
      <w:r w:rsidRPr="00F91832">
        <w:rPr>
          <w:b/>
          <w:bCs/>
          <w:lang w:val="fr-FR"/>
        </w:rPr>
        <w:t>Électronique</w:t>
      </w:r>
      <w:r w:rsidR="00B47AB2">
        <w:rPr>
          <w:lang w:val="fr-FR"/>
        </w:rPr>
        <w:t>”</w:t>
      </w:r>
      <w:r w:rsidRPr="00F91832">
        <w:rPr>
          <w:b/>
          <w:bCs/>
          <w:lang w:val="fr-FR"/>
        </w:rPr>
        <w:t>, à savoir par une force électrique ou électromagnétique amplifiée par un haut-parleur ou un résonateur</w:t>
      </w:r>
      <w:r w:rsidR="00F91832">
        <w:rPr>
          <w:b/>
          <w:bCs/>
          <w:lang w:val="fr-FR"/>
        </w:rPr>
        <w:t> </w:t>
      </w:r>
      <w:r w:rsidRPr="00F91832">
        <w:rPr>
          <w:b/>
          <w:bCs/>
          <w:lang w:val="fr-FR"/>
        </w:rPr>
        <w:t>;</w:t>
      </w:r>
    </w:p>
    <w:p w:rsidR="00541FC8" w:rsidRPr="00F91832" w:rsidRDefault="00DF4E47" w:rsidP="00F91832">
      <w:pPr>
        <w:pStyle w:val="SingleTxtG"/>
        <w:rPr>
          <w:b/>
        </w:rPr>
      </w:pPr>
      <w:r w:rsidRPr="00B47AB2">
        <w:rPr>
          <w:b/>
          <w:lang w:val="fr-FR"/>
        </w:rPr>
        <w:t>… »</w:t>
      </w:r>
      <w:r w:rsidRPr="00F91832">
        <w:rPr>
          <w:lang w:val="fr-FR"/>
        </w:rPr>
        <w:t>.</w:t>
      </w:r>
    </w:p>
    <w:p w:rsidR="00541FC8" w:rsidRPr="00F91832" w:rsidRDefault="001A13EA" w:rsidP="001A13EA">
      <w:pPr>
        <w:pStyle w:val="HChG"/>
      </w:pPr>
      <w:r>
        <w:tab/>
      </w:r>
      <w:r w:rsidR="00DF4E47" w:rsidRPr="00F91832">
        <w:t>II.</w:t>
      </w:r>
      <w:r w:rsidR="00DF4E47" w:rsidRPr="00F91832">
        <w:tab/>
      </w:r>
      <w:r w:rsidR="00DF4E47" w:rsidRPr="00F91832">
        <w:rPr>
          <w:lang w:val="fr-FR"/>
        </w:rPr>
        <w:t>Justification</w:t>
      </w:r>
    </w:p>
    <w:p w:rsidR="00541FC8" w:rsidRPr="00F91832" w:rsidRDefault="00DF4E47" w:rsidP="00F91832">
      <w:pPr>
        <w:pStyle w:val="SingleTxtG"/>
      </w:pPr>
      <w:r w:rsidRPr="00F91832">
        <w:rPr>
          <w:lang w:val="fr-FR"/>
        </w:rPr>
        <w:t>1.</w:t>
      </w:r>
      <w:r w:rsidRPr="00F91832">
        <w:rPr>
          <w:lang w:val="fr-FR"/>
        </w:rPr>
        <w:tab/>
        <w:t>La présente proposition a pour objectif la prise en compte de nouvelles technologies permettant d’émettre un signal acoustique qui est destiné à avertir de la présence d’un véhicule dans une situation de circulation routière dangereuse et qui est actionné intentionnellement par le conducteur.</w:t>
      </w:r>
    </w:p>
    <w:p w:rsidR="00541FC8" w:rsidRPr="00F91832" w:rsidRDefault="00DF4E47" w:rsidP="00F91832">
      <w:pPr>
        <w:pStyle w:val="SingleTxtG"/>
      </w:pPr>
      <w:r w:rsidRPr="00F91832">
        <w:rPr>
          <w:lang w:val="fr-FR"/>
        </w:rPr>
        <w:t>2.</w:t>
      </w:r>
      <w:r w:rsidRPr="00F91832">
        <w:rPr>
          <w:lang w:val="fr-FR"/>
        </w:rPr>
        <w:tab/>
        <w:t>Il s’agit en particulier des avertisseurs piézoélectriques, par exemple des haut</w:t>
      </w:r>
      <w:r w:rsidR="007B1A46">
        <w:rPr>
          <w:lang w:val="fr-FR"/>
        </w:rPr>
        <w:noBreakHyphen/>
      </w:r>
      <w:r w:rsidRPr="00F91832">
        <w:rPr>
          <w:lang w:val="fr-FR"/>
        </w:rPr>
        <w:t>parleurs qui peuvent émettre un signal acoustique.</w:t>
      </w:r>
      <w:bookmarkStart w:id="3" w:name="_Hlk12456610"/>
      <w:bookmarkEnd w:id="3"/>
    </w:p>
    <w:p w:rsidR="00541FC8" w:rsidRPr="00F91832" w:rsidRDefault="00DF4E47" w:rsidP="00F91832">
      <w:pPr>
        <w:pStyle w:val="Titre1"/>
        <w:spacing w:after="120"/>
      </w:pPr>
      <w:r w:rsidRPr="00F91832">
        <w:t>Figure</w:t>
      </w:r>
      <w:r w:rsidR="00F91832">
        <w:br/>
      </w:r>
      <w:r w:rsidRPr="00F91832">
        <w:rPr>
          <w:b/>
        </w:rPr>
        <w:t xml:space="preserve">Schéma simplifié d’un avertisseur électronique assemblé </w:t>
      </w:r>
    </w:p>
    <w:p w:rsidR="00541FC8" w:rsidRPr="00F91832" w:rsidRDefault="00DF4E47" w:rsidP="00F91832">
      <w:pPr>
        <w:pStyle w:val="SingleTxtG"/>
        <w:jc w:val="center"/>
      </w:pPr>
      <w:r w:rsidRPr="00F91832">
        <w:rPr>
          <w:noProof/>
          <w:lang w:eastAsia="fr-CH"/>
        </w:rPr>
        <w:drawing>
          <wp:inline distT="0" distB="0" distL="0" distR="0" wp14:anchorId="3B5C5056" wp14:editId="5F82CDC1">
            <wp:extent cx="2917031" cy="1800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7031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C8" w:rsidRPr="00F91832" w:rsidRDefault="00DF4E47" w:rsidP="00F91832">
      <w:pPr>
        <w:pStyle w:val="SingleTxtG"/>
      </w:pPr>
      <w:r w:rsidRPr="00F91832">
        <w:rPr>
          <w:lang w:val="fr-FR"/>
        </w:rPr>
        <w:t>3.</w:t>
      </w:r>
      <w:r w:rsidRPr="00F91832">
        <w:rPr>
          <w:lang w:val="fr-FR"/>
        </w:rPr>
        <w:tab/>
        <w:t>Dans des conditions de conduite normales, l’avertisseur pourrait être actionné à l’aide d’un module de commande lorsque le contact est mis (le système d’avertissement sonore est alimenté en électricité).</w:t>
      </w:r>
    </w:p>
    <w:p w:rsidR="00541FC8" w:rsidRPr="00F91832" w:rsidRDefault="00DF4E47" w:rsidP="00F91832">
      <w:pPr>
        <w:pStyle w:val="SingleTxtG"/>
      </w:pPr>
      <w:r w:rsidRPr="00F91832">
        <w:rPr>
          <w:lang w:val="fr-FR"/>
        </w:rPr>
        <w:t>4.</w:t>
      </w:r>
      <w:r w:rsidRPr="00F91832">
        <w:rPr>
          <w:lang w:val="fr-FR"/>
        </w:rPr>
        <w:tab/>
        <w:t>La procédure d’essai étant déjà exécutée avec une alimentation électrique, aucune modification n’est apportée à l’essai d’homologation.</w:t>
      </w:r>
    </w:p>
    <w:p w:rsidR="00F9573C" w:rsidRDefault="00DF4E47" w:rsidP="00F91832">
      <w:pPr>
        <w:pStyle w:val="SingleTxtG"/>
        <w:rPr>
          <w:lang w:val="fr-FR"/>
        </w:rPr>
      </w:pPr>
      <w:r w:rsidRPr="00F91832">
        <w:rPr>
          <w:lang w:val="fr-FR"/>
        </w:rPr>
        <w:t>5.</w:t>
      </w:r>
      <w:r w:rsidRPr="00F91832">
        <w:rPr>
          <w:lang w:val="fr-FR"/>
        </w:rPr>
        <w:tab/>
        <w:t>De plus, pour les véhicules à moteur silencieux, le même dispositif pourrait être utilisé à la fois pour l’émission des signaux d’avertissement sonores et le système avertisseur sonore de présence pour véhicules silencieux.</w:t>
      </w:r>
    </w:p>
    <w:p w:rsidR="00F91832" w:rsidRPr="00F91832" w:rsidRDefault="00F91832" w:rsidP="00F9183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1832" w:rsidRPr="00F91832" w:rsidSect="00F9183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2A" w:rsidRDefault="00852B2A" w:rsidP="00F95C08">
      <w:pPr>
        <w:spacing w:line="240" w:lineRule="auto"/>
      </w:pPr>
    </w:p>
  </w:endnote>
  <w:endnote w:type="continuationSeparator" w:id="0">
    <w:p w:rsidR="00852B2A" w:rsidRPr="00AC3823" w:rsidRDefault="00852B2A" w:rsidP="00AC3823">
      <w:pPr>
        <w:pStyle w:val="Pieddepage"/>
      </w:pPr>
    </w:p>
  </w:endnote>
  <w:endnote w:type="continuationNotice" w:id="1">
    <w:p w:rsidR="00852B2A" w:rsidRDefault="00852B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32" w:rsidRPr="00F91832" w:rsidRDefault="00F91832" w:rsidP="00F91832">
    <w:pPr>
      <w:pStyle w:val="Pieddepage"/>
      <w:tabs>
        <w:tab w:val="right" w:pos="9638"/>
      </w:tabs>
    </w:pPr>
    <w:r w:rsidRPr="00F91832">
      <w:rPr>
        <w:b/>
        <w:sz w:val="18"/>
      </w:rPr>
      <w:fldChar w:fldCharType="begin"/>
    </w:r>
    <w:r w:rsidRPr="00F91832">
      <w:rPr>
        <w:b/>
        <w:sz w:val="18"/>
      </w:rPr>
      <w:instrText xml:space="preserve"> PAGE  \* MERGEFORMAT </w:instrText>
    </w:r>
    <w:r w:rsidRPr="00F91832">
      <w:rPr>
        <w:b/>
        <w:sz w:val="18"/>
      </w:rPr>
      <w:fldChar w:fldCharType="separate"/>
    </w:r>
    <w:r w:rsidR="00547164">
      <w:rPr>
        <w:b/>
        <w:noProof/>
        <w:sz w:val="18"/>
      </w:rPr>
      <w:t>2</w:t>
    </w:r>
    <w:r w:rsidRPr="00F91832">
      <w:rPr>
        <w:b/>
        <w:sz w:val="18"/>
      </w:rPr>
      <w:fldChar w:fldCharType="end"/>
    </w:r>
    <w:r>
      <w:rPr>
        <w:b/>
        <w:sz w:val="18"/>
      </w:rPr>
      <w:tab/>
    </w:r>
    <w:r>
      <w:t>GE.19-10791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32" w:rsidRPr="00F91832" w:rsidRDefault="00F91832" w:rsidP="00F91832">
    <w:pPr>
      <w:pStyle w:val="Pieddepage"/>
      <w:tabs>
        <w:tab w:val="right" w:pos="9638"/>
      </w:tabs>
      <w:rPr>
        <w:b/>
        <w:sz w:val="18"/>
      </w:rPr>
    </w:pPr>
    <w:r>
      <w:t>GE.19-10791</w:t>
    </w:r>
    <w:r>
      <w:tab/>
    </w:r>
    <w:r w:rsidRPr="00F91832">
      <w:rPr>
        <w:b/>
        <w:sz w:val="18"/>
      </w:rPr>
      <w:fldChar w:fldCharType="begin"/>
    </w:r>
    <w:r w:rsidRPr="00F91832">
      <w:rPr>
        <w:b/>
        <w:sz w:val="18"/>
      </w:rPr>
      <w:instrText xml:space="preserve"> PAGE  \* MERGEFORMAT </w:instrText>
    </w:r>
    <w:r w:rsidRPr="00F91832">
      <w:rPr>
        <w:b/>
        <w:sz w:val="18"/>
      </w:rPr>
      <w:fldChar w:fldCharType="separate"/>
    </w:r>
    <w:r w:rsidR="00B47AB2">
      <w:rPr>
        <w:b/>
        <w:noProof/>
        <w:sz w:val="18"/>
      </w:rPr>
      <w:t>3</w:t>
    </w:r>
    <w:r w:rsidRPr="00F918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91832" w:rsidRDefault="00F91832" w:rsidP="00F9183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AB2">
      <w:rPr>
        <w:sz w:val="20"/>
      </w:rPr>
      <w:t>19-10791  (F)    170719    18</w:t>
    </w:r>
    <w:r>
      <w:rPr>
        <w:sz w:val="20"/>
      </w:rPr>
      <w:t>0709</w:t>
    </w:r>
    <w:r>
      <w:rPr>
        <w:sz w:val="20"/>
      </w:rPr>
      <w:br/>
    </w:r>
    <w:r w:rsidRPr="00F91832">
      <w:rPr>
        <w:rFonts w:ascii="C39T30Lfz" w:hAnsi="C39T30Lfz"/>
        <w:sz w:val="56"/>
      </w:rPr>
      <w:t></w:t>
    </w:r>
    <w:r w:rsidRPr="00F91832">
      <w:rPr>
        <w:rFonts w:ascii="C39T30Lfz" w:hAnsi="C39T30Lfz"/>
        <w:sz w:val="56"/>
      </w:rPr>
      <w:t></w:t>
    </w:r>
    <w:r w:rsidRPr="00F91832">
      <w:rPr>
        <w:rFonts w:ascii="C39T30Lfz" w:hAnsi="C39T30Lfz"/>
        <w:sz w:val="56"/>
      </w:rPr>
      <w:t></w:t>
    </w:r>
    <w:r w:rsidRPr="00F91832">
      <w:rPr>
        <w:rFonts w:ascii="C39T30Lfz" w:hAnsi="C39T30Lfz"/>
        <w:sz w:val="56"/>
      </w:rPr>
      <w:t></w:t>
    </w:r>
    <w:r w:rsidRPr="00F91832">
      <w:rPr>
        <w:rFonts w:ascii="C39T30Lfz" w:hAnsi="C39T30Lfz"/>
        <w:sz w:val="56"/>
      </w:rPr>
      <w:t></w:t>
    </w:r>
    <w:r w:rsidRPr="00F91832">
      <w:rPr>
        <w:rFonts w:ascii="C39T30Lfz" w:hAnsi="C39T30Lfz"/>
        <w:sz w:val="56"/>
      </w:rPr>
      <w:t></w:t>
    </w:r>
    <w:r w:rsidRPr="00F91832">
      <w:rPr>
        <w:rFonts w:ascii="C39T30Lfz" w:hAnsi="C39T30Lfz"/>
        <w:sz w:val="56"/>
      </w:rPr>
      <w:t></w:t>
    </w:r>
    <w:r w:rsidRPr="00F91832">
      <w:rPr>
        <w:rFonts w:ascii="C39T30Lfz" w:hAnsi="C39T30Lfz"/>
        <w:sz w:val="56"/>
      </w:rPr>
      <w:t></w:t>
    </w:r>
    <w:r w:rsidRPr="00F9183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19/2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2A" w:rsidRPr="00AC3823" w:rsidRDefault="00852B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52B2A" w:rsidRPr="00AC3823" w:rsidRDefault="00852B2A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52B2A" w:rsidRPr="00AC3823" w:rsidRDefault="00852B2A">
      <w:pPr>
        <w:spacing w:line="240" w:lineRule="auto"/>
        <w:rPr>
          <w:sz w:val="2"/>
          <w:szCs w:val="2"/>
        </w:rPr>
      </w:pPr>
    </w:p>
  </w:footnote>
  <w:footnote w:id="2">
    <w:p w:rsidR="001A13EA" w:rsidRPr="001A13EA" w:rsidRDefault="001A13EA">
      <w:pPr>
        <w:pStyle w:val="Notedebasdepage"/>
      </w:pPr>
      <w:r>
        <w:rPr>
          <w:rStyle w:val="Appelnotedebasdep"/>
        </w:rPr>
        <w:tab/>
      </w:r>
      <w:r w:rsidRPr="001A13E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1A13EA">
        <w:rPr>
          <w:spacing w:val="-1"/>
        </w:rPr>
        <w:t>Conformément au programme de travail du Comité des transports intérieurs pour la période 2018</w:t>
      </w:r>
      <w:r w:rsidRPr="001A13EA">
        <w:rPr>
          <w:spacing w:val="-1"/>
        </w:rPr>
        <w:noBreakHyphen/>
        <w:t>2019</w:t>
      </w:r>
      <w:r w:rsidRPr="00D1095E">
        <w:t xml:space="preserve"> (ECE/TRANS/274, par. 123, et ECE/TRANS/2018/21/Add.1, module 3), le Forum mondial a pour mission d</w:t>
      </w:r>
      <w:r>
        <w:t>’</w:t>
      </w:r>
      <w:r w:rsidRPr="00D1095E">
        <w:t>élaborer, d</w:t>
      </w:r>
      <w:r>
        <w:t>’</w:t>
      </w:r>
      <w:r w:rsidRPr="00D1095E">
        <w:t>harmoniser et de mettre à jour les Règlements ONU en vue d</w:t>
      </w:r>
      <w:r>
        <w:t>’</w:t>
      </w:r>
      <w:r w:rsidRPr="00D1095E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32" w:rsidRPr="00F91832" w:rsidRDefault="00547164">
    <w:pPr>
      <w:pStyle w:val="En-tte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ECE/TRANS/WP.29/GRBP/2019/26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32" w:rsidRPr="00F91832" w:rsidRDefault="00547164" w:rsidP="00F91832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ECE/TRANS/WP.29/GRBP/2019/26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2A"/>
    <w:rsid w:val="00017F94"/>
    <w:rsid w:val="00023842"/>
    <w:rsid w:val="000334F9"/>
    <w:rsid w:val="00045FEB"/>
    <w:rsid w:val="0007796D"/>
    <w:rsid w:val="000B7790"/>
    <w:rsid w:val="00111F2F"/>
    <w:rsid w:val="00116E84"/>
    <w:rsid w:val="0014365E"/>
    <w:rsid w:val="00143C66"/>
    <w:rsid w:val="00176178"/>
    <w:rsid w:val="001A13EA"/>
    <w:rsid w:val="001F525A"/>
    <w:rsid w:val="00223272"/>
    <w:rsid w:val="0024779E"/>
    <w:rsid w:val="00257168"/>
    <w:rsid w:val="00265E4D"/>
    <w:rsid w:val="002744B8"/>
    <w:rsid w:val="002832AC"/>
    <w:rsid w:val="002D7C93"/>
    <w:rsid w:val="00305801"/>
    <w:rsid w:val="003916DE"/>
    <w:rsid w:val="004203F5"/>
    <w:rsid w:val="00421996"/>
    <w:rsid w:val="00441C3B"/>
    <w:rsid w:val="00446FE5"/>
    <w:rsid w:val="00452396"/>
    <w:rsid w:val="004837D8"/>
    <w:rsid w:val="004E2EED"/>
    <w:rsid w:val="004E468C"/>
    <w:rsid w:val="00547164"/>
    <w:rsid w:val="005505B7"/>
    <w:rsid w:val="00573BE5"/>
    <w:rsid w:val="00586ED3"/>
    <w:rsid w:val="00596AA9"/>
    <w:rsid w:val="00640809"/>
    <w:rsid w:val="0071601D"/>
    <w:rsid w:val="007A62E6"/>
    <w:rsid w:val="007B1A46"/>
    <w:rsid w:val="007F20FA"/>
    <w:rsid w:val="0080684C"/>
    <w:rsid w:val="00852B2A"/>
    <w:rsid w:val="00871C75"/>
    <w:rsid w:val="008776DC"/>
    <w:rsid w:val="009446C0"/>
    <w:rsid w:val="009705C8"/>
    <w:rsid w:val="00986658"/>
    <w:rsid w:val="009C1CF4"/>
    <w:rsid w:val="009F6B74"/>
    <w:rsid w:val="00A3029F"/>
    <w:rsid w:val="00A30353"/>
    <w:rsid w:val="00A650E3"/>
    <w:rsid w:val="00AC3823"/>
    <w:rsid w:val="00AE323C"/>
    <w:rsid w:val="00AF0CB5"/>
    <w:rsid w:val="00AF7C97"/>
    <w:rsid w:val="00B00181"/>
    <w:rsid w:val="00B00B0D"/>
    <w:rsid w:val="00B45F2E"/>
    <w:rsid w:val="00B47AB2"/>
    <w:rsid w:val="00B765F7"/>
    <w:rsid w:val="00BA0CA9"/>
    <w:rsid w:val="00C02897"/>
    <w:rsid w:val="00C5345E"/>
    <w:rsid w:val="00C97039"/>
    <w:rsid w:val="00D3439C"/>
    <w:rsid w:val="00DB1831"/>
    <w:rsid w:val="00DC10C3"/>
    <w:rsid w:val="00DD3BFD"/>
    <w:rsid w:val="00DF4E47"/>
    <w:rsid w:val="00DF6678"/>
    <w:rsid w:val="00E0299A"/>
    <w:rsid w:val="00E85C74"/>
    <w:rsid w:val="00EA6547"/>
    <w:rsid w:val="00EB7212"/>
    <w:rsid w:val="00EF2E22"/>
    <w:rsid w:val="00F35BAF"/>
    <w:rsid w:val="00F660DF"/>
    <w:rsid w:val="00F91832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8C9AAC"/>
  <w15:docId w15:val="{5586AB76-0E7C-4943-BA39-D83D783B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428</Words>
  <Characters>2269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ECE/TRANS/WP.29/GRBP/2019/26</vt:lpstr>
    </vt:vector>
  </TitlesOfParts>
  <Company>DCM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ECE/TRANS/WP.29/GRBP/2019/26</dc:title>
  <dc:subject/>
  <dc:creator>Ramzi TOUMA</dc:creator>
  <cp:keywords/>
  <cp:lastModifiedBy>Christine Devouassoux</cp:lastModifiedBy>
  <cp:revision>3</cp:revision>
  <cp:lastPrinted>2019-07-18T11:53:00Z</cp:lastPrinted>
  <dcterms:created xsi:type="dcterms:W3CDTF">2019-07-18T11:53:00Z</dcterms:created>
  <dcterms:modified xsi:type="dcterms:W3CDTF">2019-07-18T11:55:00Z</dcterms:modified>
</cp:coreProperties>
</file>