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2368C" w:rsidTr="00C97039">
        <w:trPr>
          <w:trHeight w:hRule="exact" w:val="851"/>
        </w:trPr>
        <w:tc>
          <w:tcPr>
            <w:tcW w:w="1276" w:type="dxa"/>
            <w:tcBorders>
              <w:bottom w:val="single" w:sz="4" w:space="0" w:color="auto"/>
            </w:tcBorders>
          </w:tcPr>
          <w:p w:rsidR="00F35BAF" w:rsidRPr="00C2368C" w:rsidRDefault="00F35BAF" w:rsidP="003640B3"/>
        </w:tc>
        <w:tc>
          <w:tcPr>
            <w:tcW w:w="2268" w:type="dxa"/>
            <w:tcBorders>
              <w:bottom w:val="single" w:sz="4" w:space="0" w:color="auto"/>
            </w:tcBorders>
            <w:vAlign w:val="bottom"/>
          </w:tcPr>
          <w:p w:rsidR="00F35BAF" w:rsidRPr="00C2368C" w:rsidRDefault="00F35BAF" w:rsidP="00C97039">
            <w:pPr>
              <w:spacing w:after="80" w:line="300" w:lineRule="exact"/>
              <w:rPr>
                <w:sz w:val="28"/>
              </w:rPr>
            </w:pPr>
            <w:r w:rsidRPr="00C2368C">
              <w:rPr>
                <w:sz w:val="28"/>
              </w:rPr>
              <w:t>Nations Unies</w:t>
            </w:r>
          </w:p>
        </w:tc>
        <w:tc>
          <w:tcPr>
            <w:tcW w:w="6095" w:type="dxa"/>
            <w:gridSpan w:val="2"/>
            <w:tcBorders>
              <w:bottom w:val="single" w:sz="4" w:space="0" w:color="auto"/>
            </w:tcBorders>
            <w:vAlign w:val="bottom"/>
          </w:tcPr>
          <w:p w:rsidR="00F35BAF" w:rsidRPr="00C2368C" w:rsidRDefault="003640B3" w:rsidP="003640B3">
            <w:pPr>
              <w:jc w:val="right"/>
            </w:pPr>
            <w:r w:rsidRPr="00C2368C">
              <w:rPr>
                <w:sz w:val="40"/>
              </w:rPr>
              <w:t>ECE</w:t>
            </w:r>
            <w:r w:rsidRPr="00C2368C">
              <w:t>/TRANS/WP.29/GRB/67</w:t>
            </w:r>
          </w:p>
        </w:tc>
      </w:tr>
      <w:tr w:rsidR="00F35BAF" w:rsidRPr="00C2368C" w:rsidTr="00C97039">
        <w:trPr>
          <w:trHeight w:hRule="exact" w:val="2835"/>
        </w:trPr>
        <w:tc>
          <w:tcPr>
            <w:tcW w:w="1276" w:type="dxa"/>
            <w:tcBorders>
              <w:top w:val="single" w:sz="4" w:space="0" w:color="auto"/>
              <w:bottom w:val="single" w:sz="12" w:space="0" w:color="auto"/>
            </w:tcBorders>
          </w:tcPr>
          <w:p w:rsidR="00F35BAF" w:rsidRPr="00C2368C" w:rsidRDefault="00F35BAF" w:rsidP="00C97039">
            <w:pPr>
              <w:spacing w:before="120"/>
              <w:jc w:val="center"/>
            </w:pPr>
            <w:r w:rsidRPr="00C2368C">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C2368C" w:rsidRDefault="00F35BAF" w:rsidP="00C97039">
            <w:pPr>
              <w:spacing w:before="120" w:line="420" w:lineRule="exact"/>
              <w:rPr>
                <w:b/>
                <w:sz w:val="40"/>
                <w:szCs w:val="40"/>
              </w:rPr>
            </w:pPr>
            <w:r w:rsidRPr="00C2368C">
              <w:rPr>
                <w:b/>
                <w:sz w:val="40"/>
                <w:szCs w:val="40"/>
              </w:rPr>
              <w:t>Conseil économique et social</w:t>
            </w:r>
          </w:p>
        </w:tc>
        <w:tc>
          <w:tcPr>
            <w:tcW w:w="2835" w:type="dxa"/>
            <w:tcBorders>
              <w:top w:val="single" w:sz="4" w:space="0" w:color="auto"/>
              <w:bottom w:val="single" w:sz="12" w:space="0" w:color="auto"/>
            </w:tcBorders>
          </w:tcPr>
          <w:p w:rsidR="00F35BAF" w:rsidRPr="00C2368C" w:rsidRDefault="003640B3" w:rsidP="00C97039">
            <w:pPr>
              <w:spacing w:before="240"/>
            </w:pPr>
            <w:proofErr w:type="spellStart"/>
            <w:r w:rsidRPr="00C2368C">
              <w:t>Distr</w:t>
            </w:r>
            <w:proofErr w:type="spellEnd"/>
            <w:r w:rsidRPr="00C2368C">
              <w:t>. générale</w:t>
            </w:r>
          </w:p>
          <w:p w:rsidR="003640B3" w:rsidRPr="00C2368C" w:rsidRDefault="003640B3" w:rsidP="003640B3">
            <w:pPr>
              <w:spacing w:line="240" w:lineRule="exact"/>
            </w:pPr>
            <w:r w:rsidRPr="00C2368C">
              <w:t>28 février 2019</w:t>
            </w:r>
          </w:p>
          <w:p w:rsidR="003640B3" w:rsidRPr="00C2368C" w:rsidRDefault="003640B3" w:rsidP="003640B3">
            <w:pPr>
              <w:spacing w:line="240" w:lineRule="exact"/>
            </w:pPr>
            <w:r w:rsidRPr="00C2368C">
              <w:t>Français</w:t>
            </w:r>
          </w:p>
          <w:p w:rsidR="003640B3" w:rsidRPr="00C2368C" w:rsidRDefault="003640B3" w:rsidP="003640B3">
            <w:pPr>
              <w:spacing w:line="240" w:lineRule="exact"/>
            </w:pPr>
            <w:r w:rsidRPr="00C2368C">
              <w:t>Original : anglais</w:t>
            </w:r>
          </w:p>
        </w:tc>
      </w:tr>
    </w:tbl>
    <w:p w:rsidR="007F20FA" w:rsidRPr="00C2368C" w:rsidRDefault="007F20FA" w:rsidP="007F20FA">
      <w:pPr>
        <w:spacing w:before="120"/>
        <w:rPr>
          <w:b/>
          <w:sz w:val="28"/>
          <w:szCs w:val="28"/>
        </w:rPr>
      </w:pPr>
      <w:r w:rsidRPr="00C2368C">
        <w:rPr>
          <w:b/>
          <w:sz w:val="28"/>
          <w:szCs w:val="28"/>
        </w:rPr>
        <w:t>Commission économique pour l’Europe</w:t>
      </w:r>
    </w:p>
    <w:p w:rsidR="007F20FA" w:rsidRPr="00C2368C" w:rsidRDefault="007F20FA" w:rsidP="007F20FA">
      <w:pPr>
        <w:spacing w:before="120"/>
        <w:rPr>
          <w:sz w:val="28"/>
          <w:szCs w:val="28"/>
        </w:rPr>
      </w:pPr>
      <w:r w:rsidRPr="00C2368C">
        <w:rPr>
          <w:sz w:val="28"/>
          <w:szCs w:val="28"/>
        </w:rPr>
        <w:t>Comité des transports intérieurs</w:t>
      </w:r>
      <w:bookmarkStart w:id="0" w:name="_GoBack"/>
      <w:bookmarkEnd w:id="0"/>
    </w:p>
    <w:p w:rsidR="00B1308C" w:rsidRPr="00C2368C" w:rsidRDefault="00B1308C" w:rsidP="00AF0CB5">
      <w:pPr>
        <w:spacing w:before="120"/>
        <w:rPr>
          <w:b/>
          <w:sz w:val="24"/>
          <w:szCs w:val="24"/>
        </w:rPr>
      </w:pPr>
      <w:r w:rsidRPr="00C2368C">
        <w:rPr>
          <w:b/>
          <w:sz w:val="24"/>
          <w:szCs w:val="24"/>
        </w:rPr>
        <w:t>Forum mondial de l’harmonisation</w:t>
      </w:r>
      <w:r w:rsidRPr="00C2368C">
        <w:rPr>
          <w:b/>
          <w:sz w:val="24"/>
          <w:szCs w:val="24"/>
        </w:rPr>
        <w:br/>
        <w:t>des Règlements concernant les véhicules</w:t>
      </w:r>
    </w:p>
    <w:p w:rsidR="00B1308C" w:rsidRPr="00C2368C" w:rsidRDefault="00B1308C" w:rsidP="00F9573C">
      <w:pPr>
        <w:spacing w:before="120" w:after="120" w:line="240" w:lineRule="exact"/>
        <w:rPr>
          <w:b/>
        </w:rPr>
      </w:pPr>
      <w:r w:rsidRPr="00C2368C">
        <w:rPr>
          <w:b/>
        </w:rPr>
        <w:t>Groupe de travail du bruit</w:t>
      </w:r>
    </w:p>
    <w:p w:rsidR="00B1308C" w:rsidRPr="00C2368C" w:rsidRDefault="00B1308C" w:rsidP="00F9573C">
      <w:pPr>
        <w:spacing w:before="120" w:line="240" w:lineRule="exact"/>
        <w:rPr>
          <w:b/>
        </w:rPr>
      </w:pPr>
      <w:r w:rsidRPr="00C2368C">
        <w:rPr>
          <w:rFonts w:eastAsia="Times New Roman"/>
          <w:b/>
        </w:rPr>
        <w:t>Soixante-neuvième</w:t>
      </w:r>
      <w:r w:rsidRPr="00C2368C">
        <w:rPr>
          <w:b/>
        </w:rPr>
        <w:t xml:space="preserve"> session</w:t>
      </w:r>
    </w:p>
    <w:p w:rsidR="00B1308C" w:rsidRPr="00C2368C" w:rsidRDefault="00B1308C" w:rsidP="00F9573C">
      <w:pPr>
        <w:spacing w:line="240" w:lineRule="exact"/>
      </w:pPr>
      <w:r w:rsidRPr="00C2368C">
        <w:t xml:space="preserve">Genève, </w:t>
      </w:r>
      <w:r w:rsidRPr="00C2368C">
        <w:rPr>
          <w:rFonts w:eastAsia="Times New Roman"/>
        </w:rPr>
        <w:t>22-25 janvier 2019</w:t>
      </w:r>
    </w:p>
    <w:p w:rsidR="00B1308C" w:rsidRPr="00C2368C" w:rsidRDefault="00B1308C" w:rsidP="00B1308C">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rPr>
      </w:pPr>
      <w:r w:rsidRPr="00C2368C">
        <w:rPr>
          <w:rFonts w:eastAsia="Times New Roman"/>
          <w:b/>
          <w:sz w:val="28"/>
        </w:rPr>
        <w:tab/>
      </w:r>
      <w:r w:rsidRPr="00C2368C">
        <w:rPr>
          <w:rFonts w:eastAsia="Times New Roman"/>
          <w:b/>
          <w:sz w:val="28"/>
        </w:rPr>
        <w:tab/>
        <w:t xml:space="preserve">Rapport du Groupe de travail du bruit </w:t>
      </w:r>
      <w:r w:rsidR="00751382">
        <w:rPr>
          <w:rFonts w:eastAsia="Times New Roman"/>
          <w:b/>
          <w:sz w:val="28"/>
        </w:rPr>
        <w:br/>
      </w:r>
      <w:r w:rsidRPr="00C2368C">
        <w:rPr>
          <w:rFonts w:eastAsia="Times New Roman"/>
          <w:b/>
          <w:sz w:val="28"/>
        </w:rPr>
        <w:t xml:space="preserve">sur sa soixante-neuvième session </w:t>
      </w:r>
    </w:p>
    <w:p w:rsidR="00B1308C" w:rsidRPr="00C2368C" w:rsidRDefault="00B1308C" w:rsidP="00B1308C">
      <w:pPr>
        <w:kinsoku/>
        <w:overflowPunct/>
        <w:autoSpaceDE/>
        <w:autoSpaceDN/>
        <w:adjustRightInd/>
        <w:snapToGrid/>
        <w:spacing w:after="120"/>
        <w:rPr>
          <w:rFonts w:eastAsia="Times New Roman"/>
          <w:sz w:val="28"/>
        </w:rPr>
      </w:pPr>
      <w:r w:rsidRPr="00C2368C">
        <w:rPr>
          <w:rFonts w:eastAsia="Times New Roman"/>
          <w:sz w:val="28"/>
        </w:rPr>
        <w:t>Table des matières</w:t>
      </w:r>
    </w:p>
    <w:p w:rsidR="00B1308C" w:rsidRPr="00C2368C" w:rsidRDefault="00B1308C" w:rsidP="00B1308C">
      <w:pPr>
        <w:tabs>
          <w:tab w:val="right" w:pos="8929"/>
          <w:tab w:val="right" w:pos="9638"/>
        </w:tabs>
        <w:kinsoku/>
        <w:overflowPunct/>
        <w:autoSpaceDE/>
        <w:autoSpaceDN/>
        <w:adjustRightInd/>
        <w:snapToGrid/>
        <w:spacing w:after="120"/>
        <w:ind w:left="283"/>
        <w:rPr>
          <w:rFonts w:eastAsia="Times New Roman"/>
        </w:rPr>
      </w:pPr>
      <w:r w:rsidRPr="00C2368C">
        <w:rPr>
          <w:rFonts w:eastAsia="Times New Roman"/>
          <w:i/>
          <w:sz w:val="18"/>
        </w:rPr>
        <w:tab/>
        <w:t>Paragraphes</w:t>
      </w:r>
      <w:r w:rsidRPr="00C2368C">
        <w:rPr>
          <w:rFonts w:eastAsia="Times New Roman"/>
          <w:i/>
          <w:sz w:val="18"/>
        </w:rPr>
        <w:tab/>
        <w:t>Page</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b/>
        <w:t>I.</w:t>
      </w:r>
      <w:r w:rsidRPr="00C2368C">
        <w:rPr>
          <w:rFonts w:eastAsia="Times New Roman"/>
        </w:rPr>
        <w:tab/>
      </w:r>
      <w:r w:rsidR="009A59ED" w:rsidRPr="00C2368C">
        <w:t>Participation</w:t>
      </w:r>
      <w:r w:rsidRPr="00C2368C">
        <w:rPr>
          <w:rFonts w:eastAsia="Times New Roman"/>
        </w:rPr>
        <w:tab/>
      </w:r>
      <w:r w:rsidRPr="00C2368C">
        <w:rPr>
          <w:rFonts w:eastAsia="Times New Roman"/>
        </w:rPr>
        <w:tab/>
        <w:t>1</w:t>
      </w:r>
      <w:r w:rsidRPr="00C2368C">
        <w:rPr>
          <w:rFonts w:eastAsia="Times New Roman"/>
        </w:rPr>
        <w:tab/>
        <w:t>3</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b/>
        <w:t>II.</w:t>
      </w:r>
      <w:r w:rsidRPr="00C2368C">
        <w:rPr>
          <w:rFonts w:eastAsia="Times New Roman"/>
        </w:rPr>
        <w:tab/>
      </w:r>
      <w:r w:rsidR="009A59ED" w:rsidRPr="00C2368C">
        <w:t>Adoption de l’ordre du jour (point 1 de l’ordre du jour)</w:t>
      </w:r>
      <w:r w:rsidRPr="00C2368C">
        <w:rPr>
          <w:rFonts w:eastAsia="Times New Roman"/>
        </w:rPr>
        <w:tab/>
      </w:r>
      <w:r w:rsidRPr="00C2368C">
        <w:rPr>
          <w:rFonts w:eastAsia="Times New Roman"/>
        </w:rPr>
        <w:tab/>
        <w:t>2</w:t>
      </w:r>
      <w:r w:rsidRPr="00C2368C">
        <w:rPr>
          <w:rFonts w:eastAsia="Times New Roman"/>
        </w:rPr>
        <w:tab/>
        <w:t>3</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b/>
        <w:t>III.</w:t>
      </w:r>
      <w:r w:rsidRPr="00C2368C">
        <w:rPr>
          <w:rFonts w:eastAsia="Times New Roman"/>
        </w:rPr>
        <w:tab/>
      </w:r>
      <w:r w:rsidR="009A59ED" w:rsidRPr="00C2368C">
        <w:t>Règlement ONU n</w:t>
      </w:r>
      <w:r w:rsidR="009A59ED" w:rsidRPr="00C2368C">
        <w:rPr>
          <w:vertAlign w:val="superscript"/>
        </w:rPr>
        <w:t>o</w:t>
      </w:r>
      <w:r w:rsidR="009A59ED" w:rsidRPr="00C2368C">
        <w:t xml:space="preserve"> 9 (Bruit des véhicules à trois roues) (point 2 de l’ordre </w:t>
      </w:r>
      <w:r w:rsidR="002237CB" w:rsidRPr="00C2368C">
        <w:br/>
      </w:r>
      <w:r w:rsidR="002237CB" w:rsidRPr="00C2368C">
        <w:tab/>
      </w:r>
      <w:r w:rsidR="002237CB" w:rsidRPr="00C2368C">
        <w:tab/>
      </w:r>
      <w:r w:rsidR="009A59ED" w:rsidRPr="00C2368C">
        <w:t>du jour)</w:t>
      </w:r>
      <w:r w:rsidRPr="00C2368C">
        <w:rPr>
          <w:rFonts w:eastAsia="Times New Roman"/>
        </w:rPr>
        <w:tab/>
      </w:r>
      <w:r w:rsidRPr="00C2368C">
        <w:rPr>
          <w:rFonts w:eastAsia="Times New Roman"/>
        </w:rPr>
        <w:tab/>
      </w:r>
      <w:r w:rsidR="002237CB" w:rsidRPr="00C2368C">
        <w:rPr>
          <w:rFonts w:eastAsia="Times New Roman"/>
        </w:rPr>
        <w:tab/>
      </w:r>
      <w:r w:rsidRPr="00C2368C">
        <w:rPr>
          <w:rFonts w:eastAsia="Times New Roman"/>
        </w:rPr>
        <w:t>3–4</w:t>
      </w:r>
      <w:r w:rsidRPr="00C2368C">
        <w:rPr>
          <w:rFonts w:eastAsia="Times New Roman"/>
        </w:rPr>
        <w:tab/>
        <w:t>3</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b/>
        <w:t>IV.</w:t>
      </w:r>
      <w:r w:rsidRPr="00C2368C">
        <w:rPr>
          <w:rFonts w:eastAsia="Times New Roman"/>
        </w:rPr>
        <w:tab/>
      </w:r>
      <w:r w:rsidR="002237CB" w:rsidRPr="00C2368C">
        <w:t>Règlement ONU n</w:t>
      </w:r>
      <w:r w:rsidR="002237CB" w:rsidRPr="00C2368C">
        <w:rPr>
          <w:vertAlign w:val="superscript"/>
        </w:rPr>
        <w:t>o</w:t>
      </w:r>
      <w:r w:rsidR="002237CB" w:rsidRPr="00C2368C">
        <w:t xml:space="preserve"> 41 (Bruit émis par les motocycles) : Extension (point 3 </w:t>
      </w:r>
      <w:r w:rsidR="002237CB" w:rsidRPr="00C2368C">
        <w:br/>
      </w:r>
      <w:r w:rsidR="002237CB" w:rsidRPr="00C2368C">
        <w:tab/>
      </w:r>
      <w:r w:rsidR="002237CB" w:rsidRPr="00C2368C">
        <w:tab/>
        <w:t>de l’ordre du jour)</w:t>
      </w:r>
      <w:r w:rsidRPr="00C2368C">
        <w:rPr>
          <w:rFonts w:eastAsia="Times New Roman"/>
        </w:rPr>
        <w:tab/>
      </w:r>
      <w:r w:rsidR="002237CB" w:rsidRPr="00C2368C">
        <w:rPr>
          <w:rFonts w:eastAsia="Times New Roman"/>
        </w:rPr>
        <w:tab/>
      </w:r>
      <w:r w:rsidRPr="00C2368C">
        <w:rPr>
          <w:rFonts w:eastAsia="Times New Roman"/>
        </w:rPr>
        <w:t>5</w:t>
      </w:r>
      <w:r w:rsidRPr="00C2368C">
        <w:rPr>
          <w:rFonts w:eastAsia="Times New Roman"/>
        </w:rPr>
        <w:tab/>
        <w:t>3</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right="1739" w:hanging="1134"/>
        <w:rPr>
          <w:rFonts w:eastAsia="Times New Roman"/>
        </w:rPr>
      </w:pPr>
      <w:r w:rsidRPr="00C2368C">
        <w:rPr>
          <w:rFonts w:eastAsia="Times New Roman"/>
        </w:rPr>
        <w:tab/>
        <w:t>V.</w:t>
      </w:r>
      <w:r w:rsidRPr="00C2368C">
        <w:rPr>
          <w:rFonts w:eastAsia="Times New Roman"/>
        </w:rPr>
        <w:tab/>
      </w:r>
      <w:r w:rsidR="002237CB" w:rsidRPr="00C2368C">
        <w:t>Règlement ONU n</w:t>
      </w:r>
      <w:r w:rsidR="002237CB" w:rsidRPr="00C2368C">
        <w:rPr>
          <w:vertAlign w:val="superscript"/>
        </w:rPr>
        <w:t>o</w:t>
      </w:r>
      <w:r w:rsidR="002237CB" w:rsidRPr="00C2368C">
        <w:t xml:space="preserve"> 51 (Bruit des véhicules des catégories M et N) (point 4 </w:t>
      </w:r>
      <w:r w:rsidR="002237CB" w:rsidRPr="00C2368C">
        <w:br/>
        <w:t>de l’ordre du jour)</w:t>
      </w:r>
      <w:r w:rsidRPr="00C2368C">
        <w:rPr>
          <w:rFonts w:eastAsia="Times New Roman"/>
        </w:rPr>
        <w:tab/>
      </w:r>
      <w:r w:rsidR="0027517E" w:rsidRPr="00C2368C">
        <w:rPr>
          <w:rFonts w:eastAsia="Times New Roman"/>
        </w:rPr>
        <w:tab/>
      </w:r>
      <w:r w:rsidRPr="00C2368C">
        <w:rPr>
          <w:rFonts w:eastAsia="Times New Roman"/>
        </w:rPr>
        <w:t>6–13</w:t>
      </w:r>
      <w:r w:rsidRPr="00C2368C">
        <w:rPr>
          <w:rFonts w:eastAsia="Times New Roman"/>
        </w:rPr>
        <w:tab/>
        <w:t>4</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b/>
      </w:r>
      <w:r w:rsidRPr="00C2368C">
        <w:rPr>
          <w:rFonts w:eastAsia="Times New Roman"/>
        </w:rPr>
        <w:tab/>
        <w:t>A.</w:t>
      </w:r>
      <w:r w:rsidRPr="00C2368C">
        <w:rPr>
          <w:rFonts w:eastAsia="Times New Roman"/>
        </w:rPr>
        <w:tab/>
      </w:r>
      <w:r w:rsidR="0027517E" w:rsidRPr="00C2368C">
        <w:t>Extension</w:t>
      </w:r>
      <w:r w:rsidRPr="00C2368C">
        <w:rPr>
          <w:rFonts w:eastAsia="Times New Roman"/>
        </w:rPr>
        <w:tab/>
      </w:r>
      <w:r w:rsidRPr="00C2368C">
        <w:rPr>
          <w:rFonts w:eastAsia="Times New Roman"/>
        </w:rPr>
        <w:tab/>
        <w:t>6–9</w:t>
      </w:r>
      <w:r w:rsidRPr="00C2368C">
        <w:rPr>
          <w:rFonts w:eastAsia="Times New Roman"/>
        </w:rPr>
        <w:tab/>
        <w:t>4</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b/>
      </w:r>
      <w:r w:rsidRPr="00C2368C">
        <w:rPr>
          <w:rFonts w:eastAsia="Times New Roman"/>
        </w:rPr>
        <w:tab/>
        <w:t>B.</w:t>
      </w:r>
      <w:r w:rsidRPr="00C2368C">
        <w:rPr>
          <w:rFonts w:eastAsia="Times New Roman"/>
        </w:rPr>
        <w:tab/>
      </w:r>
      <w:r w:rsidR="0027517E" w:rsidRPr="00C2368C">
        <w:t>Prescriptions supplémentaires concernant les émissions sonores</w:t>
      </w:r>
      <w:r w:rsidRPr="00C2368C">
        <w:rPr>
          <w:rFonts w:eastAsia="Times New Roman"/>
        </w:rPr>
        <w:tab/>
      </w:r>
      <w:r w:rsidRPr="00C2368C">
        <w:rPr>
          <w:rFonts w:eastAsia="Times New Roman"/>
        </w:rPr>
        <w:tab/>
        <w:t>10–13</w:t>
      </w:r>
      <w:r w:rsidRPr="00C2368C">
        <w:rPr>
          <w:rFonts w:eastAsia="Times New Roman"/>
        </w:rPr>
        <w:tab/>
        <w:t>4</w:t>
      </w:r>
    </w:p>
    <w:p w:rsidR="00B1308C" w:rsidRPr="00C2368C" w:rsidRDefault="00B1308C" w:rsidP="00296633">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right="1739" w:hanging="1134"/>
        <w:rPr>
          <w:rFonts w:eastAsia="Times New Roman"/>
        </w:rPr>
      </w:pPr>
      <w:r w:rsidRPr="00C2368C">
        <w:rPr>
          <w:rFonts w:eastAsia="Times New Roman"/>
        </w:rPr>
        <w:tab/>
        <w:t>VI.</w:t>
      </w:r>
      <w:r w:rsidRPr="00C2368C">
        <w:rPr>
          <w:rFonts w:eastAsia="Times New Roman"/>
        </w:rPr>
        <w:tab/>
      </w:r>
      <w:r w:rsidR="0027517E" w:rsidRPr="00C2368C">
        <w:t>Règlement ONU n</w:t>
      </w:r>
      <w:r w:rsidR="0027517E" w:rsidRPr="00C2368C">
        <w:rPr>
          <w:vertAlign w:val="superscript"/>
        </w:rPr>
        <w:t>o</w:t>
      </w:r>
      <w:r w:rsidR="0027517E" w:rsidRPr="00C2368C">
        <w:t xml:space="preserve"> 92 (Dispositifs silencieux d’échappement de remplacement </w:t>
      </w:r>
      <w:r w:rsidR="00296633" w:rsidRPr="00C2368C">
        <w:br/>
      </w:r>
      <w:r w:rsidR="0027517E" w:rsidRPr="00C2368C">
        <w:t xml:space="preserve">pour motocycles) (point 5 de l’ordre </w:t>
      </w:r>
      <w:r w:rsidR="00296633" w:rsidRPr="00C2368C">
        <w:t>du jour</w:t>
      </w:r>
      <w:r w:rsidR="00296633" w:rsidRPr="00C2368C">
        <w:rPr>
          <w:rFonts w:eastAsia="Times New Roman"/>
        </w:rPr>
        <w:tab/>
      </w:r>
      <w:r w:rsidR="00296633" w:rsidRPr="00C2368C">
        <w:rPr>
          <w:rFonts w:eastAsia="Times New Roman"/>
        </w:rPr>
        <w:tab/>
      </w:r>
      <w:r w:rsidRPr="00C2368C">
        <w:rPr>
          <w:rFonts w:eastAsia="Times New Roman"/>
        </w:rPr>
        <w:t>14</w:t>
      </w:r>
      <w:r w:rsidRPr="00C2368C">
        <w:rPr>
          <w:rFonts w:eastAsia="Times New Roman"/>
        </w:rPr>
        <w:tab/>
        <w:t>5</w:t>
      </w:r>
    </w:p>
    <w:p w:rsidR="00B1308C" w:rsidRPr="00C2368C" w:rsidRDefault="00B1308C" w:rsidP="000306F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right="1739" w:hanging="1134"/>
        <w:rPr>
          <w:rFonts w:eastAsia="Times New Roman"/>
        </w:rPr>
      </w:pPr>
      <w:r w:rsidRPr="00C2368C">
        <w:rPr>
          <w:rFonts w:eastAsia="Times New Roman"/>
        </w:rPr>
        <w:tab/>
        <w:t>VII.</w:t>
      </w:r>
      <w:r w:rsidRPr="00C2368C">
        <w:rPr>
          <w:rFonts w:eastAsia="Times New Roman"/>
        </w:rPr>
        <w:tab/>
      </w:r>
      <w:r w:rsidR="00296633" w:rsidRPr="00C2368C">
        <w:t>Règlement ONU n</w:t>
      </w:r>
      <w:r w:rsidR="00296633" w:rsidRPr="00C2368C">
        <w:rPr>
          <w:vertAlign w:val="superscript"/>
        </w:rPr>
        <w:t>o</w:t>
      </w:r>
      <w:r w:rsidR="00296633" w:rsidRPr="00C2368C">
        <w:t xml:space="preserve"> 138 (Véhicules à moteur silencieux) (point 6 </w:t>
      </w:r>
      <w:r w:rsidR="00A80559" w:rsidRPr="00C2368C">
        <w:br/>
      </w:r>
      <w:r w:rsidR="00296633" w:rsidRPr="00C2368C">
        <w:t>de l’ordre du jour)</w:t>
      </w:r>
      <w:r w:rsidR="00A80559" w:rsidRPr="00C2368C">
        <w:tab/>
      </w:r>
      <w:r w:rsidR="00A80559" w:rsidRPr="00C2368C">
        <w:tab/>
      </w:r>
      <w:r w:rsidR="00C26A17" w:rsidRPr="00C2368C">
        <w:t>15</w:t>
      </w:r>
      <w:r w:rsidR="00C26A17" w:rsidRPr="00C2368C">
        <w:tab/>
        <w:t>5</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hanging="1134"/>
        <w:rPr>
          <w:rFonts w:eastAsia="Times New Roman"/>
        </w:rPr>
      </w:pPr>
      <w:r w:rsidRPr="00C2368C">
        <w:rPr>
          <w:rFonts w:eastAsia="Times New Roman"/>
        </w:rPr>
        <w:tab/>
        <w:t>VIII.</w:t>
      </w:r>
      <w:r w:rsidRPr="00C2368C">
        <w:rPr>
          <w:rFonts w:eastAsia="Times New Roman"/>
        </w:rPr>
        <w:tab/>
      </w:r>
      <w:r w:rsidR="00C26A17" w:rsidRPr="00C2368C">
        <w:t>Pneumatiques (point 7 de l’ordre du jour)</w:t>
      </w:r>
      <w:r w:rsidRPr="00C2368C">
        <w:rPr>
          <w:rFonts w:eastAsia="Times New Roman"/>
        </w:rPr>
        <w:tab/>
      </w:r>
      <w:r w:rsidRPr="00C2368C">
        <w:rPr>
          <w:rFonts w:eastAsia="Times New Roman"/>
        </w:rPr>
        <w:tab/>
        <w:t>16–25</w:t>
      </w:r>
      <w:r w:rsidRPr="00C2368C">
        <w:rPr>
          <w:rFonts w:eastAsia="Times New Roman"/>
        </w:rPr>
        <w:tab/>
        <w:t>5</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b/>
      </w:r>
      <w:r w:rsidRPr="00C2368C">
        <w:rPr>
          <w:rFonts w:eastAsia="Times New Roman"/>
        </w:rPr>
        <w:tab/>
        <w:t>A.</w:t>
      </w:r>
      <w:r w:rsidRPr="00C2368C">
        <w:rPr>
          <w:rFonts w:eastAsia="Times New Roman"/>
        </w:rPr>
        <w:tab/>
      </w:r>
      <w:r w:rsidR="00C26A17" w:rsidRPr="00C2368C">
        <w:t>Règlement ONU n</w:t>
      </w:r>
      <w:r w:rsidR="00C26A17" w:rsidRPr="00C2368C">
        <w:rPr>
          <w:vertAlign w:val="superscript"/>
        </w:rPr>
        <w:t>o</w:t>
      </w:r>
      <w:r w:rsidR="00C26A17" w:rsidRPr="00C2368C">
        <w:t xml:space="preserve"> 30 (Pneumatiques pour voitures particulières </w:t>
      </w:r>
      <w:r w:rsidR="00C26A17" w:rsidRPr="00C2368C">
        <w:br/>
      </w:r>
      <w:r w:rsidR="00C26A17" w:rsidRPr="00C2368C">
        <w:tab/>
      </w:r>
      <w:r w:rsidR="00C26A17" w:rsidRPr="00C2368C">
        <w:tab/>
      </w:r>
      <w:r w:rsidR="00C26A17" w:rsidRPr="00C2368C">
        <w:tab/>
        <w:t>et leurs remorques)</w:t>
      </w:r>
      <w:r w:rsidRPr="00C2368C">
        <w:rPr>
          <w:rFonts w:eastAsia="Times New Roman"/>
        </w:rPr>
        <w:tab/>
      </w:r>
      <w:r w:rsidRPr="00C2368C">
        <w:rPr>
          <w:rFonts w:eastAsia="Times New Roman"/>
        </w:rPr>
        <w:tab/>
        <w:t>16–17</w:t>
      </w:r>
      <w:r w:rsidRPr="00C2368C">
        <w:rPr>
          <w:rFonts w:eastAsia="Times New Roman"/>
        </w:rPr>
        <w:tab/>
        <w:t>5</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b/>
      </w:r>
      <w:r w:rsidRPr="00C2368C">
        <w:rPr>
          <w:rFonts w:eastAsia="Times New Roman"/>
        </w:rPr>
        <w:tab/>
        <w:t>B.</w:t>
      </w:r>
      <w:r w:rsidRPr="00C2368C">
        <w:rPr>
          <w:rFonts w:eastAsia="Times New Roman"/>
        </w:rPr>
        <w:tab/>
      </w:r>
      <w:r w:rsidR="00CA7A08" w:rsidRPr="00C2368C">
        <w:t>Règlement ONU n</w:t>
      </w:r>
      <w:r w:rsidR="00CA7A08" w:rsidRPr="00C2368C">
        <w:rPr>
          <w:vertAlign w:val="superscript"/>
        </w:rPr>
        <w:t>o</w:t>
      </w:r>
      <w:r w:rsidR="00CA7A08" w:rsidRPr="00C2368C">
        <w:t> 75 (Pneumatiques des véhicules de la catégorie L)</w:t>
      </w:r>
      <w:r w:rsidRPr="00C2368C">
        <w:rPr>
          <w:rFonts w:eastAsia="Times New Roman"/>
        </w:rPr>
        <w:tab/>
      </w:r>
      <w:r w:rsidRPr="00C2368C">
        <w:rPr>
          <w:rFonts w:eastAsia="Times New Roman"/>
        </w:rPr>
        <w:tab/>
        <w:t>18</w:t>
      </w:r>
      <w:r w:rsidRPr="00C2368C">
        <w:rPr>
          <w:rFonts w:eastAsia="Times New Roman"/>
        </w:rPr>
        <w:tab/>
        <w:t>6</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b/>
      </w:r>
      <w:r w:rsidRPr="00C2368C">
        <w:rPr>
          <w:rFonts w:eastAsia="Times New Roman"/>
        </w:rPr>
        <w:tab/>
        <w:t>C.</w:t>
      </w:r>
      <w:r w:rsidRPr="00C2368C">
        <w:rPr>
          <w:rFonts w:eastAsia="Times New Roman"/>
        </w:rPr>
        <w:tab/>
      </w:r>
      <w:r w:rsidR="00CA7A08" w:rsidRPr="00C2368C">
        <w:t>Règlement ONU n</w:t>
      </w:r>
      <w:r w:rsidR="00CA7A08" w:rsidRPr="00C2368C">
        <w:rPr>
          <w:vertAlign w:val="superscript"/>
        </w:rPr>
        <w:t>o</w:t>
      </w:r>
      <w:r w:rsidR="00CA7A08" w:rsidRPr="00C2368C">
        <w:t xml:space="preserve"> 117 (Pneumatiques − Résistance au roulement, bruit </w:t>
      </w:r>
      <w:r w:rsidR="00CA7A08" w:rsidRPr="00C2368C">
        <w:br/>
      </w:r>
      <w:r w:rsidR="00CA7A08" w:rsidRPr="00C2368C">
        <w:tab/>
      </w:r>
      <w:r w:rsidR="00CA7A08" w:rsidRPr="00C2368C">
        <w:tab/>
      </w:r>
      <w:r w:rsidR="00CA7A08" w:rsidRPr="00C2368C">
        <w:tab/>
        <w:t>de roulement et adhérence sur sol mouillé)</w:t>
      </w:r>
      <w:r w:rsidRPr="00C2368C">
        <w:rPr>
          <w:rFonts w:eastAsia="Times New Roman"/>
        </w:rPr>
        <w:tab/>
      </w:r>
      <w:r w:rsidRPr="00C2368C">
        <w:rPr>
          <w:rFonts w:eastAsia="Times New Roman"/>
        </w:rPr>
        <w:tab/>
        <w:t>19–24</w:t>
      </w:r>
      <w:r w:rsidRPr="00C2368C">
        <w:rPr>
          <w:rFonts w:eastAsia="Times New Roman"/>
        </w:rPr>
        <w:tab/>
        <w:t>6</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b/>
      </w:r>
      <w:r w:rsidRPr="00C2368C">
        <w:rPr>
          <w:rFonts w:eastAsia="Times New Roman"/>
        </w:rPr>
        <w:tab/>
      </w:r>
      <w:r w:rsidR="00CA7A08" w:rsidRPr="00C2368C">
        <w:rPr>
          <w:rFonts w:eastAsia="Times New Roman"/>
        </w:rPr>
        <w:t>D.</w:t>
      </w:r>
      <w:r w:rsidRPr="00C2368C">
        <w:rPr>
          <w:rFonts w:eastAsia="Times New Roman"/>
        </w:rPr>
        <w:tab/>
      </w:r>
      <w:r w:rsidR="00CA7A08" w:rsidRPr="00C2368C">
        <w:t>Règlement technique mondial ONU n</w:t>
      </w:r>
      <w:r w:rsidR="00CA7A08" w:rsidRPr="00C2368C">
        <w:rPr>
          <w:vertAlign w:val="superscript"/>
        </w:rPr>
        <w:t>o</w:t>
      </w:r>
      <w:r w:rsidR="00CA7A08" w:rsidRPr="00C2368C">
        <w:t> 16 (pneumatiques)</w:t>
      </w:r>
      <w:r w:rsidRPr="00C2368C">
        <w:rPr>
          <w:rFonts w:eastAsia="Times New Roman"/>
        </w:rPr>
        <w:tab/>
      </w:r>
      <w:r w:rsidRPr="00C2368C">
        <w:rPr>
          <w:rFonts w:eastAsia="Times New Roman"/>
        </w:rPr>
        <w:tab/>
        <w:t>25</w:t>
      </w:r>
      <w:r w:rsidRPr="00C2368C">
        <w:rPr>
          <w:rFonts w:eastAsia="Times New Roman"/>
        </w:rPr>
        <w:tab/>
        <w:t>7</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45" w:right="1837" w:hanging="1145"/>
        <w:rPr>
          <w:rFonts w:eastAsia="Times New Roman"/>
        </w:rPr>
      </w:pPr>
      <w:r w:rsidRPr="00C2368C">
        <w:rPr>
          <w:rFonts w:eastAsia="Times New Roman"/>
        </w:rPr>
        <w:tab/>
        <w:t>IX.</w:t>
      </w:r>
      <w:r w:rsidRPr="00C2368C">
        <w:rPr>
          <w:rFonts w:eastAsia="Times New Roman"/>
        </w:rPr>
        <w:tab/>
      </w:r>
      <w:r w:rsidR="00B4394E" w:rsidRPr="00C2368C">
        <w:t xml:space="preserve">Projet de Règlement ONU sur les avertisseurs de marche arrière (point 8 </w:t>
      </w:r>
      <w:r w:rsidR="00B4394E" w:rsidRPr="00C2368C">
        <w:br/>
        <w:t>de l’ordre du jour)</w:t>
      </w:r>
      <w:r w:rsidRPr="00C2368C">
        <w:rPr>
          <w:rFonts w:eastAsia="Times New Roman"/>
        </w:rPr>
        <w:tab/>
      </w:r>
      <w:r w:rsidRPr="00C2368C">
        <w:rPr>
          <w:rFonts w:eastAsia="Times New Roman"/>
        </w:rPr>
        <w:tab/>
        <w:t>26</w:t>
      </w:r>
      <w:r w:rsidRPr="00C2368C">
        <w:rPr>
          <w:rFonts w:eastAsia="Times New Roman"/>
        </w:rPr>
        <w:tab/>
        <w:t>7</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45" w:right="1837" w:hanging="1145"/>
        <w:rPr>
          <w:rFonts w:eastAsia="Times New Roman"/>
        </w:rPr>
      </w:pPr>
      <w:r w:rsidRPr="00C2368C">
        <w:rPr>
          <w:rFonts w:eastAsia="Times New Roman"/>
        </w:rPr>
        <w:tab/>
        <w:t>X.</w:t>
      </w:r>
      <w:r w:rsidRPr="00C2368C">
        <w:rPr>
          <w:rFonts w:eastAsia="Times New Roman"/>
        </w:rPr>
        <w:tab/>
      </w:r>
      <w:r w:rsidR="00B4394E" w:rsidRPr="00C2368C">
        <w:t xml:space="preserve">Échange d’informations sur les prescriptions nationales et internationales </w:t>
      </w:r>
      <w:r w:rsidR="00B4394E" w:rsidRPr="00C2368C">
        <w:br/>
        <w:t>en matière de niveau sonore (point 9 de l’ordre du jour)</w:t>
      </w:r>
      <w:r w:rsidRPr="00C2368C">
        <w:rPr>
          <w:rFonts w:eastAsia="Times New Roman"/>
        </w:rPr>
        <w:tab/>
      </w:r>
      <w:r w:rsidRPr="00C2368C">
        <w:rPr>
          <w:rFonts w:eastAsia="Times New Roman"/>
        </w:rPr>
        <w:tab/>
        <w:t>27</w:t>
      </w:r>
      <w:r w:rsidRPr="00C2368C">
        <w:rPr>
          <w:rFonts w:eastAsia="Times New Roman"/>
        </w:rPr>
        <w:tab/>
        <w:t>7</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45" w:right="1837" w:hanging="1145"/>
        <w:rPr>
          <w:rFonts w:eastAsia="Times New Roman"/>
        </w:rPr>
      </w:pPr>
      <w:r w:rsidRPr="00C2368C">
        <w:rPr>
          <w:rFonts w:eastAsia="Times New Roman"/>
        </w:rPr>
        <w:tab/>
        <w:t>XI.</w:t>
      </w:r>
      <w:r w:rsidRPr="00C2368C">
        <w:rPr>
          <w:rFonts w:eastAsia="Times New Roman"/>
        </w:rPr>
        <w:tab/>
      </w:r>
      <w:r w:rsidR="0057554C" w:rsidRPr="00C2368C">
        <w:t>Incidence du revêtement de la route sur le bruit de roulement des pneumatiques (point 10 de l’ordre du jour)</w:t>
      </w:r>
      <w:r w:rsidRPr="00C2368C">
        <w:rPr>
          <w:rFonts w:eastAsia="Times New Roman"/>
        </w:rPr>
        <w:tab/>
      </w:r>
      <w:r w:rsidRPr="00C2368C">
        <w:rPr>
          <w:rFonts w:eastAsia="Times New Roman"/>
        </w:rPr>
        <w:tab/>
        <w:t>28</w:t>
      </w:r>
      <w:r w:rsidRPr="00C2368C">
        <w:rPr>
          <w:rFonts w:eastAsia="Times New Roman"/>
        </w:rPr>
        <w:tab/>
        <w:t>7</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right="1701" w:hanging="1134"/>
        <w:rPr>
          <w:rFonts w:eastAsia="Times New Roman"/>
        </w:rPr>
      </w:pPr>
      <w:r w:rsidRPr="00C2368C">
        <w:rPr>
          <w:rFonts w:eastAsia="Times New Roman"/>
        </w:rPr>
        <w:tab/>
        <w:t>XII.</w:t>
      </w:r>
      <w:r w:rsidRPr="00C2368C">
        <w:rPr>
          <w:rFonts w:eastAsia="Times New Roman"/>
        </w:rPr>
        <w:tab/>
      </w:r>
      <w:r w:rsidR="0057554C" w:rsidRPr="00C2368C">
        <w:t xml:space="preserve">Propositions d’amendements à la Résolution d’ensemble sur la construction </w:t>
      </w:r>
      <w:r w:rsidR="0057554C" w:rsidRPr="00C2368C">
        <w:br/>
        <w:t>des véhicules (point 11 de l’ordre du jour)</w:t>
      </w:r>
      <w:r w:rsidRPr="00C2368C">
        <w:rPr>
          <w:rFonts w:eastAsia="Times New Roman"/>
        </w:rPr>
        <w:tab/>
      </w:r>
      <w:r w:rsidRPr="00C2368C">
        <w:rPr>
          <w:rFonts w:eastAsia="Times New Roman"/>
        </w:rPr>
        <w:tab/>
        <w:t>29</w:t>
      </w:r>
      <w:r w:rsidRPr="00C2368C">
        <w:rPr>
          <w:rFonts w:eastAsia="Times New Roman"/>
        </w:rPr>
        <w:tab/>
        <w:t>8</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right="1701" w:hanging="1134"/>
        <w:rPr>
          <w:rFonts w:eastAsia="Times New Roman"/>
        </w:rPr>
      </w:pPr>
      <w:r w:rsidRPr="00C2368C">
        <w:rPr>
          <w:rFonts w:eastAsia="Times New Roman"/>
        </w:rPr>
        <w:tab/>
        <w:t>XIII.</w:t>
      </w:r>
      <w:r w:rsidRPr="00C2368C">
        <w:rPr>
          <w:rFonts w:eastAsia="Times New Roman"/>
        </w:rPr>
        <w:tab/>
      </w:r>
      <w:r w:rsidR="0057554C" w:rsidRPr="00C2368C">
        <w:t xml:space="preserve">Mise au point d’une homologation de type internationale de l’ensemble </w:t>
      </w:r>
      <w:r w:rsidR="0057554C" w:rsidRPr="00C2368C">
        <w:br/>
        <w:t>du véhicule (point 1</w:t>
      </w:r>
      <w:r w:rsidR="002208F0">
        <w:t>2</w:t>
      </w:r>
      <w:r w:rsidR="0057554C" w:rsidRPr="00C2368C">
        <w:t xml:space="preserve"> de l’ordre du jour)</w:t>
      </w:r>
      <w:r w:rsidRPr="00C2368C">
        <w:rPr>
          <w:rFonts w:eastAsia="Times New Roman"/>
        </w:rPr>
        <w:tab/>
      </w:r>
      <w:r w:rsidRPr="00C2368C">
        <w:rPr>
          <w:rFonts w:eastAsia="Times New Roman"/>
        </w:rPr>
        <w:tab/>
        <w:t>30</w:t>
      </w:r>
      <w:r w:rsidRPr="00C2368C">
        <w:rPr>
          <w:rFonts w:eastAsia="Times New Roman"/>
        </w:rPr>
        <w:tab/>
        <w:t>8</w:t>
      </w:r>
    </w:p>
    <w:p w:rsidR="00B1308C" w:rsidRPr="00C2368C" w:rsidRDefault="00B1308C" w:rsidP="00320B07">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34" w:right="1839" w:hanging="1148"/>
        <w:rPr>
          <w:rFonts w:eastAsia="Times New Roman"/>
        </w:rPr>
      </w:pPr>
      <w:r w:rsidRPr="00C2368C">
        <w:rPr>
          <w:rFonts w:eastAsia="Times New Roman"/>
        </w:rPr>
        <w:tab/>
        <w:t>XIV.</w:t>
      </w:r>
      <w:r w:rsidRPr="00C2368C">
        <w:rPr>
          <w:rFonts w:eastAsia="Times New Roman"/>
        </w:rPr>
        <w:tab/>
      </w:r>
      <w:r w:rsidR="00320B07" w:rsidRPr="00C2368C">
        <w:t xml:space="preserve">Points à retenir de la session de novembre 2018 du WP.29 (point 13 </w:t>
      </w:r>
      <w:r w:rsidR="00320B07" w:rsidRPr="00C2368C">
        <w:br/>
        <w:t>de l’ordre du jour)</w:t>
      </w:r>
      <w:r w:rsidRPr="00C2368C">
        <w:rPr>
          <w:rFonts w:eastAsia="Times New Roman"/>
        </w:rPr>
        <w:tab/>
      </w:r>
      <w:r w:rsidRPr="00C2368C">
        <w:rPr>
          <w:rFonts w:eastAsia="Times New Roman"/>
        </w:rPr>
        <w:tab/>
        <w:t>31</w:t>
      </w:r>
      <w:r w:rsidRPr="00C2368C">
        <w:rPr>
          <w:rFonts w:eastAsia="Times New Roman"/>
        </w:rPr>
        <w:tab/>
        <w:t>8</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b/>
        <w:t>XV.</w:t>
      </w:r>
      <w:r w:rsidRPr="00C2368C">
        <w:rPr>
          <w:rFonts w:eastAsia="Times New Roman"/>
        </w:rPr>
        <w:tab/>
      </w:r>
      <w:r w:rsidR="00B27B96" w:rsidRPr="00C2368C">
        <w:t>Échange de vues sur les travaux futurs du GRB (point 14 de l’ordre du jour)</w:t>
      </w:r>
      <w:r w:rsidRPr="00C2368C">
        <w:rPr>
          <w:rFonts w:eastAsia="Times New Roman"/>
        </w:rPr>
        <w:tab/>
      </w:r>
      <w:r w:rsidRPr="00C2368C">
        <w:rPr>
          <w:rFonts w:eastAsia="Times New Roman"/>
        </w:rPr>
        <w:tab/>
        <w:t>32–33</w:t>
      </w:r>
      <w:r w:rsidRPr="00C2368C">
        <w:rPr>
          <w:rFonts w:eastAsia="Times New Roman"/>
        </w:rPr>
        <w:tab/>
        <w:t>8</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b/>
        <w:t>XVI.</w:t>
      </w:r>
      <w:r w:rsidRPr="00C2368C">
        <w:rPr>
          <w:rFonts w:eastAsia="Times New Roman"/>
        </w:rPr>
        <w:tab/>
      </w:r>
      <w:r w:rsidR="00B27B96" w:rsidRPr="00C2368C">
        <w:t>Questions diverses (point 15 de l’ordre du jour)</w:t>
      </w:r>
      <w:r w:rsidRPr="00C2368C">
        <w:rPr>
          <w:rFonts w:eastAsia="Times New Roman"/>
        </w:rPr>
        <w:tab/>
      </w:r>
      <w:r w:rsidRPr="00C2368C">
        <w:rPr>
          <w:rFonts w:eastAsia="Times New Roman"/>
        </w:rPr>
        <w:tab/>
        <w:t>34–35</w:t>
      </w:r>
      <w:r w:rsidRPr="00C2368C">
        <w:rPr>
          <w:rFonts w:eastAsia="Times New Roman"/>
        </w:rPr>
        <w:tab/>
      </w:r>
      <w:r w:rsidR="00C65E89">
        <w:rPr>
          <w:rFonts w:eastAsia="Times New Roman"/>
        </w:rPr>
        <w:t>9</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b/>
        <w:t>XVII.</w:t>
      </w:r>
      <w:r w:rsidRPr="00C2368C">
        <w:rPr>
          <w:rFonts w:eastAsia="Times New Roman"/>
        </w:rPr>
        <w:tab/>
      </w:r>
      <w:r w:rsidR="00B27B96" w:rsidRPr="00C2368C">
        <w:t xml:space="preserve">Ordre du jour provisoire de la soixante-dixième session (point 16 </w:t>
      </w:r>
      <w:r w:rsidR="00B27B96" w:rsidRPr="00C2368C">
        <w:br/>
      </w:r>
      <w:r w:rsidR="00B27B96" w:rsidRPr="00C2368C">
        <w:tab/>
      </w:r>
      <w:r w:rsidR="00B27B96" w:rsidRPr="00C2368C">
        <w:tab/>
        <w:t>de l’ordre du jour)</w:t>
      </w:r>
      <w:r w:rsidRPr="00C2368C">
        <w:rPr>
          <w:rFonts w:eastAsia="Times New Roman"/>
        </w:rPr>
        <w:tab/>
      </w:r>
      <w:r w:rsidRPr="00C2368C">
        <w:rPr>
          <w:rFonts w:eastAsia="Times New Roman"/>
        </w:rPr>
        <w:tab/>
        <w:t>36</w:t>
      </w:r>
      <w:r w:rsidRPr="00C2368C">
        <w:rPr>
          <w:rFonts w:eastAsia="Times New Roman"/>
        </w:rPr>
        <w:tab/>
        <w:t>9</w:t>
      </w:r>
    </w:p>
    <w:p w:rsidR="00B1308C" w:rsidRPr="00C2368C" w:rsidRDefault="00B1308C" w:rsidP="00B1308C">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rFonts w:eastAsia="Times New Roman"/>
        </w:rPr>
      </w:pPr>
      <w:r w:rsidRPr="00C2368C">
        <w:rPr>
          <w:rFonts w:eastAsia="Times New Roman"/>
        </w:rPr>
        <w:t>Annexes</w:t>
      </w:r>
    </w:p>
    <w:p w:rsidR="00B1308C" w:rsidRPr="00C2368C" w:rsidRDefault="00B1308C" w:rsidP="00B1308C">
      <w:pPr>
        <w:tabs>
          <w:tab w:val="right" w:pos="850"/>
          <w:tab w:val="left" w:pos="1134"/>
          <w:tab w:val="left" w:pos="1600"/>
          <w:tab w:val="left" w:pos="1984"/>
          <w:tab w:val="right" w:leader="dot" w:pos="8929"/>
          <w:tab w:val="right" w:pos="9638"/>
        </w:tabs>
        <w:kinsoku/>
        <w:overflowPunct/>
        <w:autoSpaceDE/>
        <w:autoSpaceDN/>
        <w:adjustRightInd/>
        <w:snapToGrid/>
        <w:spacing w:after="120"/>
        <w:ind w:left="1600" w:right="2239" w:hanging="1600"/>
        <w:rPr>
          <w:rFonts w:eastAsia="Times New Roman"/>
        </w:rPr>
      </w:pPr>
      <w:r w:rsidRPr="00C2368C">
        <w:rPr>
          <w:rFonts w:eastAsia="Times New Roman"/>
        </w:rPr>
        <w:tab/>
        <w:t>I.</w:t>
      </w:r>
      <w:r w:rsidRPr="00C2368C">
        <w:rPr>
          <w:rFonts w:eastAsia="Times New Roman"/>
        </w:rPr>
        <w:tab/>
      </w:r>
      <w:r w:rsidR="00676249" w:rsidRPr="00C2368C">
        <w:t>Liste des documents informels (GRB-69-…) distribués lors de la session</w:t>
      </w:r>
      <w:r w:rsidRPr="00C2368C">
        <w:rPr>
          <w:rFonts w:eastAsia="Times New Roman"/>
        </w:rPr>
        <w:tab/>
      </w:r>
      <w:r w:rsidRPr="00C2368C">
        <w:rPr>
          <w:rFonts w:eastAsia="Times New Roman"/>
        </w:rPr>
        <w:tab/>
        <w:t>10</w:t>
      </w:r>
    </w:p>
    <w:p w:rsidR="00B1308C" w:rsidRPr="00C2368C" w:rsidRDefault="00B1308C" w:rsidP="00B1308C">
      <w:pPr>
        <w:tabs>
          <w:tab w:val="right" w:pos="850"/>
          <w:tab w:val="left" w:pos="1134"/>
          <w:tab w:val="left" w:pos="1984"/>
          <w:tab w:val="right" w:leader="dot" w:pos="8929"/>
          <w:tab w:val="right" w:pos="9638"/>
        </w:tabs>
        <w:kinsoku/>
        <w:overflowPunct/>
        <w:autoSpaceDE/>
        <w:autoSpaceDN/>
        <w:adjustRightInd/>
        <w:snapToGrid/>
        <w:spacing w:after="120"/>
        <w:ind w:left="1134" w:right="2239" w:hanging="1600"/>
        <w:rPr>
          <w:rFonts w:eastAsia="Times New Roman"/>
        </w:rPr>
      </w:pPr>
      <w:r w:rsidRPr="00C2368C">
        <w:rPr>
          <w:rFonts w:eastAsia="Times New Roman"/>
        </w:rPr>
        <w:tab/>
        <w:t>II.</w:t>
      </w:r>
      <w:r w:rsidRPr="00C2368C">
        <w:rPr>
          <w:rFonts w:eastAsia="Times New Roman"/>
        </w:rPr>
        <w:tab/>
      </w:r>
      <w:r w:rsidR="00676249" w:rsidRPr="00C2368C">
        <w:t>Amendements au Règlement ONU n</w:t>
      </w:r>
      <w:r w:rsidR="00676249" w:rsidRPr="00C2368C">
        <w:rPr>
          <w:vertAlign w:val="superscript"/>
        </w:rPr>
        <w:t>o</w:t>
      </w:r>
      <w:r w:rsidR="00676249" w:rsidRPr="00C2368C">
        <w:t> 138 adoptés (sur la base du document GRB-69-06)</w:t>
      </w:r>
      <w:r w:rsidRPr="00C2368C">
        <w:rPr>
          <w:rFonts w:eastAsia="Times New Roman"/>
        </w:rPr>
        <w:tab/>
      </w:r>
      <w:r w:rsidRPr="00C2368C">
        <w:rPr>
          <w:rFonts w:eastAsia="Times New Roman"/>
        </w:rPr>
        <w:tab/>
        <w:t>12</w:t>
      </w:r>
    </w:p>
    <w:p w:rsidR="00B1308C" w:rsidRPr="00C2368C" w:rsidRDefault="00B1308C" w:rsidP="00B1308C">
      <w:pPr>
        <w:tabs>
          <w:tab w:val="right" w:pos="850"/>
          <w:tab w:val="left" w:pos="1134"/>
          <w:tab w:val="left" w:pos="1984"/>
          <w:tab w:val="right" w:leader="dot" w:pos="8929"/>
          <w:tab w:val="right" w:pos="9638"/>
        </w:tabs>
        <w:kinsoku/>
        <w:overflowPunct/>
        <w:autoSpaceDE/>
        <w:autoSpaceDN/>
        <w:adjustRightInd/>
        <w:snapToGrid/>
        <w:spacing w:after="120"/>
        <w:ind w:left="1134" w:right="2239" w:hanging="1600"/>
        <w:rPr>
          <w:rFonts w:eastAsia="Times New Roman"/>
        </w:rPr>
      </w:pPr>
      <w:r w:rsidRPr="00C2368C">
        <w:rPr>
          <w:rFonts w:eastAsia="Times New Roman"/>
        </w:rPr>
        <w:tab/>
        <w:t>III.</w:t>
      </w:r>
      <w:r w:rsidRPr="00C2368C">
        <w:rPr>
          <w:rFonts w:eastAsia="Times New Roman"/>
        </w:rPr>
        <w:tab/>
      </w:r>
      <w:r w:rsidR="00676249" w:rsidRPr="00C2368C">
        <w:t xml:space="preserve">Amendements au document ECE/TRANS/WP.29/GRB/2019/5 adoptés </w:t>
      </w:r>
      <w:r w:rsidR="00676249" w:rsidRPr="00C2368C">
        <w:br/>
        <w:t>(sur la base du document GRB-69-11-Rev.1)</w:t>
      </w:r>
      <w:r w:rsidRPr="00C2368C">
        <w:rPr>
          <w:rFonts w:eastAsia="Times New Roman"/>
        </w:rPr>
        <w:tab/>
      </w:r>
      <w:r w:rsidRPr="00C2368C">
        <w:rPr>
          <w:rFonts w:eastAsia="Times New Roman"/>
        </w:rPr>
        <w:tab/>
        <w:t>16</w:t>
      </w:r>
    </w:p>
    <w:p w:rsidR="00B1308C" w:rsidRPr="00C2368C" w:rsidRDefault="00B1308C" w:rsidP="00B1308C">
      <w:pPr>
        <w:tabs>
          <w:tab w:val="right" w:pos="850"/>
          <w:tab w:val="left" w:pos="1134"/>
          <w:tab w:val="left" w:pos="1984"/>
          <w:tab w:val="right" w:leader="dot" w:pos="8929"/>
          <w:tab w:val="right" w:pos="9638"/>
        </w:tabs>
        <w:kinsoku/>
        <w:overflowPunct/>
        <w:autoSpaceDE/>
        <w:autoSpaceDN/>
        <w:adjustRightInd/>
        <w:snapToGrid/>
        <w:spacing w:after="120"/>
        <w:ind w:left="1134" w:right="2239" w:hanging="1600"/>
        <w:rPr>
          <w:rFonts w:eastAsia="Times New Roman"/>
        </w:rPr>
      </w:pPr>
      <w:r w:rsidRPr="00C2368C">
        <w:rPr>
          <w:rFonts w:eastAsia="Times New Roman"/>
        </w:rPr>
        <w:tab/>
        <w:t>IV.</w:t>
      </w:r>
      <w:r w:rsidRPr="00C2368C">
        <w:rPr>
          <w:rFonts w:eastAsia="Times New Roman"/>
        </w:rPr>
        <w:tab/>
      </w:r>
      <w:r w:rsidR="00E34DFF" w:rsidRPr="00C2368C">
        <w:t xml:space="preserve">Amendements au document ECE/TRANS/WP.29/GRB/2019/7 adoptés </w:t>
      </w:r>
      <w:r w:rsidR="00E34DFF" w:rsidRPr="00C2368C">
        <w:br/>
        <w:t>(sur la base du document GRB-69-24-Rev.1)</w:t>
      </w:r>
      <w:r w:rsidRPr="00C2368C">
        <w:rPr>
          <w:rFonts w:eastAsia="Times New Roman"/>
        </w:rPr>
        <w:tab/>
      </w:r>
      <w:r w:rsidRPr="00C2368C">
        <w:rPr>
          <w:rFonts w:eastAsia="Times New Roman"/>
        </w:rPr>
        <w:tab/>
        <w:t>18</w:t>
      </w:r>
    </w:p>
    <w:p w:rsidR="00B1308C" w:rsidRPr="00C2368C" w:rsidRDefault="00B1308C" w:rsidP="00B1308C">
      <w:pPr>
        <w:tabs>
          <w:tab w:val="right" w:pos="850"/>
          <w:tab w:val="left" w:pos="1134"/>
          <w:tab w:val="left" w:pos="1984"/>
          <w:tab w:val="right" w:leader="dot" w:pos="8929"/>
          <w:tab w:val="right" w:pos="9638"/>
        </w:tabs>
        <w:kinsoku/>
        <w:overflowPunct/>
        <w:autoSpaceDE/>
        <w:autoSpaceDN/>
        <w:adjustRightInd/>
        <w:snapToGrid/>
        <w:spacing w:after="120"/>
        <w:ind w:left="1134" w:right="1892" w:hanging="1600"/>
        <w:rPr>
          <w:rFonts w:eastAsia="Times New Roman"/>
        </w:rPr>
      </w:pPr>
      <w:r w:rsidRPr="00C2368C">
        <w:rPr>
          <w:rFonts w:eastAsia="Times New Roman"/>
        </w:rPr>
        <w:tab/>
        <w:t>V.</w:t>
      </w:r>
      <w:r w:rsidRPr="00C2368C">
        <w:rPr>
          <w:rFonts w:eastAsia="Times New Roman"/>
        </w:rPr>
        <w:tab/>
      </w:r>
      <w:r w:rsidR="00E34DFF" w:rsidRPr="00C2368C">
        <w:t>Mandat du Groupe de travail informel de l’adhérence sur sol mouillé des pneumatiques usés</w:t>
      </w:r>
      <w:r w:rsidRPr="00C2368C">
        <w:rPr>
          <w:rFonts w:eastAsia="Times New Roman"/>
        </w:rPr>
        <w:tab/>
      </w:r>
      <w:r w:rsidRPr="00C2368C">
        <w:rPr>
          <w:rFonts w:eastAsia="Times New Roman"/>
        </w:rPr>
        <w:tab/>
        <w:t>19</w:t>
      </w:r>
    </w:p>
    <w:p w:rsidR="003F6A77" w:rsidRPr="00C2368C" w:rsidRDefault="00B1308C" w:rsidP="003F6A77">
      <w:pPr>
        <w:tabs>
          <w:tab w:val="right" w:pos="850"/>
          <w:tab w:val="left" w:pos="1134"/>
          <w:tab w:val="left" w:pos="1984"/>
          <w:tab w:val="right" w:leader="dot" w:pos="8929"/>
          <w:tab w:val="right" w:pos="9638"/>
        </w:tabs>
        <w:kinsoku/>
        <w:overflowPunct/>
        <w:autoSpaceDE/>
        <w:autoSpaceDN/>
        <w:adjustRightInd/>
        <w:snapToGrid/>
        <w:spacing w:after="120"/>
        <w:ind w:left="1134" w:right="1892" w:hanging="1600"/>
        <w:rPr>
          <w:rFonts w:eastAsia="Times New Roman"/>
        </w:rPr>
      </w:pPr>
      <w:r w:rsidRPr="00C2368C">
        <w:rPr>
          <w:rFonts w:eastAsia="Times New Roman"/>
        </w:rPr>
        <w:tab/>
        <w:t>VI.</w:t>
      </w:r>
      <w:r w:rsidRPr="00C2368C">
        <w:rPr>
          <w:rFonts w:eastAsia="Times New Roman"/>
        </w:rPr>
        <w:tab/>
      </w:r>
      <w:r w:rsidR="00E34DFF" w:rsidRPr="00C2368C">
        <w:t>Groupes informels du GRB</w:t>
      </w:r>
      <w:r w:rsidRPr="00C2368C">
        <w:rPr>
          <w:rFonts w:eastAsia="Times New Roman"/>
        </w:rPr>
        <w:tab/>
      </w:r>
      <w:r w:rsidRPr="00C2368C">
        <w:rPr>
          <w:rFonts w:eastAsia="Times New Roman"/>
        </w:rPr>
        <w:tab/>
        <w:t>21</w:t>
      </w:r>
    </w:p>
    <w:p w:rsidR="003F6A77" w:rsidRPr="00C2368C" w:rsidRDefault="003F6A77" w:rsidP="004D512B">
      <w:pPr>
        <w:pStyle w:val="HChG"/>
        <w:spacing w:before="0"/>
      </w:pPr>
      <w:r w:rsidRPr="00C2368C">
        <w:br w:type="page"/>
      </w:r>
      <w:r w:rsidRPr="00C2368C">
        <w:lastRenderedPageBreak/>
        <w:tab/>
        <w:t>I.</w:t>
      </w:r>
      <w:r w:rsidRPr="00C2368C">
        <w:tab/>
        <w:t xml:space="preserve">Participation </w:t>
      </w:r>
    </w:p>
    <w:p w:rsidR="003F6A77" w:rsidRPr="00C2368C" w:rsidRDefault="003F6A77" w:rsidP="00422C33">
      <w:pPr>
        <w:pStyle w:val="SingleTxtG"/>
      </w:pPr>
      <w:r w:rsidRPr="00C2368C">
        <w:t>1.</w:t>
      </w:r>
      <w:r w:rsidRPr="00C2368C">
        <w:tab/>
        <w:t>Le Groupe de travail du bruit (GRB) a tenu sa soixante-neuvième session du 22 au 25</w:t>
      </w:r>
      <w:r w:rsidR="00422C33" w:rsidRPr="00C2368C">
        <w:t> </w:t>
      </w:r>
      <w:r w:rsidRPr="00C2368C">
        <w:t xml:space="preserve">janvier 2019, à Genève, sous la présidence de </w:t>
      </w:r>
      <w:r w:rsidR="00422C33" w:rsidRPr="00C2368C">
        <w:t>M. </w:t>
      </w:r>
      <w:r w:rsidRPr="00C2368C">
        <w:t>S.</w:t>
      </w:r>
      <w:r w:rsidR="00422C33" w:rsidRPr="00C2368C">
        <w:t> </w:t>
      </w:r>
      <w:proofErr w:type="spellStart"/>
      <w:r w:rsidRPr="00C2368C">
        <w:t>Ficheux</w:t>
      </w:r>
      <w:proofErr w:type="spellEnd"/>
      <w:r w:rsidRPr="00C2368C">
        <w:t xml:space="preserve"> (France). Y ont participé, conformément à l’article 1 a) du Règlement intérieur du Forum mondial de l’harmonisation des Règlements concernant les véhicules (WP.29) (TRANS/WP.29/690/Rev.1), des experts des pays suivants</w:t>
      </w:r>
      <w:r w:rsidR="00422C33" w:rsidRPr="00C2368C">
        <w:t> </w:t>
      </w:r>
      <w:r w:rsidRPr="00C2368C">
        <w:t>: Allemagne, Chine, Espagne, Fédération de Russie, Finlande, France, Inde, Italie, Japon, Norvège, Pays-Bas, Pologne, République de Corée, Royaume-Uni de Grande-Bretagne et d’Irlande du Nord, Suède, Suisse et Turquie. Un expert de la Commission européenne (CE) était également présent. Des experts des organisations non gouvernementales suivantes o</w:t>
      </w:r>
      <w:r w:rsidR="00422C33" w:rsidRPr="00C2368C">
        <w:t>nt aussi participé à la session </w:t>
      </w:r>
      <w:r w:rsidRPr="00C2368C">
        <w:t xml:space="preserve">: Association des fabricants européens de roues (EUWA), Association européenne des fournisseurs de l’automobile (CLEPA), Association internationale des constructeurs de motocycles (IMMA), Bureau International Permanent des Associations de Vendeurs et </w:t>
      </w:r>
      <w:proofErr w:type="spellStart"/>
      <w:r w:rsidRPr="00C2368C">
        <w:t>Rechapeurs</w:t>
      </w:r>
      <w:proofErr w:type="spellEnd"/>
      <w:r w:rsidRPr="00C2368C">
        <w:t xml:space="preserve"> de pneumatiques (BIPAVER), Comité international de l’inspection technique automobile (CITA), Organisation internationale de normalisation (ISO), Organisation internationale des constructeurs d’automobiles (OICA) et Organisation technique européenne du pneumatique et de la jante (ETRTO).</w:t>
      </w:r>
    </w:p>
    <w:p w:rsidR="003F6A77" w:rsidRPr="00C2368C" w:rsidRDefault="003F6A77" w:rsidP="00422C33">
      <w:pPr>
        <w:pStyle w:val="HChG"/>
      </w:pPr>
      <w:r w:rsidRPr="00C2368C">
        <w:tab/>
        <w:t>II.</w:t>
      </w:r>
      <w:r w:rsidRPr="00C2368C">
        <w:tab/>
        <w:t xml:space="preserve">Adoption de l’ordre du jour (point 1 de l’ordre du jour) </w:t>
      </w:r>
    </w:p>
    <w:p w:rsidR="003F6A77" w:rsidRPr="00C2368C" w:rsidRDefault="003F6A77" w:rsidP="0059180D">
      <w:pPr>
        <w:pStyle w:val="SingleTxtG"/>
        <w:ind w:left="2552" w:hanging="1418"/>
        <w:jc w:val="left"/>
      </w:pPr>
      <w:r w:rsidRPr="00C2368C">
        <w:rPr>
          <w:i/>
        </w:rPr>
        <w:t>Document(s)</w:t>
      </w:r>
      <w:r w:rsidR="00E47EFB" w:rsidRPr="00C2368C">
        <w:rPr>
          <w:i/>
        </w:rPr>
        <w:t> </w:t>
      </w:r>
      <w:r w:rsidR="0059180D">
        <w:t>:</w:t>
      </w:r>
      <w:r w:rsidR="0059180D">
        <w:tab/>
        <w:t>ECE/TRANS/WP.29/GRB/2019/1</w:t>
      </w:r>
      <w:r w:rsidR="0059180D">
        <w:br/>
      </w:r>
      <w:r w:rsidRPr="00C2368C">
        <w:t>Document</w:t>
      </w:r>
      <w:r w:rsidR="0059180D">
        <w:t>s</w:t>
      </w:r>
      <w:r w:rsidRPr="00C2368C">
        <w:t xml:space="preserve"> informels GRB</w:t>
      </w:r>
      <w:r w:rsidR="0059180D">
        <w:t>-69-01-Rev.1 et GRB-69-02-Rev.1.</w:t>
      </w:r>
    </w:p>
    <w:p w:rsidR="003F6A77" w:rsidRPr="00C2368C" w:rsidRDefault="003F6A77" w:rsidP="00E47EFB">
      <w:pPr>
        <w:pStyle w:val="SingleTxtG"/>
      </w:pPr>
      <w:r w:rsidRPr="00C2368C">
        <w:t>2.</w:t>
      </w:r>
      <w:r w:rsidRPr="00C2368C">
        <w:tab/>
        <w:t xml:space="preserve">Le Groupe de travail a examiné et adopté l’ordre du jour (ECE/TRANS/WP.29/ GRB/2019/1 modifié par le document GRB-69-01-Rev.1), sous réserve de l’ajout d’un nouveau point 7 d) </w:t>
      </w:r>
      <w:r w:rsidR="00E01DAB" w:rsidRPr="00C2368C">
        <w:t>« </w:t>
      </w:r>
      <w:r w:rsidRPr="00C2368C">
        <w:t xml:space="preserve">Règlement technique mondial ONU </w:t>
      </w:r>
      <w:r w:rsidR="00E01DAB" w:rsidRPr="00C2368C">
        <w:rPr>
          <w:rFonts w:eastAsia="MS Mincho"/>
          <w:szCs w:val="22"/>
        </w:rPr>
        <w:t>n</w:t>
      </w:r>
      <w:r w:rsidR="00E01DAB" w:rsidRPr="00C2368C">
        <w:rPr>
          <w:rFonts w:eastAsia="MS Mincho"/>
          <w:szCs w:val="22"/>
          <w:vertAlign w:val="superscript"/>
        </w:rPr>
        <w:t>o</w:t>
      </w:r>
      <w:r w:rsidR="00E01DAB" w:rsidRPr="00C2368C">
        <w:t> </w:t>
      </w:r>
      <w:r w:rsidRPr="00C2368C">
        <w:t>16 (pneumatiques)</w:t>
      </w:r>
      <w:r w:rsidR="00E01DAB" w:rsidRPr="00C2368C">
        <w:t> »</w:t>
      </w:r>
      <w:r w:rsidRPr="00C2368C">
        <w:t>. Le GRB a pris note de l’ordre d’examen des divers points proposé par le Président (GRB-69-02-Rev.1). La liste des documents informels figure à l’annexe I du rapport. La liste des groupes informels du GRB est reproduite à l’annexe VI.</w:t>
      </w:r>
    </w:p>
    <w:p w:rsidR="003F6A77" w:rsidRPr="00C2368C" w:rsidRDefault="003F6A77" w:rsidP="00E01DAB">
      <w:pPr>
        <w:pStyle w:val="HChG"/>
      </w:pPr>
      <w:r w:rsidRPr="00C2368C">
        <w:tab/>
        <w:t>III.</w:t>
      </w:r>
      <w:r w:rsidRPr="00C2368C">
        <w:tab/>
      </w:r>
      <w:r w:rsidR="00E01DAB" w:rsidRPr="00C2368C">
        <w:t xml:space="preserve">Règlement ONU </w:t>
      </w:r>
      <w:r w:rsidR="00E01DAB" w:rsidRPr="00C2368C">
        <w:rPr>
          <w:rFonts w:eastAsia="MS Mincho"/>
          <w:szCs w:val="22"/>
        </w:rPr>
        <w:t>n</w:t>
      </w:r>
      <w:r w:rsidR="00E01DAB" w:rsidRPr="00C2368C">
        <w:rPr>
          <w:rFonts w:eastAsia="MS Mincho"/>
          <w:szCs w:val="22"/>
          <w:vertAlign w:val="superscript"/>
        </w:rPr>
        <w:t>o</w:t>
      </w:r>
      <w:r w:rsidR="00E01DAB" w:rsidRPr="00C2368C">
        <w:t> </w:t>
      </w:r>
      <w:r w:rsidRPr="00C2368C">
        <w:t>9 (Bruit des véhicules à trois roues)</w:t>
      </w:r>
      <w:r w:rsidR="00E01DAB" w:rsidRPr="00C2368C">
        <w:br/>
      </w:r>
      <w:r w:rsidRPr="00C2368C">
        <w:t>(point 2 de l’ordre du jour)</w:t>
      </w:r>
    </w:p>
    <w:p w:rsidR="003F6A77" w:rsidRPr="00C2368C" w:rsidRDefault="003F6A77" w:rsidP="00E47EFB">
      <w:pPr>
        <w:pStyle w:val="SingleTxtG"/>
        <w:ind w:left="2552" w:hanging="1418"/>
      </w:pPr>
      <w:r w:rsidRPr="00C2368C">
        <w:rPr>
          <w:i/>
        </w:rPr>
        <w:t>Document(s)</w:t>
      </w:r>
      <w:r w:rsidR="00E47EFB" w:rsidRPr="00C2368C">
        <w:rPr>
          <w:i/>
        </w:rPr>
        <w:t> </w:t>
      </w:r>
      <w:r w:rsidRPr="00C2368C">
        <w:t>:</w:t>
      </w:r>
      <w:r w:rsidRPr="00C2368C">
        <w:tab/>
        <w:t>Document</w:t>
      </w:r>
      <w:r w:rsidR="00EA5E74">
        <w:t>s</w:t>
      </w:r>
      <w:r w:rsidRPr="00C2368C">
        <w:t xml:space="preserve"> informels GRB-69-14 et GRB-69-16</w:t>
      </w:r>
      <w:r w:rsidR="00E47EFB" w:rsidRPr="00C2368C">
        <w:t>.</w:t>
      </w:r>
    </w:p>
    <w:p w:rsidR="003F6A77" w:rsidRPr="00C2368C" w:rsidRDefault="003F6A77" w:rsidP="00E01DAB">
      <w:pPr>
        <w:pStyle w:val="SingleTxtG"/>
      </w:pPr>
      <w:r w:rsidRPr="00C2368C">
        <w:t>3.</w:t>
      </w:r>
      <w:r w:rsidRPr="00C2368C">
        <w:tab/>
        <w:t xml:space="preserve">Le Groupe de travail a noté que les propositions de série 08 d’amendements qui avaient été adoptées à sa précédente session </w:t>
      </w:r>
      <w:r w:rsidR="00091783" w:rsidRPr="00C2368C">
        <w:t>(ECE/TRANS/WP.29/GRB/66, par. </w:t>
      </w:r>
      <w:r w:rsidRPr="00C2368C">
        <w:t>3 et annexe II) avaient été soumises au WP.29 et Comité d’administration (AC.1) pour examen et mise aux voix à leurs sessions de mars 2019.</w:t>
      </w:r>
    </w:p>
    <w:p w:rsidR="003F6A77" w:rsidRPr="00C2368C" w:rsidRDefault="003F6A77" w:rsidP="00E01DAB">
      <w:pPr>
        <w:pStyle w:val="SingleTxtG"/>
      </w:pPr>
      <w:r w:rsidRPr="00C2368C">
        <w:t>4.</w:t>
      </w:r>
      <w:r w:rsidRPr="00C2368C">
        <w:tab/>
        <w:t xml:space="preserve">L’expert de l’IMMA a proposé de corriger une incohérence dans les conditions d’exemption applicables aux prescriptions supplémentaires concernant les émissions sonores (PSES) dans le cas des véhicules équipés d’une transmission à variation continue ou d’une transmission automatique dont les rapports ne sont pas </w:t>
      </w:r>
      <w:proofErr w:type="spellStart"/>
      <w:r w:rsidRPr="00C2368C">
        <w:t>verrouillables</w:t>
      </w:r>
      <w:proofErr w:type="spellEnd"/>
      <w:r w:rsidRPr="00C2368C">
        <w:t xml:space="preserve"> (GRB-69-14 et GRB-69-16). L’expert de l’Allemagne a émis une réserve pour étude. Le GRB a invité l’IMMA à faire publier cette proposition en tant que document officiel pour</w:t>
      </w:r>
      <w:r w:rsidR="00E01DAB" w:rsidRPr="00C2368C">
        <w:t xml:space="preserve"> examen à la prochaine session.</w:t>
      </w:r>
    </w:p>
    <w:p w:rsidR="003F6A77" w:rsidRPr="00C2368C" w:rsidRDefault="003F6A77" w:rsidP="00E01DAB">
      <w:pPr>
        <w:pStyle w:val="HChG"/>
      </w:pPr>
      <w:r w:rsidRPr="00C2368C">
        <w:tab/>
        <w:t>IV.</w:t>
      </w:r>
      <w:r w:rsidRPr="00C2368C">
        <w:tab/>
      </w:r>
      <w:r w:rsidR="00E01DAB" w:rsidRPr="00C2368C">
        <w:t xml:space="preserve">Règlement ONU </w:t>
      </w:r>
      <w:r w:rsidR="00E01DAB" w:rsidRPr="00C2368C">
        <w:rPr>
          <w:rFonts w:eastAsia="MS Mincho"/>
          <w:szCs w:val="22"/>
        </w:rPr>
        <w:t>n</w:t>
      </w:r>
      <w:r w:rsidR="00E01DAB" w:rsidRPr="00C2368C">
        <w:rPr>
          <w:rFonts w:eastAsia="MS Mincho"/>
          <w:szCs w:val="22"/>
          <w:vertAlign w:val="superscript"/>
        </w:rPr>
        <w:t>o</w:t>
      </w:r>
      <w:r w:rsidR="00E01DAB" w:rsidRPr="00C2368C">
        <w:t> </w:t>
      </w:r>
      <w:r w:rsidRPr="00C2368C">
        <w:t>41 (Bruit émis par les motocycles)</w:t>
      </w:r>
      <w:r w:rsidR="00E01DAB" w:rsidRPr="00C2368C">
        <w:t> </w:t>
      </w:r>
      <w:r w:rsidRPr="00C2368C">
        <w:t>: Extension (point 3 de l’ordre du jour)</w:t>
      </w:r>
    </w:p>
    <w:p w:rsidR="003F6A77" w:rsidRPr="00C2368C" w:rsidRDefault="003F6A77" w:rsidP="00E01DAB">
      <w:pPr>
        <w:pStyle w:val="SingleTxtG"/>
      </w:pPr>
      <w:r w:rsidRPr="00C2368C">
        <w:t>5.</w:t>
      </w:r>
      <w:r w:rsidRPr="00C2368C">
        <w:tab/>
        <w:t>Aucune proposition nouvelle n’a été examinée au titre de ce point de l’ordre du jour</w:t>
      </w:r>
      <w:r w:rsidR="007F6E95" w:rsidRPr="00C2368C">
        <w:t>.</w:t>
      </w:r>
    </w:p>
    <w:p w:rsidR="003F6A77" w:rsidRPr="00C2368C" w:rsidRDefault="003F6A77" w:rsidP="00E01DAB">
      <w:pPr>
        <w:pStyle w:val="HChG"/>
      </w:pPr>
      <w:r w:rsidRPr="00C2368C">
        <w:lastRenderedPageBreak/>
        <w:tab/>
        <w:t>V.</w:t>
      </w:r>
      <w:r w:rsidRPr="00C2368C">
        <w:tab/>
        <w:t xml:space="preserve">Règlement ONU </w:t>
      </w:r>
      <w:r w:rsidR="00E01DAB" w:rsidRPr="00C2368C">
        <w:rPr>
          <w:rFonts w:eastAsia="MS Mincho"/>
          <w:szCs w:val="22"/>
        </w:rPr>
        <w:t>n</w:t>
      </w:r>
      <w:r w:rsidR="00E01DAB" w:rsidRPr="00C2368C">
        <w:rPr>
          <w:rFonts w:eastAsia="MS Mincho"/>
          <w:szCs w:val="22"/>
          <w:vertAlign w:val="superscript"/>
        </w:rPr>
        <w:t>o</w:t>
      </w:r>
      <w:r w:rsidR="00E01DAB" w:rsidRPr="00C2368C">
        <w:t> </w:t>
      </w:r>
      <w:r w:rsidRPr="00C2368C">
        <w:t>51 (Bruit des véhicules des catégories M et N) (point 4 de l’ordre du jour)</w:t>
      </w:r>
    </w:p>
    <w:p w:rsidR="003F6A77" w:rsidRPr="00C2368C" w:rsidRDefault="003F6A77" w:rsidP="00E01DAB">
      <w:pPr>
        <w:pStyle w:val="H1G"/>
      </w:pPr>
      <w:r w:rsidRPr="00C2368C">
        <w:tab/>
        <w:t>A.</w:t>
      </w:r>
      <w:r w:rsidRPr="00C2368C">
        <w:tab/>
        <w:t>Extension</w:t>
      </w:r>
    </w:p>
    <w:p w:rsidR="003F6A77" w:rsidRPr="00C2368C" w:rsidRDefault="003F6A77" w:rsidP="007F6E95">
      <w:pPr>
        <w:pStyle w:val="SingleTxtG"/>
        <w:ind w:left="2552" w:hanging="1418"/>
        <w:jc w:val="left"/>
      </w:pPr>
      <w:r w:rsidRPr="00C86A01">
        <w:rPr>
          <w:i/>
        </w:rPr>
        <w:t>Document(</w:t>
      </w:r>
      <w:r w:rsidRPr="00C2368C">
        <w:rPr>
          <w:i/>
        </w:rPr>
        <w:t>s)</w:t>
      </w:r>
      <w:r w:rsidR="005C0E38">
        <w:rPr>
          <w:i/>
        </w:rPr>
        <w:t> </w:t>
      </w:r>
      <w:r w:rsidRPr="005C0E38">
        <w:t>:</w:t>
      </w:r>
      <w:r w:rsidRPr="00C2368C">
        <w:rPr>
          <w:i/>
        </w:rPr>
        <w:tab/>
      </w:r>
      <w:r w:rsidRPr="00C2368C">
        <w:t>ECE/TRANS/WP.29/GRB/2019/8, ECE/TRANS/WP.29/GRB/2019/9 ECE/TRANS/WP.29/GRB/2019/10, ECE/TRANS/WP.29/GRB/2019/11 Document informel GRB-69-18</w:t>
      </w:r>
      <w:r w:rsidR="00931CF2" w:rsidRPr="00C2368C">
        <w:t>.</w:t>
      </w:r>
    </w:p>
    <w:p w:rsidR="003F6A77" w:rsidRPr="00C2368C" w:rsidRDefault="003F6A77" w:rsidP="003F6A77">
      <w:pPr>
        <w:pStyle w:val="SingleTxtG"/>
      </w:pPr>
      <w:r w:rsidRPr="00C2368C">
        <w:t>6.</w:t>
      </w:r>
      <w:r w:rsidRPr="00C2368C">
        <w:tab/>
        <w:t xml:space="preserve">Le Président du groupe de travail informel des prescriptions supplémentaires concernant les émissions sonores a proposé d’introduire des dispositions transitoires pour les compléments 4 et 5 à la série 03 d’amendements au Règlement ONU </w:t>
      </w:r>
      <w:r w:rsidR="007F6E95" w:rsidRPr="00C2368C">
        <w:rPr>
          <w:rFonts w:eastAsia="MS Mincho"/>
          <w:szCs w:val="22"/>
        </w:rPr>
        <w:t>n</w:t>
      </w:r>
      <w:r w:rsidR="007F6E95" w:rsidRPr="00C2368C">
        <w:rPr>
          <w:rFonts w:eastAsia="MS Mincho"/>
          <w:szCs w:val="22"/>
          <w:vertAlign w:val="superscript"/>
        </w:rPr>
        <w:t>o</w:t>
      </w:r>
      <w:r w:rsidR="007F6E95" w:rsidRPr="00C2368C">
        <w:t> </w:t>
      </w:r>
      <w:r w:rsidRPr="00C2368C">
        <w:t>51 (ECE/TRANS/WP.29/GRB/2019/9 et ECE/TRANS/WP.29/GRB/2019/11). Le GRB a adopté ces propositions et rappelé que le complément 5 devait encore être examiné par le WP.29 à sa session de mars 2019 (ECE/TRANS/WP.29/2019/4). Afin d’accélérer la procédure d’amendement, le GRB a demandé au secrétariat de publier une version révisée du document ECE/TRANS/WP.29/2019/4 avec les</w:t>
      </w:r>
      <w:r w:rsidR="007F6E95" w:rsidRPr="00C2368C">
        <w:t xml:space="preserve"> mesures transitoires adoptées.</w:t>
      </w:r>
    </w:p>
    <w:p w:rsidR="003F6A77" w:rsidRPr="00C2368C" w:rsidRDefault="003F6A77" w:rsidP="003F6A77">
      <w:pPr>
        <w:pStyle w:val="SingleTxtG"/>
      </w:pPr>
      <w:r w:rsidRPr="00C2368C">
        <w:t>7.</w:t>
      </w:r>
      <w:r w:rsidRPr="00C2368C">
        <w:tab/>
        <w:t>Le Groupe de travail a également noté qu’au cours de l’adoption du complément 4 à</w:t>
      </w:r>
      <w:r w:rsidR="007F6E95" w:rsidRPr="00C2368C">
        <w:t> </w:t>
      </w:r>
      <w:r w:rsidRPr="00C2368C">
        <w:t>la série 03 d’amendements une phrase du paragraphe 3.1.2.1.4.2 de l’annexe 3 avait été supprimée par erreur (ECE/TRANS/WP.29/GRB/2019/9). Pour rétablir cette phrase, le GRB a prié le secrétariat de publier un rectificatif à ce complément qui serait réputé applicable dès le début. Le GRB a aussi adopté une correction rédactionnelle mineure au paragraphe 3.1.2.1 de l’annexe 3 (ECE/TRANS/WP.29/GRB/2019/8).</w:t>
      </w:r>
    </w:p>
    <w:p w:rsidR="003F6A77" w:rsidRPr="00C2368C" w:rsidRDefault="003F6A77" w:rsidP="003F6A77">
      <w:pPr>
        <w:pStyle w:val="SingleTxtG"/>
      </w:pPr>
      <w:r w:rsidRPr="00C2368C">
        <w:t>8.</w:t>
      </w:r>
      <w:r w:rsidRPr="00C2368C">
        <w:tab/>
        <w:t>Le Président du groupe de travail informel des prescriptions supplémentaires concernant les émissions sonores a proposé un nouveau complément 6 à la série 03 d’amendements pour corriger une référence et préciser les prescriptions applicables au niveau sonore à l’arrêt (ECE/TRANS/WP.29/GRB/2019/10). L’expert de l’Allemagne appuyé par l’expert des Pays-Bas, a soulevé plusieurs questions concernant cette proposition. Le GRB a décidé de reporter la discussion à sa prochaine session et invité toutes les parties concernées à établir une formulation révisée susceptible de répondre aux préoccupatio</w:t>
      </w:r>
      <w:r w:rsidR="00E528DB" w:rsidRPr="00C2368C">
        <w:t>ns de l’expert de l’Allemagne.</w:t>
      </w:r>
    </w:p>
    <w:p w:rsidR="003F6A77" w:rsidRPr="00C2368C" w:rsidRDefault="003F6A77" w:rsidP="003F6A77">
      <w:pPr>
        <w:pStyle w:val="SingleTxtG"/>
      </w:pPr>
      <w:r w:rsidRPr="00C2368C">
        <w:t>9.</w:t>
      </w:r>
      <w:r w:rsidRPr="00C2368C">
        <w:tab/>
        <w:t xml:space="preserve">L’expert de la Chine a rendu compte d’une étude préliminaire des méthodes d’essai pour la série 03 d’amendements au Règlement ONU </w:t>
      </w:r>
      <w:r w:rsidR="00E528DB" w:rsidRPr="00C2368C">
        <w:rPr>
          <w:rFonts w:eastAsia="MS Mincho"/>
          <w:szCs w:val="22"/>
        </w:rPr>
        <w:t>n</w:t>
      </w:r>
      <w:r w:rsidR="00E528DB" w:rsidRPr="00C2368C">
        <w:rPr>
          <w:rFonts w:eastAsia="MS Mincho"/>
          <w:szCs w:val="22"/>
          <w:vertAlign w:val="superscript"/>
        </w:rPr>
        <w:t>o</w:t>
      </w:r>
      <w:r w:rsidR="00E528DB" w:rsidRPr="00C2368C">
        <w:t> </w:t>
      </w:r>
      <w:r w:rsidRPr="00C2368C">
        <w:t>51 (GRB-69-18). Le Groupe de travail a pris note de cette information et décidé de reporter l’examen de la question en attendant que davantage d</w:t>
      </w:r>
      <w:r w:rsidR="000A1E18" w:rsidRPr="00C2368C">
        <w:t>e résultats soient disponibles.</w:t>
      </w:r>
    </w:p>
    <w:p w:rsidR="003F6A77" w:rsidRPr="00C2368C" w:rsidRDefault="003F6A77" w:rsidP="00E528DB">
      <w:pPr>
        <w:pStyle w:val="H1G"/>
      </w:pPr>
      <w:r w:rsidRPr="00C2368C">
        <w:tab/>
        <w:t>B.</w:t>
      </w:r>
      <w:r w:rsidRPr="00C2368C">
        <w:tab/>
        <w:t>Prescriptions supplémentaires concernant les émissions sonores</w:t>
      </w:r>
    </w:p>
    <w:p w:rsidR="003F6A77" w:rsidRPr="00C2368C" w:rsidRDefault="003F6A77" w:rsidP="000A1E18">
      <w:pPr>
        <w:pStyle w:val="SingleTxtG"/>
        <w:ind w:left="2552" w:hanging="1418"/>
        <w:jc w:val="left"/>
      </w:pPr>
      <w:r w:rsidRPr="00C2368C">
        <w:rPr>
          <w:i/>
        </w:rPr>
        <w:t>Document(s)</w:t>
      </w:r>
      <w:r w:rsidR="00E528DB" w:rsidRPr="00C2368C">
        <w:rPr>
          <w:i/>
        </w:rPr>
        <w:t> </w:t>
      </w:r>
      <w:r w:rsidRPr="00C2368C">
        <w:t>:</w:t>
      </w:r>
      <w:r w:rsidRPr="00C2368C">
        <w:tab/>
        <w:t xml:space="preserve">Documents informels GRB-69-05, GRB-69-13, GRB-69-15 </w:t>
      </w:r>
      <w:r w:rsidR="000A1E18" w:rsidRPr="00C2368C">
        <w:br/>
      </w:r>
      <w:r w:rsidRPr="00C2368C">
        <w:t>et GRB-69-26</w:t>
      </w:r>
      <w:r w:rsidR="000A1E18" w:rsidRPr="00C2368C">
        <w:t>.</w:t>
      </w:r>
    </w:p>
    <w:p w:rsidR="003F6A77" w:rsidRPr="00C2368C" w:rsidRDefault="003F6A77" w:rsidP="003F6A77">
      <w:pPr>
        <w:pStyle w:val="SingleTxtG"/>
      </w:pPr>
      <w:r w:rsidRPr="00C2368C">
        <w:t>10.</w:t>
      </w:r>
      <w:r w:rsidRPr="00C2368C">
        <w:tab/>
        <w:t>Le Groupe de travail a pris note des progrès réalisés par le groupe de travail informel sur les prescriptions supplémentaires concernant les émissions sonores (GRB-69-13).</w:t>
      </w:r>
    </w:p>
    <w:p w:rsidR="003F6A77" w:rsidRPr="00C2368C" w:rsidRDefault="003F6A77" w:rsidP="003F6A77">
      <w:pPr>
        <w:pStyle w:val="SingleTxtG"/>
      </w:pPr>
      <w:r w:rsidRPr="00C2368C">
        <w:t>11.</w:t>
      </w:r>
      <w:r w:rsidRPr="00C2368C">
        <w:tab/>
        <w:t>L’expert de l’OICA a soulevé la question de l’incertitude de la mesure des émissions sonores</w:t>
      </w:r>
      <w:r w:rsidR="000A1E18" w:rsidRPr="00C2368C">
        <w:t xml:space="preserve"> conformément au Règlement ONU </w:t>
      </w:r>
      <w:r w:rsidR="000A1E18" w:rsidRPr="00C2368C">
        <w:rPr>
          <w:rFonts w:eastAsia="MS Mincho"/>
          <w:szCs w:val="22"/>
        </w:rPr>
        <w:t>n</w:t>
      </w:r>
      <w:r w:rsidR="000A1E18" w:rsidRPr="00C2368C">
        <w:rPr>
          <w:rFonts w:eastAsia="MS Mincho"/>
          <w:szCs w:val="22"/>
          <w:vertAlign w:val="superscript"/>
        </w:rPr>
        <w:t>o</w:t>
      </w:r>
      <w:r w:rsidR="000A1E18" w:rsidRPr="00C2368C">
        <w:t> </w:t>
      </w:r>
      <w:r w:rsidRPr="00C2368C">
        <w:t>51 et à certains autres Règlements de l’ONU (GRB-69-15). Il a souligné que ces incertitudes étaient dues notamment à des variations au sein du même laboratoire (d’un essai à l’autre), à des variations des conditions ambiantes et des propriétés des équipements de mesure (d’un jour à l’autre) et à des variations entre les essais en laboratoire et l’état du revêtement de la chaussée (d’un site à l’autre). L’expert de l’ISO a rendu compte d’expériences de terrain en matière de mesure des variations conformément à la norme ISO</w:t>
      </w:r>
      <w:r w:rsidR="000A1E18" w:rsidRPr="00C2368C">
        <w:t> </w:t>
      </w:r>
      <w:r w:rsidRPr="00C2368C">
        <w:t>16254 (GRB-69-26). Afin de réduire les variations et d’améliorer la reproductibilité des résultats, il a proposé qu’un microphone unique soit remplacé par un réseau de microphones.</w:t>
      </w:r>
    </w:p>
    <w:p w:rsidR="003F6A77" w:rsidRPr="00C2368C" w:rsidRDefault="003F6A77" w:rsidP="003F6A77">
      <w:pPr>
        <w:pStyle w:val="SingleTxtG"/>
      </w:pPr>
      <w:r w:rsidRPr="00C2368C">
        <w:t>12.</w:t>
      </w:r>
      <w:r w:rsidRPr="00C2368C">
        <w:tab/>
        <w:t>Les experts de l’Allemagne et de la France ont proposé d’aborder la question des différences non</w:t>
      </w:r>
      <w:r w:rsidR="00C86A01">
        <w:t xml:space="preserve"> </w:t>
      </w:r>
      <w:r w:rsidRPr="00C2368C">
        <w:t xml:space="preserve">négligeables en matière d’émissions sonores lorsque les essais de contrôle de la conformité de production n’ont pas été effectués dans les mêmes conditions que les </w:t>
      </w:r>
      <w:r w:rsidRPr="00C2368C">
        <w:lastRenderedPageBreak/>
        <w:t xml:space="preserve">essais d’homologation de type (GRB-69-05). La proposition visait à introduire des conditions et des procédures à suivre pour comparer les pistes d’essai et pour appliquer des corrections à la valeur </w:t>
      </w:r>
      <w:proofErr w:type="spellStart"/>
      <w:r w:rsidRPr="00C2368C">
        <w:t>L</w:t>
      </w:r>
      <w:r w:rsidRPr="00C2368C">
        <w:rPr>
          <w:vertAlign w:val="subscript"/>
        </w:rPr>
        <w:t>urban</w:t>
      </w:r>
      <w:proofErr w:type="spellEnd"/>
      <w:r w:rsidRPr="00C2368C">
        <w:t>. Le Groupe de travail a salué cette initiative et l’a qualifiée d’important point de départ pour de nouveaux travaux, invitant les experts du GRB à la soutenir à l’aide de données réelles.</w:t>
      </w:r>
    </w:p>
    <w:p w:rsidR="003F6A77" w:rsidRPr="00C2368C" w:rsidRDefault="003F6A77" w:rsidP="003F6A77">
      <w:pPr>
        <w:pStyle w:val="SingleTxtG"/>
      </w:pPr>
      <w:r w:rsidRPr="00C2368C">
        <w:t>13.</w:t>
      </w:r>
      <w:r w:rsidRPr="00C2368C">
        <w:tab/>
        <w:t>Le Groupe de travail a souligné qu’il était important de traiter le problème des incertitudes et a souligné la nécessité de mettre sur pied une nouvelle équipe spéciale à cet effet. Même si l’OICA a proposé de fournir des services de secrétariat à l’équipe spéciale, le GRB n’était pas en mesure d’identifier un expert gouvernemental qui puisse se charger d’en prendre les commandes en raison des ressources limitées des autorités compétentes. Le Groupe de travail a néanmoins estimé que l’équipe spéciale devrait se mettre au travail dès que possible, même en l’absence d’un responsable officiel. Il a demandé au secrétariat de créer un site consacré à l’équipe spéciale et proposé qu’elle se réunisse en même temps que d’autres groupes de travail informels, pour réduire les frais de voyage des participants. Le GRB a invité son président à rendre compte de cette question au Comité de gestion pour la coordination des travaux (WP.29/AC.2).</w:t>
      </w:r>
    </w:p>
    <w:p w:rsidR="003F6A77" w:rsidRPr="00C2368C" w:rsidRDefault="003F6A77" w:rsidP="00A748D9">
      <w:pPr>
        <w:pStyle w:val="HChG"/>
      </w:pPr>
      <w:r w:rsidRPr="00C2368C">
        <w:tab/>
        <w:t>VI.</w:t>
      </w:r>
      <w:r w:rsidRPr="00C2368C">
        <w:tab/>
        <w:t xml:space="preserve">Règlement ONU </w:t>
      </w:r>
      <w:r w:rsidR="00D068BC" w:rsidRPr="00C2368C">
        <w:rPr>
          <w:rFonts w:eastAsia="MS Mincho"/>
          <w:szCs w:val="22"/>
        </w:rPr>
        <w:t>n</w:t>
      </w:r>
      <w:r w:rsidR="00D068BC" w:rsidRPr="00C2368C">
        <w:rPr>
          <w:rFonts w:eastAsia="MS Mincho"/>
          <w:szCs w:val="22"/>
          <w:vertAlign w:val="superscript"/>
        </w:rPr>
        <w:t>o</w:t>
      </w:r>
      <w:r w:rsidR="00D068BC" w:rsidRPr="00C2368C">
        <w:t> </w:t>
      </w:r>
      <w:r w:rsidRPr="00C2368C">
        <w:t xml:space="preserve">92 (Dispositifs silencieux d’échappement de remplacement pour motocycles) (point 5 de l’ordre </w:t>
      </w:r>
      <w:r w:rsidR="00D068BC" w:rsidRPr="00C2368C">
        <w:br/>
      </w:r>
      <w:r w:rsidRPr="00C2368C">
        <w:t xml:space="preserve">du jour) </w:t>
      </w:r>
    </w:p>
    <w:p w:rsidR="003F6A77" w:rsidRPr="00C2368C" w:rsidRDefault="003F6A77" w:rsidP="003F6A77">
      <w:pPr>
        <w:pStyle w:val="SingleTxtG"/>
      </w:pPr>
      <w:r w:rsidRPr="00C2368C">
        <w:t>14.</w:t>
      </w:r>
      <w:r w:rsidRPr="00C2368C">
        <w:tab/>
        <w:t>Le Groupe de travail a noté que les propositions concernant la série 02 d’amendements qu’il avait adoptées à la précédente sessio</w:t>
      </w:r>
      <w:r w:rsidR="008208A3" w:rsidRPr="00C2368C">
        <w:t>n (ECE/TRANS/WP.29/GRB/66, par. </w:t>
      </w:r>
      <w:r w:rsidRPr="00C2368C">
        <w:t>10) avaient été soumises au WP.29 et à l’AC.1 pour examen et mise aux voix à leurs sessions de mars 2019.</w:t>
      </w:r>
    </w:p>
    <w:p w:rsidR="003F6A77" w:rsidRPr="00C2368C" w:rsidRDefault="008208A3" w:rsidP="00C17B41">
      <w:pPr>
        <w:pStyle w:val="HChG"/>
      </w:pPr>
      <w:r w:rsidRPr="00C2368C">
        <w:tab/>
        <w:t>VII.</w:t>
      </w:r>
      <w:r w:rsidRPr="00C2368C">
        <w:tab/>
        <w:t xml:space="preserve">Règlement ONU </w:t>
      </w:r>
      <w:r w:rsidRPr="00C2368C">
        <w:rPr>
          <w:rFonts w:eastAsia="MS Mincho"/>
          <w:szCs w:val="22"/>
        </w:rPr>
        <w:t>n</w:t>
      </w:r>
      <w:r w:rsidRPr="00C2368C">
        <w:rPr>
          <w:rFonts w:eastAsia="MS Mincho"/>
          <w:szCs w:val="22"/>
          <w:vertAlign w:val="superscript"/>
        </w:rPr>
        <w:t>o</w:t>
      </w:r>
      <w:r w:rsidRPr="00C2368C">
        <w:rPr>
          <w:rFonts w:eastAsia="MS Mincho"/>
          <w:szCs w:val="22"/>
        </w:rPr>
        <w:t> </w:t>
      </w:r>
      <w:r w:rsidR="003F6A77" w:rsidRPr="00C2368C">
        <w:t xml:space="preserve">138 (Véhicules à moteur silencieux) </w:t>
      </w:r>
      <w:r w:rsidRPr="00C2368C">
        <w:br/>
      </w:r>
      <w:r w:rsidR="003F6A77" w:rsidRPr="00C2368C">
        <w:t>(point 6 de l’ordre du jour)</w:t>
      </w:r>
    </w:p>
    <w:p w:rsidR="003F6A77" w:rsidRPr="00C2368C" w:rsidRDefault="003F6A77" w:rsidP="00E01DAB">
      <w:pPr>
        <w:pStyle w:val="SingleTxtG"/>
        <w:ind w:left="2552" w:hanging="1418"/>
      </w:pPr>
      <w:r w:rsidRPr="00C2368C">
        <w:rPr>
          <w:i/>
        </w:rPr>
        <w:t>Document(s)</w:t>
      </w:r>
      <w:r w:rsidR="00086923" w:rsidRPr="00C2368C">
        <w:rPr>
          <w:i/>
        </w:rPr>
        <w:t> </w:t>
      </w:r>
      <w:r w:rsidRPr="00C2368C">
        <w:t>:</w:t>
      </w:r>
      <w:r w:rsidRPr="00C2368C">
        <w:tab/>
        <w:t>Document informel GRB-69-06</w:t>
      </w:r>
      <w:r w:rsidR="00086923" w:rsidRPr="00C2368C">
        <w:t>.</w:t>
      </w:r>
    </w:p>
    <w:p w:rsidR="003F6A77" w:rsidRPr="00C2368C" w:rsidRDefault="003F6A77" w:rsidP="003F6A77">
      <w:pPr>
        <w:pStyle w:val="SingleTxtG"/>
      </w:pPr>
      <w:r w:rsidRPr="00C2368C">
        <w:t>15.</w:t>
      </w:r>
      <w:r w:rsidRPr="00C2368C">
        <w:tab/>
        <w:t>L’expert de l’OICA a présenté une proposition révisée visant à préciser le champ d’application et certaines dispositions du</w:t>
      </w:r>
      <w:r w:rsidR="00E50BF8" w:rsidRPr="00C2368C">
        <w:t xml:space="preserve"> Règlement </w:t>
      </w:r>
      <w:r w:rsidR="00E50BF8" w:rsidRPr="00C2368C">
        <w:rPr>
          <w:rFonts w:eastAsia="MS Mincho"/>
          <w:szCs w:val="22"/>
        </w:rPr>
        <w:t>n</w:t>
      </w:r>
      <w:r w:rsidR="00E50BF8" w:rsidRPr="00C2368C">
        <w:rPr>
          <w:rFonts w:eastAsia="MS Mincho"/>
          <w:szCs w:val="22"/>
          <w:vertAlign w:val="superscript"/>
        </w:rPr>
        <w:t>o</w:t>
      </w:r>
      <w:r w:rsidR="00E50BF8" w:rsidRPr="00C2368C">
        <w:t> </w:t>
      </w:r>
      <w:r w:rsidRPr="00C2368C">
        <w:t xml:space="preserve">138 (GRB-69-06). Le Groupe de travail a adopté la proposition telle qu’elle figure à l’annexe II et prié le secrétariat de la soumettre au WP.29 et à l’AC.1 pour examen et mise aux voix à leurs sessions de mars 2019 en tant que projet de complément 1 à la série 01 d’amendements au Règlement </w:t>
      </w:r>
      <w:r w:rsidR="00E50BF8" w:rsidRPr="00C2368C">
        <w:rPr>
          <w:rFonts w:eastAsia="MS Mincho"/>
          <w:szCs w:val="22"/>
        </w:rPr>
        <w:t>n</w:t>
      </w:r>
      <w:r w:rsidR="00E50BF8" w:rsidRPr="00C2368C">
        <w:rPr>
          <w:rFonts w:eastAsia="MS Mincho"/>
          <w:szCs w:val="22"/>
          <w:vertAlign w:val="superscript"/>
        </w:rPr>
        <w:t>o</w:t>
      </w:r>
      <w:r w:rsidR="00E50BF8" w:rsidRPr="00C2368C">
        <w:t> </w:t>
      </w:r>
      <w:r w:rsidRPr="00C2368C">
        <w:t>138.</w:t>
      </w:r>
    </w:p>
    <w:p w:rsidR="003F6A77" w:rsidRPr="00C2368C" w:rsidRDefault="003F6A77" w:rsidP="008208A3">
      <w:pPr>
        <w:pStyle w:val="HChG"/>
      </w:pPr>
      <w:r w:rsidRPr="00C2368C">
        <w:tab/>
        <w:t>VIII.</w:t>
      </w:r>
      <w:r w:rsidRPr="00C2368C">
        <w:tab/>
        <w:t>Pneumatiques (point 7 de l’ordre du jour)</w:t>
      </w:r>
    </w:p>
    <w:p w:rsidR="003F6A77" w:rsidRPr="00C2368C" w:rsidRDefault="003F6A77" w:rsidP="008208A3">
      <w:pPr>
        <w:pStyle w:val="H1G"/>
      </w:pPr>
      <w:r w:rsidRPr="00C2368C">
        <w:tab/>
        <w:t>A.</w:t>
      </w:r>
      <w:r w:rsidRPr="00C2368C">
        <w:tab/>
      </w:r>
      <w:r w:rsidR="00086923" w:rsidRPr="00C2368C">
        <w:t xml:space="preserve">Règlement ONU </w:t>
      </w:r>
      <w:r w:rsidR="00D72AA8" w:rsidRPr="00C2368C">
        <w:rPr>
          <w:rFonts w:eastAsia="MS Mincho"/>
          <w:szCs w:val="22"/>
        </w:rPr>
        <w:t>n</w:t>
      </w:r>
      <w:r w:rsidR="00D72AA8" w:rsidRPr="00C2368C">
        <w:rPr>
          <w:rFonts w:eastAsia="MS Mincho"/>
          <w:szCs w:val="22"/>
          <w:vertAlign w:val="superscript"/>
        </w:rPr>
        <w:t>o</w:t>
      </w:r>
      <w:r w:rsidR="00D72AA8" w:rsidRPr="00C2368C">
        <w:t> </w:t>
      </w:r>
      <w:r w:rsidRPr="00C2368C">
        <w:t>30 (Pneumatiques pour voitures particulières et</w:t>
      </w:r>
      <w:r w:rsidR="00D72AA8" w:rsidRPr="00C2368C">
        <w:t> </w:t>
      </w:r>
      <w:r w:rsidRPr="00C2368C">
        <w:t>leurs remorques)</w:t>
      </w:r>
    </w:p>
    <w:p w:rsidR="003F6A77" w:rsidRPr="00C2368C" w:rsidRDefault="003F6A77" w:rsidP="006D6A33">
      <w:pPr>
        <w:pStyle w:val="SingleTxtG"/>
        <w:ind w:left="2552" w:hanging="1418"/>
        <w:jc w:val="left"/>
      </w:pPr>
      <w:r w:rsidRPr="00C2368C">
        <w:rPr>
          <w:i/>
        </w:rPr>
        <w:t>Document(s)</w:t>
      </w:r>
      <w:r w:rsidR="00F9431F" w:rsidRPr="00C2368C">
        <w:rPr>
          <w:i/>
        </w:rPr>
        <w:t> </w:t>
      </w:r>
      <w:r w:rsidRPr="00C2368C">
        <w:t>:</w:t>
      </w:r>
      <w:r w:rsidRPr="00C2368C">
        <w:tab/>
        <w:t>ECE/TRANS/WP.29/GRVA/2018/6, ECE/TRANS/WP.29/GRVA/2018</w:t>
      </w:r>
      <w:r w:rsidR="008208A3" w:rsidRPr="00C2368C">
        <w:t xml:space="preserve">/7, ECE/TRANS/WP.29/GRB/2019/5 </w:t>
      </w:r>
      <w:r w:rsidRPr="00C2368C">
        <w:t>Document</w:t>
      </w:r>
      <w:r w:rsidR="006D6A33">
        <w:t>s</w:t>
      </w:r>
      <w:r w:rsidRPr="00C2368C">
        <w:t xml:space="preserve"> informels GRB-68-14, GRB-69-11-Rev.1 et GRB-69-12</w:t>
      </w:r>
      <w:r w:rsidR="00F9431F" w:rsidRPr="00C2368C">
        <w:t>.</w:t>
      </w:r>
    </w:p>
    <w:p w:rsidR="003F6A77" w:rsidRPr="00C2368C" w:rsidRDefault="003F6A77" w:rsidP="003F6A77">
      <w:pPr>
        <w:pStyle w:val="SingleTxtG"/>
      </w:pPr>
      <w:r w:rsidRPr="00C2368C">
        <w:t>16.</w:t>
      </w:r>
      <w:r w:rsidRPr="00C2368C">
        <w:tab/>
        <w:t>Les experts de l’ETRTO ont proposé de préciser et d’amélio</w:t>
      </w:r>
      <w:r w:rsidR="008208A3" w:rsidRPr="00C2368C">
        <w:t xml:space="preserve">rer le texte du Règlement </w:t>
      </w:r>
      <w:r w:rsidR="008208A3" w:rsidRPr="00C2368C">
        <w:rPr>
          <w:rFonts w:eastAsia="MS Mincho"/>
          <w:szCs w:val="22"/>
        </w:rPr>
        <w:t>n</w:t>
      </w:r>
      <w:r w:rsidR="008208A3" w:rsidRPr="00C2368C">
        <w:rPr>
          <w:rFonts w:eastAsia="MS Mincho"/>
          <w:szCs w:val="22"/>
          <w:vertAlign w:val="superscript"/>
        </w:rPr>
        <w:t>o</w:t>
      </w:r>
      <w:r w:rsidR="008208A3" w:rsidRPr="00C2368C">
        <w:t> </w:t>
      </w:r>
      <w:r w:rsidRPr="00C2368C">
        <w:t>30 (ECE/TRANS/WP.29/GRB/2019/5 et GRB-69-11-Rev.1). Le Groupe de travail a adopté la proposition, telle que modifiée par l’annexe III,</w:t>
      </w:r>
      <w:r w:rsidR="00122EB9" w:rsidRPr="00C2368C">
        <w:t xml:space="preserve"> </w:t>
      </w:r>
      <w:r w:rsidRPr="00C2368C">
        <w:t xml:space="preserve">et prié le secrétariat de la soumettre au WP.29 et à l’AC.1 pour examen et mise aux voix à leurs sessions de juin 2019 en tant que projet de complément 21 à la série 02 d’amendements au Règlement </w:t>
      </w:r>
      <w:r w:rsidR="009A1E3B" w:rsidRPr="00C2368C">
        <w:rPr>
          <w:rFonts w:eastAsia="MS Mincho"/>
          <w:szCs w:val="22"/>
        </w:rPr>
        <w:t>n</w:t>
      </w:r>
      <w:r w:rsidR="009A1E3B" w:rsidRPr="00C2368C">
        <w:rPr>
          <w:rFonts w:eastAsia="MS Mincho"/>
          <w:szCs w:val="22"/>
          <w:vertAlign w:val="superscript"/>
        </w:rPr>
        <w:t>o</w:t>
      </w:r>
      <w:r w:rsidR="009A1E3B" w:rsidRPr="00C2368C">
        <w:t> </w:t>
      </w:r>
      <w:r w:rsidRPr="00C2368C">
        <w:t>30. Le GRB a aussi demandé que le secrétariat, en collaboration avec l’ERTRO, profite de l’occasion pour consolider le texte du Règlement de l’ONU.</w:t>
      </w:r>
    </w:p>
    <w:p w:rsidR="003F6A77" w:rsidRPr="00C2368C" w:rsidRDefault="009A1E3B" w:rsidP="003F6A77">
      <w:pPr>
        <w:pStyle w:val="SingleTxtG"/>
      </w:pPr>
      <w:r w:rsidRPr="00C2368C">
        <w:t>17.</w:t>
      </w:r>
      <w:r w:rsidR="003F6A77" w:rsidRPr="00C2368C">
        <w:tab/>
        <w:t>Le Groupe de travail a repris l’examen des propositions de l’ETRTO concernant les Règlements n</w:t>
      </w:r>
      <w:r w:rsidR="003F6A77" w:rsidRPr="00C2368C">
        <w:rPr>
          <w:vertAlign w:val="superscript"/>
        </w:rPr>
        <w:t>os</w:t>
      </w:r>
      <w:r w:rsidRPr="00C2368C">
        <w:t> </w:t>
      </w:r>
      <w:r w:rsidR="003F6A77" w:rsidRPr="00C2368C">
        <w:t xml:space="preserve">30 et 64 qui introduisent des dispositions relatives aux pneumatiques à </w:t>
      </w:r>
      <w:r w:rsidR="003F6A77" w:rsidRPr="00C2368C">
        <w:lastRenderedPageBreak/>
        <w:t>mobilité prolongée (ECE/TRANS/WP.29/GRVA/2018/6, ECE/TRANS/WP.29/GRVA/ 2018/7 et GRB-68-14). En réponse aux questions soulevées lors de la précédente session, l’expert de l’ETRTO a présenté le document GRB-69-12. Le GRB a adopté les propositions et demandé au secrétariat de les soumettre au WP.29 et à l’AC.1 pour examen et mise aux voix à leurs sessions de juin 2019 en tant que projet de complément 21 à la série 0</w:t>
      </w:r>
      <w:r w:rsidRPr="00C2368C">
        <w:t xml:space="preserve">2 d’amendements au Règlement </w:t>
      </w:r>
      <w:r w:rsidRPr="00C2368C">
        <w:rPr>
          <w:rFonts w:eastAsia="MS Mincho"/>
          <w:szCs w:val="22"/>
        </w:rPr>
        <w:t>n</w:t>
      </w:r>
      <w:r w:rsidRPr="00C2368C">
        <w:rPr>
          <w:rFonts w:eastAsia="MS Mincho"/>
          <w:szCs w:val="22"/>
          <w:vertAlign w:val="superscript"/>
        </w:rPr>
        <w:t>o</w:t>
      </w:r>
      <w:r w:rsidRPr="00C2368C">
        <w:t> </w:t>
      </w:r>
      <w:r w:rsidR="003F6A77" w:rsidRPr="00C2368C">
        <w:t>30 et de projet de complément 1 à la série 0</w:t>
      </w:r>
      <w:r w:rsidRPr="00C2368C">
        <w:t xml:space="preserve">3 d’amendements au Règlement </w:t>
      </w:r>
      <w:r w:rsidRPr="00C2368C">
        <w:rPr>
          <w:rFonts w:eastAsia="MS Mincho"/>
          <w:szCs w:val="22"/>
        </w:rPr>
        <w:t>n</w:t>
      </w:r>
      <w:r w:rsidRPr="00C2368C">
        <w:rPr>
          <w:rFonts w:eastAsia="MS Mincho"/>
          <w:szCs w:val="22"/>
          <w:vertAlign w:val="superscript"/>
        </w:rPr>
        <w:t>o</w:t>
      </w:r>
      <w:r w:rsidRPr="00C2368C">
        <w:t> </w:t>
      </w:r>
      <w:r w:rsidR="003F6A77" w:rsidRPr="00C2368C">
        <w:t>64.</w:t>
      </w:r>
    </w:p>
    <w:p w:rsidR="003F6A77" w:rsidRPr="00C2368C" w:rsidRDefault="003F6A77" w:rsidP="009A1E3B">
      <w:pPr>
        <w:pStyle w:val="H1G"/>
      </w:pPr>
      <w:r w:rsidRPr="00C2368C">
        <w:tab/>
        <w:t>B.</w:t>
      </w:r>
      <w:r w:rsidRPr="00C2368C">
        <w:tab/>
        <w:t xml:space="preserve">Règlement ONU </w:t>
      </w:r>
      <w:r w:rsidR="009A1E3B" w:rsidRPr="00C2368C">
        <w:rPr>
          <w:rFonts w:eastAsia="MS Mincho"/>
          <w:szCs w:val="22"/>
        </w:rPr>
        <w:t>n</w:t>
      </w:r>
      <w:r w:rsidR="009A1E3B" w:rsidRPr="00C2368C">
        <w:rPr>
          <w:rFonts w:eastAsia="MS Mincho"/>
          <w:szCs w:val="22"/>
          <w:vertAlign w:val="superscript"/>
        </w:rPr>
        <w:t>o</w:t>
      </w:r>
      <w:r w:rsidR="009A1E3B" w:rsidRPr="00C2368C">
        <w:t> </w:t>
      </w:r>
      <w:r w:rsidRPr="00C2368C">
        <w:t>75 (Pneumatiques des véhicules de la catégorie L)</w:t>
      </w:r>
    </w:p>
    <w:p w:rsidR="003F6A77" w:rsidRPr="00C2368C" w:rsidRDefault="003F6A77" w:rsidP="00E01DAB">
      <w:pPr>
        <w:pStyle w:val="SingleTxtG"/>
        <w:ind w:left="2552" w:hanging="1418"/>
      </w:pPr>
      <w:r w:rsidRPr="00C2368C">
        <w:rPr>
          <w:i/>
        </w:rPr>
        <w:t>Document(s)</w:t>
      </w:r>
      <w:r w:rsidR="00F77EFC" w:rsidRPr="00C2368C">
        <w:rPr>
          <w:i/>
        </w:rPr>
        <w:t> </w:t>
      </w:r>
      <w:r w:rsidRPr="00C2368C">
        <w:t>:</w:t>
      </w:r>
      <w:r w:rsidRPr="00C2368C">
        <w:tab/>
        <w:t xml:space="preserve">ECE/TRANS/WP.29/GRB/2019/7 </w:t>
      </w:r>
      <w:r w:rsidR="00F77EFC" w:rsidRPr="00C2368C">
        <w:br/>
      </w:r>
      <w:r w:rsidR="006D6A33">
        <w:t>et d</w:t>
      </w:r>
      <w:r w:rsidRPr="00C2368C">
        <w:t>ocument informel GRB-69-24-Rev.1</w:t>
      </w:r>
      <w:r w:rsidR="00F77EFC" w:rsidRPr="00C2368C">
        <w:t>.</w:t>
      </w:r>
    </w:p>
    <w:p w:rsidR="003F6A77" w:rsidRPr="00C2368C" w:rsidRDefault="003F6A77" w:rsidP="003F6A77">
      <w:pPr>
        <w:pStyle w:val="SingleTxtG"/>
      </w:pPr>
      <w:r w:rsidRPr="00C2368C">
        <w:t>18.</w:t>
      </w:r>
      <w:r w:rsidRPr="00C2368C">
        <w:tab/>
        <w:t>L’expert de la France a proposé de clarifier les dispositions relatives à l’identification, au marquage et aux essais applicables aux pneumatiques conçus pour des vitesses supérieures à 240</w:t>
      </w:r>
      <w:r w:rsidR="00F77EFC" w:rsidRPr="00C2368C">
        <w:t> </w:t>
      </w:r>
      <w:r w:rsidRPr="00C2368C">
        <w:t>km/h (ECE/TRANS/WP.29/GRB/2019/7 et GRB-69-24-Rev.1). Le Groupe de travail a adopté la proposition, telle que modifiée par l’annexe IV, et prié le secrétariat de la soumettre au WP.29 et à l’AC.1 pour examen et mise aux voix à leurs sessions de juin 2019 en tant que projet de complément 18 à la série origina</w:t>
      </w:r>
      <w:r w:rsidR="00F77EFC" w:rsidRPr="00C2368C">
        <w:t xml:space="preserve">le d’amendements au Règlement </w:t>
      </w:r>
      <w:r w:rsidR="00F77EFC" w:rsidRPr="00C2368C">
        <w:rPr>
          <w:rFonts w:eastAsia="MS Mincho"/>
          <w:szCs w:val="22"/>
        </w:rPr>
        <w:t>n</w:t>
      </w:r>
      <w:r w:rsidR="00F77EFC" w:rsidRPr="00C2368C">
        <w:rPr>
          <w:rFonts w:eastAsia="MS Mincho"/>
          <w:szCs w:val="22"/>
          <w:vertAlign w:val="superscript"/>
        </w:rPr>
        <w:t>o</w:t>
      </w:r>
      <w:r w:rsidR="00F77EFC" w:rsidRPr="00C2368C">
        <w:t> </w:t>
      </w:r>
      <w:r w:rsidRPr="00C2368C">
        <w:t>75.</w:t>
      </w:r>
    </w:p>
    <w:p w:rsidR="003F6A77" w:rsidRPr="00C2368C" w:rsidRDefault="003F6A77" w:rsidP="004C1C90">
      <w:pPr>
        <w:pStyle w:val="H1G"/>
      </w:pPr>
      <w:r w:rsidRPr="00C2368C">
        <w:tab/>
        <w:t>C.</w:t>
      </w:r>
      <w:r w:rsidRPr="00C2368C">
        <w:tab/>
        <w:t xml:space="preserve">Règlement ONU </w:t>
      </w:r>
      <w:r w:rsidR="00F77EFC" w:rsidRPr="00C2368C">
        <w:rPr>
          <w:rFonts w:eastAsia="MS Mincho"/>
          <w:szCs w:val="22"/>
        </w:rPr>
        <w:t>n</w:t>
      </w:r>
      <w:r w:rsidR="00F77EFC" w:rsidRPr="00C2368C">
        <w:rPr>
          <w:rFonts w:eastAsia="MS Mincho"/>
          <w:szCs w:val="22"/>
          <w:vertAlign w:val="superscript"/>
        </w:rPr>
        <w:t>o</w:t>
      </w:r>
      <w:r w:rsidR="00F77EFC" w:rsidRPr="00C2368C">
        <w:t> </w:t>
      </w:r>
      <w:r w:rsidRPr="00C2368C">
        <w:t>117 (Pneumatiques − Résistance au roulement, bruit de roulement et adhérence sur sol mouillé)</w:t>
      </w:r>
    </w:p>
    <w:p w:rsidR="003F6A77" w:rsidRPr="00C2368C" w:rsidRDefault="003F6A77" w:rsidP="00F77EFC">
      <w:pPr>
        <w:pStyle w:val="SingleTxtG"/>
        <w:ind w:left="2552" w:hanging="1418"/>
        <w:jc w:val="left"/>
      </w:pPr>
      <w:r w:rsidRPr="00C2368C">
        <w:rPr>
          <w:i/>
        </w:rPr>
        <w:t>Document(s)</w:t>
      </w:r>
      <w:r w:rsidR="00F77EFC" w:rsidRPr="00C2368C">
        <w:rPr>
          <w:i/>
        </w:rPr>
        <w:t> </w:t>
      </w:r>
      <w:r w:rsidRPr="00C2368C">
        <w:t>:</w:t>
      </w:r>
      <w:r w:rsidRPr="00C2368C">
        <w:tab/>
        <w:t>ECE/TRANS/WP.29/</w:t>
      </w:r>
      <w:r w:rsidRPr="00C2368C">
        <w:rPr>
          <w:spacing w:val="-2"/>
        </w:rPr>
        <w:t>GRRF/2016/43</w:t>
      </w:r>
      <w:r w:rsidR="004C1C90" w:rsidRPr="00C2368C">
        <w:rPr>
          <w:spacing w:val="-2"/>
        </w:rPr>
        <w:t>,</w:t>
      </w:r>
      <w:r w:rsidRPr="00C2368C">
        <w:rPr>
          <w:spacing w:val="-2"/>
        </w:rPr>
        <w:t xml:space="preserve"> ECE/TRANS/WP</w:t>
      </w:r>
      <w:r w:rsidRPr="00C2368C">
        <w:t>.29/GRRF/2017/7 ECE/TRANS/WP.29/GRVA/2018/5, ECE/TRANS/WP.29/GRB/2019/3 ECE/TRANS/WP.29/GRB/2019/4, ECE/TRANS/WP.29/GRB/2019/6 Document</w:t>
      </w:r>
      <w:r w:rsidR="004C1C90" w:rsidRPr="00C2368C">
        <w:t>s</w:t>
      </w:r>
      <w:r w:rsidRPr="00C2368C">
        <w:t xml:space="preserve"> informels GRB-68-12, GRB-69-08, GRB-69-09, GRB-69-10 GRB-69-19 et GRB-69-23</w:t>
      </w:r>
      <w:r w:rsidR="004C1C90" w:rsidRPr="00C2368C">
        <w:t>.</w:t>
      </w:r>
    </w:p>
    <w:p w:rsidR="003F6A77" w:rsidRPr="00C2368C" w:rsidRDefault="003F6A77" w:rsidP="003F6A77">
      <w:pPr>
        <w:pStyle w:val="SingleTxtG"/>
      </w:pPr>
      <w:r w:rsidRPr="00C2368C">
        <w:t>19.</w:t>
      </w:r>
      <w:r w:rsidRPr="00C2368C">
        <w:tab/>
        <w:t xml:space="preserve">L’expert de la Fédération de Russie a présenté une proposition visant à harmoniser les dispositions du Règlement ONU </w:t>
      </w:r>
      <w:r w:rsidR="004C1C90" w:rsidRPr="00C2368C">
        <w:rPr>
          <w:rFonts w:eastAsia="MS Mincho"/>
          <w:szCs w:val="22"/>
        </w:rPr>
        <w:t>n</w:t>
      </w:r>
      <w:r w:rsidR="004C1C90" w:rsidRPr="00C2368C">
        <w:rPr>
          <w:rFonts w:eastAsia="MS Mincho"/>
          <w:szCs w:val="22"/>
          <w:vertAlign w:val="superscript"/>
        </w:rPr>
        <w:t>o</w:t>
      </w:r>
      <w:r w:rsidR="004C1C90" w:rsidRPr="00C2368C">
        <w:t> </w:t>
      </w:r>
      <w:r w:rsidRPr="00C2368C">
        <w:t xml:space="preserve">117 concernant les numéros et marques d’homologation avec celles qui sont contenues dans l’annexe 4 de l’Accord de 1958 révisé (ECE/TRANS/WP.29/GRB/2019/4). Le Groupe de travail a adopté la proposition et prié le secrétariat de la soumettre au WP.29 et à l’AC.1 pour examen et mise aux voix à leurs sessions de juin 2019 en tant que projet de complément 10 à la série 02 d’amendements au Règlement </w:t>
      </w:r>
      <w:r w:rsidR="004C1C90" w:rsidRPr="00C2368C">
        <w:rPr>
          <w:rFonts w:eastAsia="MS Mincho"/>
          <w:szCs w:val="22"/>
        </w:rPr>
        <w:t>n</w:t>
      </w:r>
      <w:r w:rsidR="004C1C90" w:rsidRPr="00C2368C">
        <w:rPr>
          <w:rFonts w:eastAsia="MS Mincho"/>
          <w:szCs w:val="22"/>
          <w:vertAlign w:val="superscript"/>
        </w:rPr>
        <w:t>o</w:t>
      </w:r>
      <w:r w:rsidR="004C1C90" w:rsidRPr="00C2368C">
        <w:t> </w:t>
      </w:r>
      <w:r w:rsidRPr="00C2368C">
        <w:t>117.</w:t>
      </w:r>
    </w:p>
    <w:p w:rsidR="003F6A77" w:rsidRPr="00C2368C" w:rsidRDefault="003F6A77" w:rsidP="003F6A77">
      <w:pPr>
        <w:pStyle w:val="SingleTxtG"/>
      </w:pPr>
      <w:r w:rsidRPr="00C2368C">
        <w:t>20.</w:t>
      </w:r>
      <w:r w:rsidRPr="00C2368C">
        <w:tab/>
        <w:t xml:space="preserve">Le Groupe de travail a rappelé que l’ancien Groupe de travail en matière de roulement et de freinage (GRRF) avait décidé de maintenir à son ordre du jour les documents ECE/TRANS/WP.29/GRRF/2016/43 et ECE/TRANS/WP.29/GRRF/2017/7 avec les corrections d’ordre rédactionnel qu’il avait été convenu d’apporter au Règlement ONU </w:t>
      </w:r>
      <w:r w:rsidR="004C1C90" w:rsidRPr="00C2368C">
        <w:rPr>
          <w:rFonts w:eastAsia="MS Mincho"/>
          <w:szCs w:val="22"/>
        </w:rPr>
        <w:t>n</w:t>
      </w:r>
      <w:r w:rsidR="004C1C90" w:rsidRPr="00C2368C">
        <w:rPr>
          <w:rFonts w:eastAsia="MS Mincho"/>
          <w:szCs w:val="22"/>
          <w:vertAlign w:val="superscript"/>
        </w:rPr>
        <w:t>o</w:t>
      </w:r>
      <w:r w:rsidR="004C1C90" w:rsidRPr="00C2368C">
        <w:t> </w:t>
      </w:r>
      <w:r w:rsidRPr="00C2368C">
        <w:t>117, en attendant des propositions d’amendements plus substantielles à soumettre au WP.29. Le GRB a décidé que ces corrections d’ordre rédactionnel seraient soumises au WP.29 et à l’AC.1 pour examen et mise aux voix à leurs sessions de juin 2019 en même temps que la proposition d’amendement mentionnée au paragraphe 19 ci-dessus.</w:t>
      </w:r>
    </w:p>
    <w:p w:rsidR="003F6A77" w:rsidRPr="00C2368C" w:rsidRDefault="003F6A77" w:rsidP="003F6A77">
      <w:pPr>
        <w:pStyle w:val="SingleTxtG"/>
      </w:pPr>
      <w:r w:rsidRPr="00C2368C">
        <w:t>21.</w:t>
      </w:r>
      <w:r w:rsidRPr="00C2368C">
        <w:tab/>
        <w:t>L’expert de la France a proposé d’introduire des prescriptions concernant l’adhérence sur sol mouillé applicables aux pneumatiques usés de la classe C1</w:t>
      </w:r>
      <w:r w:rsidR="00A65C61" w:rsidRPr="00C2368C">
        <w:t xml:space="preserve"> (ECE/TRANS/WP.29/</w:t>
      </w:r>
      <w:r w:rsidRPr="00C2368C">
        <w:t>GRB/2019/6 et GRB-69-08). Cette proposition a suscité des observations de la part de l’ETRTO (GRB-69-10). Le Groupe de travail a également pris note d’une étude récente sur les pneumatiques usagés (GRB-69-09). Le Groupe de travail a estimé que ce sujet devait être abordé dans le cadre d’un nouveau groupe de travail informel, dont il a adopté le mandat (GRB-69-23), tel qu’il est reproduit à l’annexe V. Plusieurs experts ont fait part de leur souhait de contribuer aux activités de ce nouveau groupe de travail informel. Les experts de la France et de la Commission européenne se sont</w:t>
      </w:r>
      <w:r w:rsidR="004C703A">
        <w:t xml:space="preserve"> proposés respectivement comme P</w:t>
      </w:r>
      <w:r w:rsidRPr="00C2368C">
        <w:t xml:space="preserve">résident et </w:t>
      </w:r>
      <w:r w:rsidR="00366F5D" w:rsidRPr="00C2368C">
        <w:t>V</w:t>
      </w:r>
      <w:r w:rsidR="004C703A">
        <w:t>ice-P</w:t>
      </w:r>
      <w:r w:rsidRPr="00C2368C">
        <w:t>résident, tandis que l’ETRTO a accepté d’en assurer les s</w:t>
      </w:r>
      <w:r w:rsidR="00A65C61" w:rsidRPr="00C2368C">
        <w:t>ervices de secrétariat.</w:t>
      </w:r>
    </w:p>
    <w:p w:rsidR="003F6A77" w:rsidRPr="00C2368C" w:rsidRDefault="003F6A77" w:rsidP="003F6A77">
      <w:pPr>
        <w:pStyle w:val="SingleTxtG"/>
      </w:pPr>
      <w:r w:rsidRPr="00C2368C">
        <w:lastRenderedPageBreak/>
        <w:t>22.</w:t>
      </w:r>
      <w:r w:rsidRPr="00C2368C">
        <w:tab/>
        <w:t>Au nom du groupe d’experts des prescriptions relatives aux pneus neige, l’expert de l’Allemagne a rendu compte des progrès réalisés par le groupe (GRB-69-19) et indiqué qu’il soumettrait un document officiel pour examen à la prochaine session du GRB.</w:t>
      </w:r>
    </w:p>
    <w:p w:rsidR="003F6A77" w:rsidRPr="00C2368C" w:rsidRDefault="003F6A77" w:rsidP="003F6A77">
      <w:pPr>
        <w:pStyle w:val="SingleTxtG"/>
      </w:pPr>
      <w:r w:rsidRPr="00C2368C">
        <w:t>23.</w:t>
      </w:r>
      <w:r w:rsidRPr="00C2368C">
        <w:tab/>
        <w:t>L’expert de l’ETRTO a rappelé les projets d’amendements proposés par son organisation lors de la session précédente (ECE/TRANS/WP.29/GRVA/2018/5 et GRB</w:t>
      </w:r>
      <w:r w:rsidR="0055213C" w:rsidRPr="00C2368C">
        <w:noBreakHyphen/>
      </w:r>
      <w:r w:rsidRPr="00C2368C">
        <w:t>68</w:t>
      </w:r>
      <w:r w:rsidR="0055213C" w:rsidRPr="00C2368C">
        <w:noBreakHyphen/>
      </w:r>
      <w:r w:rsidRPr="00C2368C">
        <w:t>12) et demandé au GRB de remettre leu</w:t>
      </w:r>
      <w:r w:rsidR="0055213C" w:rsidRPr="00C2368C">
        <w:t>r examen à la session suivante.</w:t>
      </w:r>
    </w:p>
    <w:p w:rsidR="003F6A77" w:rsidRPr="00C2368C" w:rsidRDefault="003F6A77" w:rsidP="003F6A77">
      <w:pPr>
        <w:pStyle w:val="SingleTxtG"/>
        <w:rPr>
          <w:spacing w:val="-4"/>
        </w:rPr>
      </w:pPr>
      <w:r w:rsidRPr="00C2368C">
        <w:t>24.</w:t>
      </w:r>
      <w:r w:rsidRPr="00C2368C">
        <w:tab/>
        <w:t>Le Groupe de travail a pris note de la proposition soumise par l’expert des Pays-Bas d’introduire deux n</w:t>
      </w:r>
      <w:r w:rsidR="0055213C" w:rsidRPr="00C2368C">
        <w:t xml:space="preserve">iveaux complémentaires (niveaux </w:t>
      </w:r>
      <w:r w:rsidRPr="00C2368C">
        <w:t xml:space="preserve">3 et 4) pour les limites des émissions </w:t>
      </w:r>
      <w:r w:rsidRPr="00C2368C">
        <w:rPr>
          <w:spacing w:val="-4"/>
        </w:rPr>
        <w:t>de bruit de roulement, de l’adhérence sur sol mouillé et du coefficient de résistance au roulement</w:t>
      </w:r>
      <w:r w:rsidRPr="00C2368C">
        <w:t xml:space="preserve"> (ECE/TRANS/WP.29/GRB/2019/3). Le Président a estimé qu’il serait prématuré, compte </w:t>
      </w:r>
      <w:r w:rsidRPr="00C2368C">
        <w:rPr>
          <w:spacing w:val="-4"/>
        </w:rPr>
        <w:t xml:space="preserve">tenu des discussions en cours avec l’Union européenne, de modifier en ce moment les limites </w:t>
      </w:r>
      <w:r w:rsidRPr="00C2368C">
        <w:rPr>
          <w:spacing w:val="-2"/>
        </w:rPr>
        <w:t>applicables</w:t>
      </w:r>
      <w:r w:rsidR="004C703A">
        <w:rPr>
          <w:spacing w:val="-4"/>
        </w:rPr>
        <w:t xml:space="preserve"> au niveau du</w:t>
      </w:r>
      <w:r w:rsidRPr="00C2368C">
        <w:rPr>
          <w:spacing w:val="-4"/>
        </w:rPr>
        <w:t xml:space="preserve"> bruit, proposant de reprendre l’examen de ce </w:t>
      </w:r>
      <w:r w:rsidRPr="00C2368C">
        <w:rPr>
          <w:spacing w:val="-2"/>
        </w:rPr>
        <w:t>document</w:t>
      </w:r>
      <w:r w:rsidRPr="00C2368C">
        <w:rPr>
          <w:spacing w:val="-4"/>
        </w:rPr>
        <w:t xml:space="preserve"> ultérieurement. </w:t>
      </w:r>
    </w:p>
    <w:p w:rsidR="003F6A77" w:rsidRPr="00C2368C" w:rsidRDefault="003F6A77" w:rsidP="0055213C">
      <w:pPr>
        <w:pStyle w:val="H1G"/>
      </w:pPr>
      <w:r w:rsidRPr="00C2368C">
        <w:tab/>
        <w:t>D.</w:t>
      </w:r>
      <w:r w:rsidRPr="00C2368C">
        <w:tab/>
        <w:t xml:space="preserve">Règlement technique mondial ONU </w:t>
      </w:r>
      <w:r w:rsidR="0055213C" w:rsidRPr="00C2368C">
        <w:rPr>
          <w:rFonts w:eastAsia="MS Mincho"/>
          <w:szCs w:val="22"/>
        </w:rPr>
        <w:t>n</w:t>
      </w:r>
      <w:r w:rsidR="0055213C" w:rsidRPr="00C2368C">
        <w:rPr>
          <w:rFonts w:eastAsia="MS Mincho"/>
          <w:szCs w:val="22"/>
          <w:vertAlign w:val="superscript"/>
        </w:rPr>
        <w:t>o</w:t>
      </w:r>
      <w:r w:rsidR="0055213C" w:rsidRPr="00C2368C">
        <w:rPr>
          <w:rFonts w:eastAsia="MS Mincho"/>
          <w:szCs w:val="22"/>
        </w:rPr>
        <w:t> </w:t>
      </w:r>
      <w:r w:rsidRPr="00C2368C">
        <w:t>16 (pneumatiques)</w:t>
      </w:r>
    </w:p>
    <w:p w:rsidR="003F6A77" w:rsidRPr="00C2368C" w:rsidRDefault="003F6A77" w:rsidP="00E01DAB">
      <w:pPr>
        <w:pStyle w:val="SingleTxtG"/>
        <w:ind w:left="2552" w:hanging="1418"/>
      </w:pPr>
      <w:r w:rsidRPr="00C2368C">
        <w:rPr>
          <w:i/>
        </w:rPr>
        <w:t>Document(s)</w:t>
      </w:r>
      <w:r w:rsidR="0055213C" w:rsidRPr="00C2368C">
        <w:rPr>
          <w:i/>
        </w:rPr>
        <w:t> </w:t>
      </w:r>
      <w:r w:rsidRPr="00C2368C">
        <w:t>:</w:t>
      </w:r>
      <w:r w:rsidRPr="00C2368C">
        <w:tab/>
        <w:t>Document</w:t>
      </w:r>
      <w:r w:rsidR="00B3743F">
        <w:t>s</w:t>
      </w:r>
      <w:r w:rsidRPr="00C2368C">
        <w:t xml:space="preserve"> informels GRB-69-17, GRB-69-21 et GRB-69-22</w:t>
      </w:r>
      <w:r w:rsidR="0055213C" w:rsidRPr="00C2368C">
        <w:t>.</w:t>
      </w:r>
    </w:p>
    <w:p w:rsidR="003F6A77" w:rsidRPr="00C2368C" w:rsidRDefault="003F6A77" w:rsidP="003F6A77">
      <w:pPr>
        <w:pStyle w:val="SingleTxtG"/>
      </w:pPr>
      <w:r w:rsidRPr="00C2368C">
        <w:t>25.</w:t>
      </w:r>
      <w:r w:rsidRPr="00C2368C">
        <w:tab/>
        <w:t xml:space="preserve">Le Groupe de travail a reçu un rapport de situation du Groupe de travail informel du RTM sur les pneumatiques (GRB-69-17) et il a pris note d’une liste des amendements proposés (GRB-69-21 </w:t>
      </w:r>
      <w:r w:rsidR="0055213C" w:rsidRPr="00C2368C">
        <w:t>et</w:t>
      </w:r>
      <w:r w:rsidRPr="00C2368C">
        <w:t xml:space="preserve"> GRB-69-22). Le GRB a noté qu’une proposition officielle pourrait être soumise à la prochaine session.</w:t>
      </w:r>
    </w:p>
    <w:p w:rsidR="003F6A77" w:rsidRPr="00C2368C" w:rsidRDefault="003F6A77" w:rsidP="0055213C">
      <w:pPr>
        <w:pStyle w:val="HChG"/>
      </w:pPr>
      <w:r w:rsidRPr="00C2368C">
        <w:tab/>
        <w:t>IX.</w:t>
      </w:r>
      <w:r w:rsidRPr="00C2368C">
        <w:tab/>
        <w:t>Projet de Règlement ONU sur les avertisseurs de marche arrière (point 8 de l’ordre du jour)</w:t>
      </w:r>
    </w:p>
    <w:p w:rsidR="003F6A77" w:rsidRPr="00C2368C" w:rsidRDefault="003F6A77" w:rsidP="00E01DAB">
      <w:pPr>
        <w:pStyle w:val="SingleTxtG"/>
        <w:ind w:left="2552" w:hanging="1418"/>
      </w:pPr>
      <w:r w:rsidRPr="00C2368C">
        <w:rPr>
          <w:i/>
        </w:rPr>
        <w:t>Document(s)</w:t>
      </w:r>
      <w:r w:rsidR="0055213C" w:rsidRPr="00C2368C">
        <w:rPr>
          <w:i/>
        </w:rPr>
        <w:t> </w:t>
      </w:r>
      <w:r w:rsidRPr="00C2368C">
        <w:t>:</w:t>
      </w:r>
      <w:r w:rsidRPr="00C2368C">
        <w:tab/>
        <w:t>Document informel GRB-69-20</w:t>
      </w:r>
      <w:r w:rsidR="0055213C" w:rsidRPr="00C2368C">
        <w:t>.</w:t>
      </w:r>
    </w:p>
    <w:p w:rsidR="003F6A77" w:rsidRPr="00C2368C" w:rsidRDefault="003F6A77" w:rsidP="003F6A77">
      <w:pPr>
        <w:pStyle w:val="SingleTxtG"/>
      </w:pPr>
      <w:r w:rsidRPr="00C2368C">
        <w:t>26</w:t>
      </w:r>
      <w:r w:rsidR="00A0398B">
        <w:t>.</w:t>
      </w:r>
      <w:r w:rsidRPr="00C2368C">
        <w:tab/>
        <w:t xml:space="preserve">Au nom de l’équipe spéciale des avertisseurs de marche arrière, l’expert du Japon a </w:t>
      </w:r>
      <w:r w:rsidRPr="00C2368C">
        <w:rPr>
          <w:spacing w:val="-2"/>
        </w:rPr>
        <w:t>fait le point sur les progrès réalisés par l’équipe (GRB-69-20). Le Groupe de travail a insisté</w:t>
      </w:r>
      <w:r w:rsidRPr="00C2368C">
        <w:t xml:space="preserve"> sur la nécessité de travailler en liaison avec le Groupe de travail des dispositions générales de sécurité (GRSG) sur cette question et a estimé que le rapport de l’équipe spéciale des avertisseurs de marche arrière devrait aussi être porté à l’attention du GRSG. L’expert de la Suisse s’est proposé pour faire office d’ambassadeur du GRB auprès du</w:t>
      </w:r>
      <w:r w:rsidR="0055213C" w:rsidRPr="00C2368C">
        <w:t xml:space="preserve"> GRSG à ce sujet.</w:t>
      </w:r>
    </w:p>
    <w:p w:rsidR="003F6A77" w:rsidRPr="00C2368C" w:rsidRDefault="003F6A77" w:rsidP="0055213C">
      <w:pPr>
        <w:pStyle w:val="HChG"/>
      </w:pPr>
      <w:r w:rsidRPr="00C2368C">
        <w:tab/>
        <w:t>X.</w:t>
      </w:r>
      <w:r w:rsidRPr="00C2368C">
        <w:tab/>
        <w:t xml:space="preserve">Échange d’informations sur les prescriptions nationales </w:t>
      </w:r>
      <w:r w:rsidR="0055213C" w:rsidRPr="00C2368C">
        <w:br/>
      </w:r>
      <w:r w:rsidRPr="00C2368C">
        <w:t xml:space="preserve">et internationales en matière de niveau sonore (point 9 </w:t>
      </w:r>
      <w:r w:rsidR="00EF49EC" w:rsidRPr="00C2368C">
        <w:br/>
      </w:r>
      <w:r w:rsidRPr="00C2368C">
        <w:t>de l’ordre du jour)</w:t>
      </w:r>
    </w:p>
    <w:p w:rsidR="003F6A77" w:rsidRPr="00C2368C" w:rsidRDefault="003F6A77" w:rsidP="003F6A77">
      <w:pPr>
        <w:pStyle w:val="SingleTxtG"/>
      </w:pPr>
      <w:r w:rsidRPr="00C2368C">
        <w:t>27.</w:t>
      </w:r>
      <w:r w:rsidRPr="00C2368C">
        <w:tab/>
        <w:t>Aucune question n’a été examinée au titre de ce point de l’ordre du jour.</w:t>
      </w:r>
    </w:p>
    <w:p w:rsidR="003F6A77" w:rsidRPr="00C2368C" w:rsidRDefault="003F6A77" w:rsidP="00EF49EC">
      <w:pPr>
        <w:pStyle w:val="HChG"/>
      </w:pPr>
      <w:r w:rsidRPr="00C2368C">
        <w:tab/>
        <w:t>XI.</w:t>
      </w:r>
      <w:r w:rsidRPr="00C2368C">
        <w:tab/>
        <w:t>Incidence du revêtement de la route sur le bruit de roulement des pneumatiques (point 10 de l’ordre du jour)</w:t>
      </w:r>
    </w:p>
    <w:p w:rsidR="003F6A77" w:rsidRPr="00C2368C" w:rsidRDefault="003F6A77" w:rsidP="00091783">
      <w:pPr>
        <w:pStyle w:val="SingleTxtG"/>
        <w:ind w:left="2552" w:hanging="1418"/>
      </w:pPr>
      <w:r w:rsidRPr="00C2368C">
        <w:rPr>
          <w:i/>
        </w:rPr>
        <w:t>Document(s)</w:t>
      </w:r>
      <w:r w:rsidR="00EF49EC" w:rsidRPr="00C2368C">
        <w:rPr>
          <w:i/>
        </w:rPr>
        <w:t> </w:t>
      </w:r>
      <w:r w:rsidRPr="00C2368C">
        <w:t>:</w:t>
      </w:r>
      <w:r w:rsidRPr="00C2368C">
        <w:tab/>
        <w:t>ECE/TRANS/WP.29/GRB/2019/2</w:t>
      </w:r>
      <w:r w:rsidR="00EF49EC" w:rsidRPr="00C2368C">
        <w:t>.</w:t>
      </w:r>
    </w:p>
    <w:p w:rsidR="003F6A77" w:rsidRPr="00C2368C" w:rsidRDefault="003F6A77" w:rsidP="003F6A77">
      <w:pPr>
        <w:pStyle w:val="SingleTxtG"/>
      </w:pPr>
      <w:r w:rsidRPr="00C2368C">
        <w:t>28.</w:t>
      </w:r>
      <w:r w:rsidRPr="00C2368C">
        <w:tab/>
        <w:t>L’expert des Pays-Bas a présenté une version révisée du projet de résolution sur la labellisation des revêtements routiers (ECE/TRANS/WP.29/GRB/2019/2) et demandé qu’il soit publié en tant que document de référence sur le site Web du GRB. Le Groupe de travail a aussi été informé que le WP.29 avait, à sa session de novembre 2018, encouragé le GRB à consulter les représentants du secteur de la construction routière, à poursuivre ses travaux sur cette question et à lui rendre compte en temps utile (ECE/TRANS/WP</w:t>
      </w:r>
      <w:r w:rsidR="00EF49EC" w:rsidRPr="00C2368C">
        <w:t>.29/1142, par. </w:t>
      </w:r>
      <w:r w:rsidRPr="00C2368C">
        <w:t xml:space="preserve">69). Le </w:t>
      </w:r>
      <w:r w:rsidR="00A0398B">
        <w:t>Vice-P</w:t>
      </w:r>
      <w:r w:rsidRPr="00C2368C">
        <w:t xml:space="preserve">résident a proposé de demander aux autorités routières nationales ce qu’elles pensent de ce document. À cette fin, le GRB a invité tous les experts à consulter leurs administrations routières nationales et de faire part de leurs commentaires au </w:t>
      </w:r>
      <w:r w:rsidR="00A0398B">
        <w:t>V</w:t>
      </w:r>
      <w:r w:rsidRPr="00C2368C">
        <w:t>ice-</w:t>
      </w:r>
      <w:r w:rsidR="00A0398B">
        <w:t>P</w:t>
      </w:r>
      <w:r w:rsidRPr="00C2368C">
        <w:t>résident, qui a proposé de faire la synthèse des réponses et d’en rendre compte au GRB à sa prochaine session.</w:t>
      </w:r>
    </w:p>
    <w:p w:rsidR="003F6A77" w:rsidRPr="00C2368C" w:rsidRDefault="003F6A77" w:rsidP="00721AAC">
      <w:pPr>
        <w:pStyle w:val="HChG"/>
      </w:pPr>
      <w:r w:rsidRPr="00C2368C">
        <w:lastRenderedPageBreak/>
        <w:tab/>
        <w:t>XII.</w:t>
      </w:r>
      <w:r w:rsidRPr="00C2368C">
        <w:tab/>
        <w:t>Propositions d’amendements à la Résolution d’ensemble sur la construction des véhicules (point 11 de l’ordre du jour)</w:t>
      </w:r>
    </w:p>
    <w:p w:rsidR="003F6A77" w:rsidRPr="00C2368C" w:rsidRDefault="003F6A77" w:rsidP="003F6A77">
      <w:pPr>
        <w:pStyle w:val="SingleTxtG"/>
      </w:pPr>
      <w:r w:rsidRPr="00C2368C">
        <w:t>29.</w:t>
      </w:r>
      <w:r w:rsidRPr="00C2368C">
        <w:tab/>
        <w:t>Aucune question n’a été examinée au titre de ce point de l’ordre du jour.</w:t>
      </w:r>
    </w:p>
    <w:p w:rsidR="003F6A77" w:rsidRPr="00C2368C" w:rsidRDefault="003F6A77" w:rsidP="006B6196">
      <w:pPr>
        <w:pStyle w:val="HChG"/>
      </w:pPr>
      <w:r w:rsidRPr="00C2368C">
        <w:tab/>
        <w:t>XIII.</w:t>
      </w:r>
      <w:r w:rsidRPr="00C2368C">
        <w:tab/>
        <w:t xml:space="preserve">Mise au point d’une homologation de type internationale </w:t>
      </w:r>
      <w:r w:rsidR="006B6196" w:rsidRPr="00C2368C">
        <w:br/>
      </w:r>
      <w:r w:rsidRPr="00C2368C">
        <w:t>de l’ensemble du véhicule (point 1</w:t>
      </w:r>
      <w:r w:rsidR="002208F0">
        <w:t>2</w:t>
      </w:r>
      <w:r w:rsidRPr="00C2368C">
        <w:t xml:space="preserve"> de l’ordre du jour)</w:t>
      </w:r>
    </w:p>
    <w:p w:rsidR="003F6A77" w:rsidRPr="00C2368C" w:rsidRDefault="003F6A77" w:rsidP="00091783">
      <w:pPr>
        <w:pStyle w:val="SingleTxtG"/>
        <w:ind w:left="2552" w:hanging="1418"/>
      </w:pPr>
      <w:r w:rsidRPr="00C2368C">
        <w:rPr>
          <w:i/>
        </w:rPr>
        <w:t>Document(s)</w:t>
      </w:r>
      <w:r w:rsidR="006B6196" w:rsidRPr="00C2368C">
        <w:rPr>
          <w:i/>
        </w:rPr>
        <w:t> </w:t>
      </w:r>
      <w:r w:rsidRPr="00C2368C">
        <w:t>:</w:t>
      </w:r>
      <w:r w:rsidRPr="00C2368C">
        <w:rPr>
          <w:i/>
        </w:rPr>
        <w:tab/>
      </w:r>
      <w:r w:rsidRPr="00C2368C">
        <w:t>Document informel WP.29-176-21</w:t>
      </w:r>
      <w:r w:rsidR="006B6196" w:rsidRPr="00C2368C">
        <w:t>.</w:t>
      </w:r>
    </w:p>
    <w:p w:rsidR="003F6A77" w:rsidRPr="00C2368C" w:rsidRDefault="003F6A77" w:rsidP="003F6A77">
      <w:pPr>
        <w:pStyle w:val="SingleTxtG"/>
      </w:pPr>
      <w:r w:rsidRPr="00C2368C">
        <w:t>30.</w:t>
      </w:r>
      <w:r w:rsidRPr="00C2368C">
        <w:tab/>
        <w:t xml:space="preserve">Le Groupe de travail a examiné un possible Règlement ONU </w:t>
      </w:r>
      <w:r w:rsidR="006B6196" w:rsidRPr="00C2368C">
        <w:rPr>
          <w:rFonts w:eastAsia="MS Mincho"/>
          <w:szCs w:val="22"/>
        </w:rPr>
        <w:t>n</w:t>
      </w:r>
      <w:r w:rsidR="006B6196" w:rsidRPr="00C2368C">
        <w:rPr>
          <w:rFonts w:eastAsia="MS Mincho"/>
          <w:szCs w:val="22"/>
          <w:vertAlign w:val="superscript"/>
        </w:rPr>
        <w:t>o</w:t>
      </w:r>
      <w:r w:rsidR="006B6196" w:rsidRPr="00C2368C">
        <w:t> </w:t>
      </w:r>
      <w:r w:rsidRPr="00C2368C">
        <w:t xml:space="preserve">138 (véhicules routiers silencieux) dont il avait été proposé qu’il soit ajouté à l’annexe 4 du Règlement ONU </w:t>
      </w:r>
      <w:r w:rsidR="006B6196" w:rsidRPr="00C2368C">
        <w:rPr>
          <w:rFonts w:eastAsia="MS Mincho"/>
          <w:szCs w:val="22"/>
        </w:rPr>
        <w:t>n</w:t>
      </w:r>
      <w:r w:rsidR="006B6196" w:rsidRPr="00C2368C">
        <w:rPr>
          <w:rFonts w:eastAsia="MS Mincho"/>
          <w:szCs w:val="22"/>
          <w:vertAlign w:val="superscript"/>
        </w:rPr>
        <w:t>o</w:t>
      </w:r>
      <w:r w:rsidR="006B6196" w:rsidRPr="00C2368C">
        <w:t> </w:t>
      </w:r>
      <w:r w:rsidRPr="00C2368C">
        <w:t>0 au titre de la phase 2 de l’homologation de type internationale de l’ensemble du véhicule et décidé de lui donner la priorité (i), comme il est expliqué dans le document WP.29-176-21.</w:t>
      </w:r>
    </w:p>
    <w:p w:rsidR="003F6A77" w:rsidRPr="00C2368C" w:rsidRDefault="003F6A77" w:rsidP="006B6196">
      <w:pPr>
        <w:pStyle w:val="HChG"/>
      </w:pPr>
      <w:r w:rsidRPr="00C2368C">
        <w:tab/>
        <w:t>XIV.</w:t>
      </w:r>
      <w:r w:rsidRPr="00C2368C">
        <w:tab/>
        <w:t>Points à retenir de la session de novembre 2018 du WP.29 (point 13 de l’ordre du jour)</w:t>
      </w:r>
    </w:p>
    <w:p w:rsidR="003F6A77" w:rsidRPr="00C2368C" w:rsidRDefault="003F6A77" w:rsidP="00091783">
      <w:pPr>
        <w:pStyle w:val="SingleTxtG"/>
        <w:ind w:left="2552" w:hanging="1418"/>
      </w:pPr>
      <w:r w:rsidRPr="00C2368C">
        <w:rPr>
          <w:i/>
        </w:rPr>
        <w:t>Document</w:t>
      </w:r>
      <w:r w:rsidR="006B6196" w:rsidRPr="00C2368C">
        <w:rPr>
          <w:i/>
        </w:rPr>
        <w:t>(s)</w:t>
      </w:r>
      <w:r w:rsidR="006B6196" w:rsidRPr="00C2368C">
        <w:t> </w:t>
      </w:r>
      <w:r w:rsidRPr="00C2368C">
        <w:t>:</w:t>
      </w:r>
      <w:r w:rsidRPr="00C2368C">
        <w:tab/>
        <w:t>Document informel GRB-69-07</w:t>
      </w:r>
      <w:r w:rsidR="00D738E6" w:rsidRPr="00C2368C">
        <w:t>.</w:t>
      </w:r>
    </w:p>
    <w:p w:rsidR="003F6A77" w:rsidRPr="00C2368C" w:rsidRDefault="003F6A77" w:rsidP="003F6A77">
      <w:pPr>
        <w:pStyle w:val="SingleTxtG"/>
      </w:pPr>
      <w:r w:rsidRPr="00C2368C">
        <w:t>31.</w:t>
      </w:r>
      <w:r w:rsidRPr="00C2368C">
        <w:tab/>
        <w:t>Le secrétariat a rendu compte des faits marquants à retenir de la session de novembre 2018 du WP.29 (GRB-69-07). Le Groupe de travail a noté que le WP.29 avait changé le nom du GRB en GRBP (Groupe de travail du bruit et des pneumatiques). Le Président a insisté sur le fait que le GRBP n’était pas un nouvel organe et a prié le secrétariat d’assurer la continuité de la documentation et du site Web du GRB.</w:t>
      </w:r>
    </w:p>
    <w:p w:rsidR="003F6A77" w:rsidRPr="00C2368C" w:rsidRDefault="003F6A77" w:rsidP="00D738E6">
      <w:pPr>
        <w:pStyle w:val="HChG"/>
      </w:pPr>
      <w:r w:rsidRPr="00C2368C">
        <w:tab/>
        <w:t>XV.</w:t>
      </w:r>
      <w:r w:rsidRPr="00C2368C">
        <w:tab/>
        <w:t xml:space="preserve">Échange de vues sur les travaux futurs du GRB </w:t>
      </w:r>
      <w:r w:rsidR="00D738E6" w:rsidRPr="00C2368C">
        <w:br/>
      </w:r>
      <w:r w:rsidRPr="00C2368C">
        <w:t>(point 14 de l’ordre du jour)</w:t>
      </w:r>
    </w:p>
    <w:p w:rsidR="003F6A77" w:rsidRPr="00C2368C" w:rsidRDefault="003F6A77" w:rsidP="00091783">
      <w:pPr>
        <w:pStyle w:val="SingleTxtG"/>
        <w:ind w:left="2552" w:hanging="1418"/>
      </w:pPr>
      <w:r w:rsidRPr="00C2368C">
        <w:rPr>
          <w:i/>
        </w:rPr>
        <w:t>Document</w:t>
      </w:r>
      <w:r w:rsidR="00D738E6" w:rsidRPr="00C2368C">
        <w:rPr>
          <w:i/>
        </w:rPr>
        <w:t>(</w:t>
      </w:r>
      <w:r w:rsidRPr="00C2368C">
        <w:rPr>
          <w:i/>
        </w:rPr>
        <w:t>s</w:t>
      </w:r>
      <w:r w:rsidR="00D738E6" w:rsidRPr="00C2368C">
        <w:rPr>
          <w:i/>
        </w:rPr>
        <w:t>)</w:t>
      </w:r>
      <w:r w:rsidR="00D738E6" w:rsidRPr="00C2368C">
        <w:t> </w:t>
      </w:r>
      <w:r w:rsidRPr="00C2368C">
        <w:t>:</w:t>
      </w:r>
      <w:r w:rsidRPr="00C2368C">
        <w:tab/>
        <w:t>Documents informels GRB-69-03 et GRB-69-25-Rev.1</w:t>
      </w:r>
      <w:r w:rsidR="00EF57A2">
        <w:t>.</w:t>
      </w:r>
    </w:p>
    <w:p w:rsidR="003F6A77" w:rsidRPr="00C2368C" w:rsidRDefault="003F6A77" w:rsidP="003F6A77">
      <w:pPr>
        <w:pStyle w:val="SingleTxtG"/>
      </w:pPr>
      <w:r w:rsidRPr="00C2368C">
        <w:t>32.</w:t>
      </w:r>
      <w:r w:rsidRPr="00C2368C">
        <w:tab/>
        <w:t>Le Président a rendu compte des résultats de la réunion informelle qu</w:t>
      </w:r>
      <w:r w:rsidR="00D738E6" w:rsidRPr="00C2368C">
        <w:t>i s’est tenue à Bruxelles le 31 </w:t>
      </w:r>
      <w:r w:rsidRPr="00C2368C">
        <w:t>octobre 2018 et présenté un document révisé sur les priorités des travaux (GRB-69-03) avec des questions concernant les prescriptions relatives aux émissions sonores et aux pneumatiques. Ce document portait essentiellement sur les valeurs limites pour la phase 3, les prescriptions supplémentaires concernant les émissions sonores, les incertitudes, l’alignement de la piste et les écarts de mesure, les dispositions relatives aux pneus d’hiver portant le symbole montagne à 3 pics avec flocon de neige, la méthode d’essai d’adhérence pour les pneumatiques de classe C1, la tenue de route des pneus usagés sur sol mouillé, etc. Les experts de l’Allemagne, de la Chine, des Pays-Bas, de la CE, de l’ETRTO et de l’OICA ont commenté cette proposition. Le Président a fait part de son intention de convoquer une réunion pour élaborer une feuille de route pour les priorités de niveau 1, comme il est indiqué dans le document GRB-69-03.</w:t>
      </w:r>
    </w:p>
    <w:p w:rsidR="003F6A77" w:rsidRPr="00C2368C" w:rsidRDefault="003F6A77" w:rsidP="003F6A77">
      <w:pPr>
        <w:pStyle w:val="SingleTxtG"/>
      </w:pPr>
      <w:r w:rsidRPr="00C2368C">
        <w:t>33.</w:t>
      </w:r>
      <w:r w:rsidRPr="00C2368C">
        <w:tab/>
        <w:t>L’expert de l’OICA a informé le GRB d’une prochaine étude visant à déterminer si l’abaissement des limites pour le bruit de roulement affecterait d’autres paramètres des pneumatiques essentiels pour la sécurité du véhicule et la réduction du CO</w:t>
      </w:r>
      <w:r w:rsidRPr="00C2368C">
        <w:rPr>
          <w:vertAlign w:val="subscript"/>
        </w:rPr>
        <w:t xml:space="preserve">2 </w:t>
      </w:r>
      <w:r w:rsidRPr="00C2368C">
        <w:t xml:space="preserve">(GRB-69-25-Rev.1). Le Groupe de travail a pris note de cette information et invité l’OICA à rendre compte des résultats de l’étude à la prochaine session. </w:t>
      </w:r>
    </w:p>
    <w:p w:rsidR="003F6A77" w:rsidRPr="00C2368C" w:rsidRDefault="003F6A77" w:rsidP="00D738E6">
      <w:pPr>
        <w:pStyle w:val="HChG"/>
      </w:pPr>
      <w:r w:rsidRPr="00C2368C">
        <w:tab/>
        <w:t>XVI.</w:t>
      </w:r>
      <w:r w:rsidRPr="00C2368C">
        <w:tab/>
        <w:t>Questions diverses (point 15 de l’ordre du jour)</w:t>
      </w:r>
    </w:p>
    <w:p w:rsidR="003F6A77" w:rsidRPr="00C2368C" w:rsidRDefault="003F6A77" w:rsidP="00091783">
      <w:pPr>
        <w:pStyle w:val="SingleTxtG"/>
        <w:ind w:left="2552" w:hanging="1418"/>
      </w:pPr>
      <w:r w:rsidRPr="00C2368C">
        <w:rPr>
          <w:i/>
        </w:rPr>
        <w:t>Document(s)</w:t>
      </w:r>
      <w:r w:rsidR="00D738E6" w:rsidRPr="00C2368C">
        <w:rPr>
          <w:i/>
        </w:rPr>
        <w:t> </w:t>
      </w:r>
      <w:r w:rsidRPr="00C2368C">
        <w:t>:</w:t>
      </w:r>
      <w:r w:rsidRPr="00C2368C">
        <w:tab/>
        <w:t>Document informels GRB-69-04 et WP.29-176-19</w:t>
      </w:r>
      <w:r w:rsidR="00F76A02" w:rsidRPr="00C2368C">
        <w:t>.</w:t>
      </w:r>
    </w:p>
    <w:p w:rsidR="003F6A77" w:rsidRPr="00C2368C" w:rsidRDefault="003F6A77" w:rsidP="003F6A77">
      <w:pPr>
        <w:pStyle w:val="SingleTxtG"/>
      </w:pPr>
      <w:r w:rsidRPr="00C2368C">
        <w:t>34.</w:t>
      </w:r>
      <w:r w:rsidRPr="00C2368C">
        <w:tab/>
        <w:t xml:space="preserve">L’expert de la France a proposé un amendement au Règlement ONU </w:t>
      </w:r>
      <w:r w:rsidR="00F76A02" w:rsidRPr="00C2368C">
        <w:rPr>
          <w:rFonts w:eastAsia="MS Mincho"/>
          <w:szCs w:val="22"/>
        </w:rPr>
        <w:t>n</w:t>
      </w:r>
      <w:r w:rsidR="00F76A02" w:rsidRPr="00C2368C">
        <w:rPr>
          <w:rFonts w:eastAsia="MS Mincho"/>
          <w:szCs w:val="22"/>
          <w:vertAlign w:val="superscript"/>
        </w:rPr>
        <w:t>o</w:t>
      </w:r>
      <w:r w:rsidR="00F76A02" w:rsidRPr="00C2368C">
        <w:t> </w:t>
      </w:r>
      <w:r w:rsidRPr="00C2368C">
        <w:t xml:space="preserve">28 pour compléter le paragraphe 2 </w:t>
      </w:r>
      <w:r w:rsidR="00F76A02" w:rsidRPr="00C2368C">
        <w:t>« </w:t>
      </w:r>
      <w:r w:rsidRPr="00C2368C">
        <w:t>Définitions</w:t>
      </w:r>
      <w:r w:rsidR="00F76A02" w:rsidRPr="00C2368C">
        <w:t> » par un fonctionnement « </w:t>
      </w:r>
      <w:r w:rsidRPr="00C2368C">
        <w:t>électronique</w:t>
      </w:r>
      <w:r w:rsidR="00F76A02" w:rsidRPr="00C2368C">
        <w:t> »</w:t>
      </w:r>
      <w:r w:rsidRPr="00C2368C">
        <w:t xml:space="preserve"> des </w:t>
      </w:r>
      <w:r w:rsidRPr="00C2368C">
        <w:lastRenderedPageBreak/>
        <w:t xml:space="preserve">avertisseurs sonores (GRB-69-04). Le Groupe de travail a invité l’expert à soumettre ces propositions en tant que document officiel pour la prochaine session. </w:t>
      </w:r>
    </w:p>
    <w:p w:rsidR="003F6A77" w:rsidRPr="00C2368C" w:rsidRDefault="003F6A77" w:rsidP="003F6A77">
      <w:pPr>
        <w:pStyle w:val="SingleTxtG"/>
      </w:pPr>
      <w:r w:rsidRPr="00C2368C">
        <w:t>35.</w:t>
      </w:r>
      <w:r w:rsidRPr="00C2368C">
        <w:tab/>
        <w:t xml:space="preserve">Le Groupe de travail examiné les moyens de mettre en œuvre les nouvelles dispositions de la Révision 3 de l’Accord de 1958, en ce qui concerne notamment </w:t>
      </w:r>
      <w:r w:rsidR="00F76A02" w:rsidRPr="00C2368C">
        <w:t>« </w:t>
      </w:r>
      <w:r w:rsidRPr="00C2368C">
        <w:t>l’identifiant unique</w:t>
      </w:r>
      <w:r w:rsidR="00F76A02" w:rsidRPr="00C2368C">
        <w:t> »</w:t>
      </w:r>
      <w:r w:rsidRPr="00C2368C">
        <w:t xml:space="preserve">, les dispositions transitoires dans le Règlements de l’ONU, l’homologation des innovations, les dispositions relatives à la conformité de la production, la modification de la fiche de communication et les numéros d’homologation (WP.29-176-19). Le GRB a décidé de revenir sur l’identifiant unique et l’homologation des innovations à sa prochaine session. Pour ce qui est des dispositions relatives à la conformité de la production, l’expert de la Fédération de Russie </w:t>
      </w:r>
      <w:r w:rsidR="00C2368C" w:rsidRPr="00C2368C">
        <w:t>a</w:t>
      </w:r>
      <w:r w:rsidRPr="00C2368C">
        <w:t xml:space="preserve"> renvoyé à l’annexe 1 de la révision 3 de l’Accord de 1958.</w:t>
      </w:r>
    </w:p>
    <w:p w:rsidR="003F6A77" w:rsidRPr="00C2368C" w:rsidRDefault="00F76A02" w:rsidP="00F76A02">
      <w:pPr>
        <w:pStyle w:val="HChG"/>
      </w:pPr>
      <w:r w:rsidRPr="00C2368C">
        <w:tab/>
      </w:r>
      <w:r w:rsidR="003F6A77" w:rsidRPr="00C2368C">
        <w:t>XVII.</w:t>
      </w:r>
      <w:r w:rsidR="003F6A77" w:rsidRPr="00C2368C">
        <w:tab/>
        <w:t>Ordre du jour provisoire</w:t>
      </w:r>
      <w:r w:rsidRPr="00C2368C">
        <w:t xml:space="preserve"> de la soixante-dixième session</w:t>
      </w:r>
      <w:r w:rsidR="003F6A77" w:rsidRPr="00C2368C">
        <w:br/>
        <w:t>(point 16 de l’ordre du jour)</w:t>
      </w:r>
    </w:p>
    <w:p w:rsidR="003F6A77" w:rsidRPr="00C2368C" w:rsidRDefault="003F6A77" w:rsidP="003F6A77">
      <w:pPr>
        <w:pStyle w:val="SingleTxtG"/>
      </w:pPr>
      <w:r w:rsidRPr="00C2368C">
        <w:t>36.</w:t>
      </w:r>
      <w:r w:rsidRPr="00C2368C">
        <w:tab/>
        <w:t>Pour sa soixante-dixième session, qui doit se tenir à Genève, du 11 au 13</w:t>
      </w:r>
      <w:r w:rsidR="00F76A02" w:rsidRPr="00C2368C">
        <w:t> </w:t>
      </w:r>
      <w:r w:rsidRPr="00C2368C">
        <w:t>septembre 2019, le Groupe de travail a décidé de ne pas modifier la structure de l’ordre du jour et pris note de ce que la date limite pour soumettre les documents officiels au secrétariat avait été fixée au 17</w:t>
      </w:r>
      <w:r w:rsidR="00F76A02" w:rsidRPr="00C2368C">
        <w:t> </w:t>
      </w:r>
      <w:r w:rsidRPr="00C2368C">
        <w:t>juin 2019, c’est-à-dire douze semaines avant la session.</w:t>
      </w:r>
    </w:p>
    <w:p w:rsidR="003F6A77" w:rsidRPr="00C2368C" w:rsidRDefault="003F6A77" w:rsidP="00A1546C">
      <w:pPr>
        <w:keepNext/>
        <w:keepLines/>
        <w:tabs>
          <w:tab w:val="right" w:pos="851"/>
        </w:tabs>
        <w:kinsoku/>
        <w:overflowPunct/>
        <w:autoSpaceDE/>
        <w:autoSpaceDN/>
        <w:adjustRightInd/>
        <w:snapToGrid/>
        <w:spacing w:after="240" w:line="300" w:lineRule="exact"/>
        <w:ind w:left="1134" w:right="1134" w:hanging="1134"/>
        <w:rPr>
          <w:rFonts w:eastAsia="Times New Roman"/>
          <w:b/>
          <w:sz w:val="28"/>
        </w:rPr>
      </w:pPr>
      <w:r w:rsidRPr="00C2368C">
        <w:br w:type="page"/>
      </w:r>
      <w:r w:rsidRPr="00C2368C">
        <w:rPr>
          <w:rFonts w:eastAsia="Times New Roman"/>
          <w:b/>
          <w:sz w:val="28"/>
        </w:rPr>
        <w:lastRenderedPageBreak/>
        <w:t>Annexe I</w:t>
      </w:r>
    </w:p>
    <w:p w:rsidR="003F6A77" w:rsidRPr="00C2368C" w:rsidRDefault="003F6A77" w:rsidP="00A1546C">
      <w:pPr>
        <w:pStyle w:val="HChG"/>
      </w:pPr>
      <w:r w:rsidRPr="00C2368C">
        <w:tab/>
      </w:r>
      <w:r w:rsidRPr="00C2368C">
        <w:tab/>
        <w:t xml:space="preserve">Liste des documents informels (GRB-69-…) distribués </w:t>
      </w:r>
      <w:r w:rsidR="00A1546C" w:rsidRPr="00C2368C">
        <w:br/>
      </w:r>
      <w:r w:rsidRPr="00C2368C">
        <w:t>lors de la session</w:t>
      </w:r>
    </w:p>
    <w:tbl>
      <w:tblPr>
        <w:tblW w:w="7471" w:type="dxa"/>
        <w:tblInd w:w="1134" w:type="dxa"/>
        <w:tblLayout w:type="fixed"/>
        <w:tblCellMar>
          <w:left w:w="0" w:type="dxa"/>
          <w:right w:w="0" w:type="dxa"/>
        </w:tblCellMar>
        <w:tblLook w:val="01E0" w:firstRow="1" w:lastRow="1" w:firstColumn="1" w:lastColumn="1" w:noHBand="0" w:noVBand="0"/>
      </w:tblPr>
      <w:tblGrid>
        <w:gridCol w:w="851"/>
        <w:gridCol w:w="997"/>
        <w:gridCol w:w="714"/>
        <w:gridCol w:w="607"/>
        <w:gridCol w:w="3760"/>
        <w:gridCol w:w="542"/>
      </w:tblGrid>
      <w:tr w:rsidR="003F6A77" w:rsidRPr="00C2368C" w:rsidTr="009204D7">
        <w:trPr>
          <w:cantSplit/>
          <w:tblHeader/>
        </w:trPr>
        <w:tc>
          <w:tcPr>
            <w:tcW w:w="851" w:type="dxa"/>
            <w:tcBorders>
              <w:top w:val="single" w:sz="4" w:space="0" w:color="auto"/>
              <w:bottom w:val="single" w:sz="12" w:space="0" w:color="auto"/>
            </w:tcBorders>
            <w:shd w:val="clear" w:color="auto" w:fill="auto"/>
            <w:vAlign w:val="bottom"/>
          </w:tcPr>
          <w:p w:rsidR="003F6A77" w:rsidRPr="00C2368C" w:rsidRDefault="00150D95" w:rsidP="00AA29E4">
            <w:pPr>
              <w:kinsoku/>
              <w:overflowPunct/>
              <w:autoSpaceDE/>
              <w:autoSpaceDN/>
              <w:adjustRightInd/>
              <w:snapToGrid/>
              <w:spacing w:before="80" w:after="80" w:line="200" w:lineRule="exact"/>
              <w:ind w:right="4"/>
              <w:rPr>
                <w:rFonts w:eastAsia="Times New Roman"/>
                <w:i/>
                <w:sz w:val="16"/>
                <w:szCs w:val="16"/>
              </w:rPr>
            </w:pPr>
            <w:r w:rsidRPr="00C2368C">
              <w:rPr>
                <w:rFonts w:eastAsia="Times New Roman"/>
                <w:i/>
                <w:sz w:val="16"/>
                <w:szCs w:val="16"/>
              </w:rPr>
              <w:t>N</w:t>
            </w:r>
            <w:r w:rsidRPr="00C2368C">
              <w:rPr>
                <w:rFonts w:eastAsia="Times New Roman"/>
                <w:i/>
                <w:sz w:val="16"/>
                <w:szCs w:val="16"/>
                <w:vertAlign w:val="superscript"/>
              </w:rPr>
              <w:t>o</w:t>
            </w:r>
          </w:p>
        </w:tc>
        <w:tc>
          <w:tcPr>
            <w:tcW w:w="997" w:type="dxa"/>
            <w:tcBorders>
              <w:top w:val="single" w:sz="4" w:space="0" w:color="auto"/>
              <w:bottom w:val="single" w:sz="12" w:space="0" w:color="auto"/>
            </w:tcBorders>
            <w:shd w:val="clear" w:color="auto" w:fill="auto"/>
            <w:vAlign w:val="bottom"/>
          </w:tcPr>
          <w:p w:rsidR="003F6A77" w:rsidRPr="00C2368C" w:rsidRDefault="003F6A77" w:rsidP="00AA29E4">
            <w:pPr>
              <w:kinsoku/>
              <w:overflowPunct/>
              <w:autoSpaceDE/>
              <w:autoSpaceDN/>
              <w:adjustRightInd/>
              <w:snapToGrid/>
              <w:spacing w:before="80" w:after="80" w:line="200" w:lineRule="exact"/>
              <w:ind w:right="4"/>
              <w:rPr>
                <w:rFonts w:eastAsia="Times New Roman"/>
                <w:i/>
                <w:sz w:val="16"/>
                <w:szCs w:val="16"/>
              </w:rPr>
            </w:pPr>
            <w:r w:rsidRPr="00C2368C">
              <w:rPr>
                <w:rFonts w:eastAsia="Times New Roman"/>
                <w:i/>
                <w:sz w:val="16"/>
                <w:szCs w:val="16"/>
              </w:rPr>
              <w:t>Auteur</w:t>
            </w:r>
          </w:p>
        </w:tc>
        <w:tc>
          <w:tcPr>
            <w:tcW w:w="714" w:type="dxa"/>
            <w:tcBorders>
              <w:top w:val="single" w:sz="4" w:space="0" w:color="auto"/>
              <w:bottom w:val="single" w:sz="12" w:space="0" w:color="auto"/>
            </w:tcBorders>
            <w:shd w:val="clear" w:color="auto" w:fill="auto"/>
            <w:vAlign w:val="bottom"/>
          </w:tcPr>
          <w:p w:rsidR="003F6A77" w:rsidRPr="00C2368C" w:rsidRDefault="003F6A77" w:rsidP="009204D7">
            <w:pPr>
              <w:kinsoku/>
              <w:overflowPunct/>
              <w:autoSpaceDE/>
              <w:autoSpaceDN/>
              <w:adjustRightInd/>
              <w:snapToGrid/>
              <w:spacing w:before="80" w:after="80" w:line="200" w:lineRule="exact"/>
              <w:ind w:right="4"/>
              <w:rPr>
                <w:rFonts w:eastAsia="Times New Roman"/>
                <w:i/>
                <w:sz w:val="16"/>
                <w:szCs w:val="16"/>
              </w:rPr>
            </w:pPr>
            <w:r w:rsidRPr="00C2368C">
              <w:rPr>
                <w:rFonts w:eastAsia="Times New Roman"/>
                <w:i/>
                <w:sz w:val="16"/>
                <w:szCs w:val="16"/>
              </w:rPr>
              <w:t xml:space="preserve">Point </w:t>
            </w:r>
            <w:r w:rsidR="00150D95" w:rsidRPr="00C2368C">
              <w:rPr>
                <w:rFonts w:eastAsia="Times New Roman"/>
                <w:i/>
                <w:sz w:val="16"/>
                <w:szCs w:val="16"/>
              </w:rPr>
              <w:br/>
            </w:r>
            <w:r w:rsidRPr="00C2368C">
              <w:rPr>
                <w:rFonts w:eastAsia="Times New Roman"/>
                <w:i/>
                <w:sz w:val="16"/>
                <w:szCs w:val="16"/>
              </w:rPr>
              <w:t>de l’ordre</w:t>
            </w:r>
            <w:r w:rsidR="009204D7">
              <w:rPr>
                <w:rFonts w:eastAsia="Times New Roman"/>
                <w:i/>
                <w:sz w:val="16"/>
                <w:szCs w:val="16"/>
              </w:rPr>
              <w:t xml:space="preserve"> </w:t>
            </w:r>
            <w:r w:rsidRPr="00C2368C">
              <w:rPr>
                <w:rFonts w:eastAsia="Times New Roman"/>
                <w:i/>
                <w:sz w:val="16"/>
                <w:szCs w:val="16"/>
              </w:rPr>
              <w:t xml:space="preserve">du jour </w:t>
            </w:r>
          </w:p>
        </w:tc>
        <w:tc>
          <w:tcPr>
            <w:tcW w:w="607" w:type="dxa"/>
            <w:tcBorders>
              <w:top w:val="single" w:sz="4" w:space="0" w:color="auto"/>
              <w:bottom w:val="single" w:sz="12" w:space="0" w:color="auto"/>
            </w:tcBorders>
            <w:shd w:val="clear" w:color="auto" w:fill="auto"/>
            <w:vAlign w:val="bottom"/>
          </w:tcPr>
          <w:p w:rsidR="003F6A77" w:rsidRPr="00C2368C" w:rsidRDefault="003F6A77" w:rsidP="00AA29E4">
            <w:pPr>
              <w:kinsoku/>
              <w:overflowPunct/>
              <w:autoSpaceDE/>
              <w:autoSpaceDN/>
              <w:adjustRightInd/>
              <w:snapToGrid/>
              <w:spacing w:before="80" w:after="80" w:line="200" w:lineRule="exact"/>
              <w:ind w:right="4"/>
              <w:rPr>
                <w:rFonts w:eastAsia="Times New Roman"/>
                <w:i/>
                <w:sz w:val="16"/>
                <w:szCs w:val="16"/>
              </w:rPr>
            </w:pPr>
            <w:r w:rsidRPr="00C2368C">
              <w:rPr>
                <w:rFonts w:eastAsia="Times New Roman"/>
                <w:i/>
                <w:sz w:val="16"/>
                <w:szCs w:val="16"/>
              </w:rPr>
              <w:t>Langue</w:t>
            </w:r>
          </w:p>
        </w:tc>
        <w:tc>
          <w:tcPr>
            <w:tcW w:w="3760" w:type="dxa"/>
            <w:tcBorders>
              <w:top w:val="single" w:sz="4" w:space="0" w:color="auto"/>
              <w:bottom w:val="single" w:sz="12" w:space="0" w:color="auto"/>
            </w:tcBorders>
            <w:shd w:val="clear" w:color="auto" w:fill="auto"/>
            <w:vAlign w:val="bottom"/>
          </w:tcPr>
          <w:p w:rsidR="003F6A77" w:rsidRPr="00C2368C" w:rsidRDefault="003F6A77" w:rsidP="00AA29E4">
            <w:pPr>
              <w:kinsoku/>
              <w:overflowPunct/>
              <w:autoSpaceDE/>
              <w:autoSpaceDN/>
              <w:adjustRightInd/>
              <w:snapToGrid/>
              <w:spacing w:before="80" w:after="80" w:line="200" w:lineRule="exact"/>
              <w:ind w:right="4"/>
              <w:rPr>
                <w:rFonts w:eastAsia="Times New Roman"/>
                <w:i/>
                <w:sz w:val="16"/>
                <w:szCs w:val="16"/>
              </w:rPr>
            </w:pPr>
            <w:r w:rsidRPr="00C2368C">
              <w:rPr>
                <w:rFonts w:eastAsia="Times New Roman"/>
                <w:i/>
                <w:sz w:val="16"/>
                <w:szCs w:val="16"/>
              </w:rPr>
              <w:t>Titre</w:t>
            </w:r>
          </w:p>
        </w:tc>
        <w:tc>
          <w:tcPr>
            <w:tcW w:w="542" w:type="dxa"/>
            <w:tcBorders>
              <w:top w:val="single" w:sz="4" w:space="0" w:color="auto"/>
              <w:bottom w:val="single" w:sz="12" w:space="0" w:color="auto"/>
            </w:tcBorders>
            <w:shd w:val="clear" w:color="auto" w:fill="auto"/>
            <w:vAlign w:val="bottom"/>
          </w:tcPr>
          <w:p w:rsidR="003F6A77" w:rsidRPr="00C2368C" w:rsidRDefault="003F6A77" w:rsidP="00AA29E4">
            <w:pPr>
              <w:kinsoku/>
              <w:overflowPunct/>
              <w:autoSpaceDE/>
              <w:autoSpaceDN/>
              <w:adjustRightInd/>
              <w:snapToGrid/>
              <w:spacing w:before="80" w:after="80" w:line="200" w:lineRule="exact"/>
              <w:ind w:right="4"/>
              <w:rPr>
                <w:rFonts w:eastAsia="Times New Roman"/>
                <w:i/>
                <w:sz w:val="16"/>
                <w:szCs w:val="16"/>
              </w:rPr>
            </w:pPr>
            <w:r w:rsidRPr="00C2368C">
              <w:rPr>
                <w:rFonts w:eastAsia="Times New Roman"/>
                <w:i/>
                <w:sz w:val="16"/>
                <w:szCs w:val="16"/>
              </w:rPr>
              <w:t xml:space="preserve">Suivi </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1-Rev.1</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Secrétariat</w:t>
            </w:r>
            <w:r w:rsidR="00122EB9" w:rsidRPr="00C2368C">
              <w:rPr>
                <w:rFonts w:eastAsia="Times New Roman"/>
                <w:sz w:val="18"/>
                <w:szCs w:val="18"/>
              </w:rPr>
              <w:t xml:space="preserve"> </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 xml:space="preserve">1 </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C2368C">
              <w:rPr>
                <w:rFonts w:eastAsia="Times New Roman"/>
                <w:sz w:val="18"/>
                <w:szCs w:val="18"/>
                <w:lang w:val="en-US"/>
              </w:rPr>
              <w:t>Updated provisional agenda for the sixty-ninth session</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a)</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2-Rev.1</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Président</w:t>
            </w:r>
            <w:r w:rsidR="00122EB9" w:rsidRPr="00C2368C">
              <w:rPr>
                <w:rFonts w:eastAsia="Times New Roman"/>
                <w:sz w:val="18"/>
                <w:szCs w:val="18"/>
              </w:rPr>
              <w:t xml:space="preserve"> </w:t>
            </w:r>
            <w:r w:rsidRPr="00C2368C">
              <w:rPr>
                <w:rFonts w:eastAsia="Times New Roman"/>
                <w:sz w:val="18"/>
                <w:szCs w:val="18"/>
              </w:rPr>
              <w:t xml:space="preserve"> </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 xml:space="preserve">1 </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 xml:space="preserve">Running </w:t>
            </w:r>
            <w:proofErr w:type="spellStart"/>
            <w:r w:rsidRPr="00C2368C">
              <w:rPr>
                <w:rFonts w:eastAsia="Times New Roman"/>
                <w:sz w:val="18"/>
                <w:szCs w:val="18"/>
              </w:rPr>
              <w:t>order</w:t>
            </w:r>
            <w:proofErr w:type="spellEnd"/>
          </w:p>
        </w:tc>
        <w:tc>
          <w:tcPr>
            <w:tcW w:w="542" w:type="dxa"/>
            <w:shd w:val="clear" w:color="auto" w:fill="auto"/>
          </w:tcPr>
          <w:p w:rsidR="003F6A77" w:rsidRPr="00C2368C" w:rsidRDefault="003F6A77" w:rsidP="004A792D">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a)</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3</w:t>
            </w:r>
          </w:p>
        </w:tc>
        <w:tc>
          <w:tcPr>
            <w:tcW w:w="997" w:type="dxa"/>
            <w:shd w:val="clear" w:color="auto" w:fill="auto"/>
          </w:tcPr>
          <w:p w:rsidR="003F6A77" w:rsidRPr="00C2368C" w:rsidRDefault="003F6A77" w:rsidP="00C2368C">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Président</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14</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proofErr w:type="spellStart"/>
            <w:r w:rsidRPr="00C2368C">
              <w:rPr>
                <w:rFonts w:eastAsia="Times New Roman"/>
                <w:sz w:val="18"/>
                <w:szCs w:val="18"/>
              </w:rPr>
              <w:t>Subjects</w:t>
            </w:r>
            <w:proofErr w:type="spellEnd"/>
            <w:r w:rsidRPr="00C2368C">
              <w:rPr>
                <w:rFonts w:eastAsia="Times New Roman"/>
                <w:sz w:val="18"/>
                <w:szCs w:val="18"/>
              </w:rPr>
              <w:t xml:space="preserve"> for the future</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c)</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4</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France</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15</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C2368C">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Proposal for a Supplement to UN Regulation No.</w:t>
            </w:r>
            <w:r w:rsidR="00C2368C" w:rsidRPr="009204D7">
              <w:rPr>
                <w:rFonts w:eastAsia="Times New Roman"/>
                <w:sz w:val="18"/>
                <w:szCs w:val="18"/>
                <w:lang w:val="en-US"/>
              </w:rPr>
              <w:t> </w:t>
            </w:r>
            <w:r w:rsidRPr="009204D7">
              <w:rPr>
                <w:rFonts w:eastAsia="Times New Roman"/>
                <w:sz w:val="18"/>
                <w:szCs w:val="18"/>
                <w:lang w:val="en-US"/>
              </w:rPr>
              <w:t>28</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b)</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5</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France et Allemagne</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5 b)</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Proposal for a Supplement to the 03 series of amendments to UN Regulation No. 51</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c)</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6</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OICA</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6</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Proposal for Supplement 1 to the 01 series of amendments to UN Regulation No. 138</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d)</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7</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Secrétariat</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1, 14</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General information and WP.29 highlights</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a)</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8</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France</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7 c)</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 xml:space="preserve">Amendment to UN Regulation No. 117: introduction of worn </w:t>
            </w:r>
            <w:proofErr w:type="spellStart"/>
            <w:r w:rsidRPr="009204D7">
              <w:rPr>
                <w:rFonts w:eastAsia="Times New Roman"/>
                <w:sz w:val="18"/>
                <w:szCs w:val="18"/>
                <w:lang w:val="en-US"/>
              </w:rPr>
              <w:t>tyre</w:t>
            </w:r>
            <w:proofErr w:type="spellEnd"/>
            <w:r w:rsidRPr="009204D7">
              <w:rPr>
                <w:rFonts w:eastAsia="Times New Roman"/>
                <w:sz w:val="18"/>
                <w:szCs w:val="18"/>
                <w:lang w:val="en-US"/>
              </w:rPr>
              <w:t xml:space="preserve"> performances</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a)</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9</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 xml:space="preserve">Secrétariat </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7 c)</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 xml:space="preserve">2017 Ernst &amp; Young study on used </w:t>
            </w:r>
            <w:proofErr w:type="spellStart"/>
            <w:r w:rsidRPr="009204D7">
              <w:rPr>
                <w:rFonts w:eastAsia="Times New Roman"/>
                <w:sz w:val="18"/>
                <w:szCs w:val="18"/>
                <w:lang w:val="en-US"/>
              </w:rPr>
              <w:t>tyres</w:t>
            </w:r>
            <w:proofErr w:type="spellEnd"/>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a)</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10</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ETRTO</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7 c)</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proofErr w:type="spellStart"/>
            <w:r w:rsidRPr="00C2368C">
              <w:rPr>
                <w:rFonts w:eastAsia="Times New Roman"/>
                <w:sz w:val="18"/>
                <w:szCs w:val="18"/>
              </w:rPr>
              <w:t>Comments</w:t>
            </w:r>
            <w:proofErr w:type="spellEnd"/>
            <w:r w:rsidRPr="00C2368C">
              <w:rPr>
                <w:rFonts w:eastAsia="Times New Roman"/>
                <w:sz w:val="18"/>
                <w:szCs w:val="18"/>
              </w:rPr>
              <w:t xml:space="preserve"> on ECE/TRANS/WP.29/GRB/2019/6</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a)</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11-Rev.1</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ETRTO</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7 a)</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Supporting material for ECE/TRANS/WP.29/GRB/2019/5</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d)</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12</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ETRTO</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7 a)</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EMT: an ETRTO answer to a Contracting Party</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d)</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13</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GTI PSES</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4 b)</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proofErr w:type="spellStart"/>
            <w:r w:rsidRPr="00C2368C">
              <w:rPr>
                <w:rFonts w:eastAsia="Times New Roman"/>
                <w:sz w:val="18"/>
                <w:szCs w:val="18"/>
              </w:rPr>
              <w:t>Status</w:t>
            </w:r>
            <w:proofErr w:type="spellEnd"/>
            <w:r w:rsidRPr="00C2368C">
              <w:rPr>
                <w:rFonts w:eastAsia="Times New Roman"/>
                <w:sz w:val="18"/>
                <w:szCs w:val="18"/>
              </w:rPr>
              <w:t xml:space="preserve"> report</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a)</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14</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IMMA</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2</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Proposal for amendments to the draft 08 series of amendments to UN Regulation No. 9</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b)</w:t>
            </w:r>
          </w:p>
        </w:tc>
      </w:tr>
      <w:tr w:rsidR="003F6A77" w:rsidRPr="00C2368C" w:rsidTr="009204D7">
        <w:trPr>
          <w:cantSplit/>
        </w:trPr>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15</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OICA</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4 b)</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Measurement uncertainties of sound emission measurements according to UN Regulation No. 51, 03 series of amendments</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a)</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16</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IMMA</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2</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ASEP for L5 vehicles with CVT/AT: background information to GRB-69-14</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b)</w:t>
            </w:r>
          </w:p>
        </w:tc>
      </w:tr>
      <w:tr w:rsidR="003F6A77" w:rsidRPr="00C2368C" w:rsidTr="009204D7">
        <w:trPr>
          <w:cantSplit/>
        </w:trPr>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17</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 xml:space="preserve">GTI du RTM </w:t>
            </w:r>
            <w:r w:rsidRPr="00B300B0">
              <w:rPr>
                <w:rFonts w:eastAsia="Times New Roman"/>
                <w:spacing w:val="-4"/>
                <w:sz w:val="18"/>
                <w:szCs w:val="18"/>
              </w:rPr>
              <w:t>pneumatiques</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7</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proofErr w:type="spellStart"/>
            <w:r w:rsidRPr="00C2368C">
              <w:rPr>
                <w:rFonts w:eastAsia="Times New Roman"/>
                <w:sz w:val="18"/>
                <w:szCs w:val="18"/>
              </w:rPr>
              <w:t>Consolidated</w:t>
            </w:r>
            <w:proofErr w:type="spellEnd"/>
            <w:r w:rsidRPr="00C2368C">
              <w:rPr>
                <w:rFonts w:eastAsia="Times New Roman"/>
                <w:sz w:val="18"/>
                <w:szCs w:val="18"/>
              </w:rPr>
              <w:t xml:space="preserve"> </w:t>
            </w:r>
            <w:proofErr w:type="spellStart"/>
            <w:r w:rsidRPr="00C2368C">
              <w:rPr>
                <w:rFonts w:eastAsia="Times New Roman"/>
                <w:sz w:val="18"/>
                <w:szCs w:val="18"/>
              </w:rPr>
              <w:t>statement</w:t>
            </w:r>
            <w:proofErr w:type="spellEnd"/>
            <w:r w:rsidRPr="00C2368C">
              <w:rPr>
                <w:rFonts w:eastAsia="Times New Roman"/>
                <w:sz w:val="18"/>
                <w:szCs w:val="18"/>
              </w:rPr>
              <w:t xml:space="preserve"> on </w:t>
            </w:r>
            <w:proofErr w:type="spellStart"/>
            <w:r w:rsidRPr="00C2368C">
              <w:rPr>
                <w:rFonts w:eastAsia="Times New Roman"/>
                <w:sz w:val="18"/>
                <w:szCs w:val="18"/>
              </w:rPr>
              <w:t>technical</w:t>
            </w:r>
            <w:proofErr w:type="spellEnd"/>
            <w:r w:rsidRPr="00C2368C">
              <w:rPr>
                <w:rFonts w:eastAsia="Times New Roman"/>
                <w:sz w:val="18"/>
                <w:szCs w:val="18"/>
              </w:rPr>
              <w:t xml:space="preserve"> </w:t>
            </w:r>
            <w:proofErr w:type="spellStart"/>
            <w:r w:rsidRPr="00C2368C">
              <w:rPr>
                <w:rFonts w:eastAsia="Times New Roman"/>
                <w:sz w:val="18"/>
                <w:szCs w:val="18"/>
              </w:rPr>
              <w:t>rationale</w:t>
            </w:r>
            <w:proofErr w:type="spellEnd"/>
            <w:r w:rsidRPr="00C2368C">
              <w:rPr>
                <w:rFonts w:eastAsia="Times New Roman"/>
                <w:sz w:val="18"/>
                <w:szCs w:val="18"/>
              </w:rPr>
              <w:t xml:space="preserve"> and justification</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b)</w:t>
            </w:r>
          </w:p>
        </w:tc>
      </w:tr>
      <w:tr w:rsidR="003F6A77" w:rsidRPr="00C2368C" w:rsidTr="009204D7">
        <w:trPr>
          <w:cantSplit/>
        </w:trPr>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18</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Chine</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4</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 xml:space="preserve">A preliminary study on test methods for UN Regulation No. 51, 03 series of amendments </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c)</w:t>
            </w:r>
          </w:p>
        </w:tc>
      </w:tr>
      <w:tr w:rsidR="003F6A77" w:rsidRPr="00C2368C" w:rsidTr="009204D7">
        <w:trPr>
          <w:cantSplit/>
        </w:trPr>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19</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Groupe intéressé</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7</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 xml:space="preserve">Status report on snow </w:t>
            </w:r>
            <w:proofErr w:type="spellStart"/>
            <w:r w:rsidRPr="009204D7">
              <w:rPr>
                <w:rFonts w:eastAsia="Times New Roman"/>
                <w:sz w:val="18"/>
                <w:szCs w:val="18"/>
                <w:lang w:val="en-US"/>
              </w:rPr>
              <w:t>tyre</w:t>
            </w:r>
            <w:proofErr w:type="spellEnd"/>
            <w:r w:rsidRPr="009204D7">
              <w:rPr>
                <w:rFonts w:eastAsia="Times New Roman"/>
                <w:sz w:val="18"/>
                <w:szCs w:val="18"/>
                <w:lang w:val="en-US"/>
              </w:rPr>
              <w:t xml:space="preserve"> provisions</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b)</w:t>
            </w:r>
          </w:p>
        </w:tc>
      </w:tr>
      <w:tr w:rsidR="003F6A77" w:rsidRPr="00C2368C" w:rsidTr="009204D7">
        <w:trPr>
          <w:cantSplit/>
        </w:trPr>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20</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 xml:space="preserve">Équipe spéciale des avertisseurs de marche arrière </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8</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proofErr w:type="spellStart"/>
            <w:r w:rsidRPr="00C2368C">
              <w:rPr>
                <w:rFonts w:eastAsia="Times New Roman"/>
                <w:sz w:val="18"/>
                <w:szCs w:val="18"/>
              </w:rPr>
              <w:t>Status</w:t>
            </w:r>
            <w:proofErr w:type="spellEnd"/>
            <w:r w:rsidRPr="00C2368C">
              <w:rPr>
                <w:rFonts w:eastAsia="Times New Roman"/>
                <w:sz w:val="18"/>
                <w:szCs w:val="18"/>
              </w:rPr>
              <w:t xml:space="preserve"> report</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a)</w:t>
            </w:r>
          </w:p>
        </w:tc>
      </w:tr>
      <w:tr w:rsidR="003F6A77" w:rsidRPr="00C2368C" w:rsidTr="009204D7">
        <w:trPr>
          <w:cantSplit/>
        </w:trPr>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21</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ETRTO</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7</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List of amendments to UN GTR No. 16</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b)</w:t>
            </w:r>
          </w:p>
        </w:tc>
      </w:tr>
      <w:tr w:rsidR="003F6A77" w:rsidRPr="00C2368C" w:rsidTr="009204D7">
        <w:trPr>
          <w:cantSplit/>
        </w:trPr>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lastRenderedPageBreak/>
              <w:t>22</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ETRTO</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7</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Proposal for Amendment 1 to UN GTR No. 16</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b)</w:t>
            </w:r>
          </w:p>
        </w:tc>
      </w:tr>
      <w:tr w:rsidR="003F6A77" w:rsidRPr="00C2368C" w:rsidTr="009204D7">
        <w:trPr>
          <w:cantSplit/>
        </w:trPr>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23</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France</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7 c)</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 xml:space="preserve">Draft terms of reference for IWG on wet grip performance of </w:t>
            </w:r>
            <w:proofErr w:type="spellStart"/>
            <w:r w:rsidRPr="009204D7">
              <w:rPr>
                <w:rFonts w:eastAsia="Times New Roman"/>
                <w:sz w:val="18"/>
                <w:szCs w:val="18"/>
                <w:lang w:val="en-US"/>
              </w:rPr>
              <w:t>tyres</w:t>
            </w:r>
            <w:proofErr w:type="spellEnd"/>
            <w:r w:rsidRPr="009204D7">
              <w:rPr>
                <w:rFonts w:eastAsia="Times New Roman"/>
                <w:sz w:val="18"/>
                <w:szCs w:val="18"/>
                <w:lang w:val="en-US"/>
              </w:rPr>
              <w:t xml:space="preserve"> in worn state</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d)</w:t>
            </w:r>
          </w:p>
        </w:tc>
      </w:tr>
      <w:tr w:rsidR="003F6A77" w:rsidRPr="00C2368C" w:rsidTr="009204D7">
        <w:trPr>
          <w:cantSplit/>
        </w:trPr>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24-Rev.1</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France</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7 b)</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9204D7" w:rsidRDefault="003F6A77" w:rsidP="00150D95">
            <w:pPr>
              <w:kinsoku/>
              <w:overflowPunct/>
              <w:autoSpaceDE/>
              <w:autoSpaceDN/>
              <w:adjustRightInd/>
              <w:snapToGrid/>
              <w:spacing w:before="40" w:after="120" w:line="220" w:lineRule="exact"/>
              <w:ind w:right="4"/>
              <w:rPr>
                <w:rFonts w:eastAsia="Times New Roman"/>
                <w:sz w:val="18"/>
                <w:szCs w:val="18"/>
                <w:lang w:val="en-US"/>
              </w:rPr>
            </w:pPr>
            <w:r w:rsidRPr="009204D7">
              <w:rPr>
                <w:rFonts w:eastAsia="Times New Roman"/>
                <w:sz w:val="18"/>
                <w:szCs w:val="18"/>
                <w:lang w:val="en-US"/>
              </w:rPr>
              <w:t>Proposal for amendment to ECE/TRANS/WP.29/GRB/2019/7</w:t>
            </w:r>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d)</w:t>
            </w:r>
          </w:p>
        </w:tc>
      </w:tr>
      <w:tr w:rsidR="003F6A77" w:rsidRPr="00C2368C" w:rsidTr="009204D7">
        <w:tc>
          <w:tcPr>
            <w:tcW w:w="851"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25-Rev.1</w:t>
            </w:r>
          </w:p>
        </w:tc>
        <w:tc>
          <w:tcPr>
            <w:tcW w:w="997"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OICA</w:t>
            </w:r>
          </w:p>
        </w:tc>
        <w:tc>
          <w:tcPr>
            <w:tcW w:w="714"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14</w:t>
            </w:r>
          </w:p>
        </w:tc>
        <w:tc>
          <w:tcPr>
            <w:tcW w:w="607"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proofErr w:type="spellStart"/>
            <w:r w:rsidRPr="00C2368C">
              <w:rPr>
                <w:rFonts w:eastAsia="Times New Roman"/>
                <w:sz w:val="18"/>
                <w:szCs w:val="18"/>
              </w:rPr>
              <w:t>Tyre</w:t>
            </w:r>
            <w:proofErr w:type="spellEnd"/>
            <w:r w:rsidRPr="00C2368C">
              <w:rPr>
                <w:rFonts w:eastAsia="Times New Roman"/>
                <w:sz w:val="18"/>
                <w:szCs w:val="18"/>
              </w:rPr>
              <w:t xml:space="preserve"> performance </w:t>
            </w:r>
            <w:proofErr w:type="spellStart"/>
            <w:r w:rsidRPr="00C2368C">
              <w:rPr>
                <w:rFonts w:eastAsia="Times New Roman"/>
                <w:sz w:val="18"/>
                <w:szCs w:val="18"/>
              </w:rPr>
              <w:t>study</w:t>
            </w:r>
            <w:proofErr w:type="spellEnd"/>
          </w:p>
        </w:tc>
        <w:tc>
          <w:tcPr>
            <w:tcW w:w="542" w:type="dxa"/>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c)</w:t>
            </w:r>
          </w:p>
        </w:tc>
      </w:tr>
      <w:tr w:rsidR="003F6A77" w:rsidRPr="00C2368C" w:rsidTr="009204D7">
        <w:tc>
          <w:tcPr>
            <w:tcW w:w="851" w:type="dxa"/>
            <w:tcBorders>
              <w:bottom w:val="single" w:sz="12" w:space="0" w:color="auto"/>
            </w:tcBorders>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26</w:t>
            </w:r>
          </w:p>
        </w:tc>
        <w:tc>
          <w:tcPr>
            <w:tcW w:w="997" w:type="dxa"/>
            <w:tcBorders>
              <w:bottom w:val="single" w:sz="12" w:space="0" w:color="auto"/>
            </w:tcBorders>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r w:rsidRPr="00C2368C">
              <w:rPr>
                <w:rFonts w:eastAsia="Times New Roman"/>
                <w:sz w:val="18"/>
                <w:szCs w:val="18"/>
              </w:rPr>
              <w:t>ISO</w:t>
            </w:r>
          </w:p>
        </w:tc>
        <w:tc>
          <w:tcPr>
            <w:tcW w:w="714" w:type="dxa"/>
            <w:tcBorders>
              <w:bottom w:val="single" w:sz="12" w:space="0" w:color="auto"/>
            </w:tcBorders>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5 b)</w:t>
            </w:r>
          </w:p>
        </w:tc>
        <w:tc>
          <w:tcPr>
            <w:tcW w:w="607" w:type="dxa"/>
            <w:tcBorders>
              <w:bottom w:val="single" w:sz="12" w:space="0" w:color="auto"/>
            </w:tcBorders>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E</w:t>
            </w:r>
          </w:p>
        </w:tc>
        <w:tc>
          <w:tcPr>
            <w:tcW w:w="3760" w:type="dxa"/>
            <w:tcBorders>
              <w:bottom w:val="single" w:sz="12" w:space="0" w:color="auto"/>
            </w:tcBorders>
            <w:shd w:val="clear" w:color="auto" w:fill="auto"/>
          </w:tcPr>
          <w:p w:rsidR="003F6A77" w:rsidRPr="00C2368C" w:rsidRDefault="003F6A77" w:rsidP="00150D95">
            <w:pPr>
              <w:kinsoku/>
              <w:overflowPunct/>
              <w:autoSpaceDE/>
              <w:autoSpaceDN/>
              <w:adjustRightInd/>
              <w:snapToGrid/>
              <w:spacing w:before="40" w:after="120" w:line="220" w:lineRule="exact"/>
              <w:ind w:right="4"/>
              <w:rPr>
                <w:rFonts w:eastAsia="Times New Roman"/>
                <w:sz w:val="18"/>
                <w:szCs w:val="18"/>
              </w:rPr>
            </w:pPr>
            <w:proofErr w:type="spellStart"/>
            <w:r w:rsidRPr="00C2368C">
              <w:rPr>
                <w:rFonts w:eastAsia="Times New Roman"/>
                <w:sz w:val="18"/>
                <w:szCs w:val="18"/>
              </w:rPr>
              <w:t>Measurement</w:t>
            </w:r>
            <w:proofErr w:type="spellEnd"/>
            <w:r w:rsidRPr="00C2368C">
              <w:rPr>
                <w:rFonts w:eastAsia="Times New Roman"/>
                <w:sz w:val="18"/>
                <w:szCs w:val="18"/>
              </w:rPr>
              <w:t xml:space="preserve"> variations</w:t>
            </w:r>
            <w:r w:rsidR="00122EB9" w:rsidRPr="00C2368C">
              <w:rPr>
                <w:rFonts w:eastAsia="Times New Roman"/>
                <w:sz w:val="18"/>
                <w:szCs w:val="18"/>
              </w:rPr>
              <w:t xml:space="preserve"> </w:t>
            </w:r>
          </w:p>
        </w:tc>
        <w:tc>
          <w:tcPr>
            <w:tcW w:w="542" w:type="dxa"/>
            <w:tcBorders>
              <w:bottom w:val="single" w:sz="12" w:space="0" w:color="auto"/>
            </w:tcBorders>
            <w:shd w:val="clear" w:color="auto" w:fill="auto"/>
          </w:tcPr>
          <w:p w:rsidR="003F6A77" w:rsidRPr="00C2368C" w:rsidRDefault="003F6A77" w:rsidP="00150D95">
            <w:pPr>
              <w:kinsoku/>
              <w:overflowPunct/>
              <w:autoSpaceDE/>
              <w:autoSpaceDN/>
              <w:adjustRightInd/>
              <w:snapToGrid/>
              <w:spacing w:before="40" w:after="120" w:line="220" w:lineRule="exact"/>
              <w:ind w:right="4"/>
              <w:jc w:val="center"/>
              <w:rPr>
                <w:rFonts w:eastAsia="Times New Roman"/>
                <w:sz w:val="18"/>
                <w:szCs w:val="18"/>
              </w:rPr>
            </w:pPr>
            <w:r w:rsidRPr="00C2368C">
              <w:rPr>
                <w:rFonts w:eastAsia="Times New Roman"/>
                <w:sz w:val="18"/>
                <w:szCs w:val="18"/>
              </w:rPr>
              <w:t>a)</w:t>
            </w:r>
          </w:p>
        </w:tc>
      </w:tr>
    </w:tbl>
    <w:p w:rsidR="003F6A77" w:rsidRPr="00C2368C" w:rsidRDefault="003F6A77" w:rsidP="003E29D7">
      <w:pPr>
        <w:kinsoku/>
        <w:overflowPunct/>
        <w:autoSpaceDE/>
        <w:autoSpaceDN/>
        <w:adjustRightInd/>
        <w:snapToGrid/>
        <w:spacing w:before="120" w:line="220" w:lineRule="atLeast"/>
        <w:ind w:left="1134" w:right="1134" w:firstLine="170"/>
        <w:jc w:val="both"/>
        <w:rPr>
          <w:rFonts w:eastAsia="Times New Roman"/>
          <w:i/>
          <w:sz w:val="18"/>
          <w:szCs w:val="18"/>
        </w:rPr>
      </w:pPr>
      <w:r w:rsidRPr="00C2368C">
        <w:rPr>
          <w:rFonts w:eastAsia="Times New Roman"/>
          <w:i/>
          <w:sz w:val="18"/>
          <w:szCs w:val="18"/>
        </w:rPr>
        <w:t>Notes</w:t>
      </w:r>
      <w:r w:rsidR="003E29D7" w:rsidRPr="00C2368C">
        <w:rPr>
          <w:rFonts w:eastAsia="Times New Roman"/>
          <w:i/>
          <w:sz w:val="18"/>
          <w:szCs w:val="18"/>
        </w:rPr>
        <w:t> </w:t>
      </w:r>
      <w:r w:rsidRPr="00C2368C">
        <w:rPr>
          <w:rFonts w:eastAsia="Times New Roman"/>
          <w:sz w:val="18"/>
          <w:szCs w:val="18"/>
        </w:rPr>
        <w:t>:</w:t>
      </w:r>
    </w:p>
    <w:p w:rsidR="003F6A77" w:rsidRPr="00C2368C" w:rsidRDefault="003F6A77" w:rsidP="003E29D7">
      <w:pPr>
        <w:kinsoku/>
        <w:overflowPunct/>
        <w:autoSpaceDE/>
        <w:autoSpaceDN/>
        <w:adjustRightInd/>
        <w:snapToGrid/>
        <w:spacing w:line="220" w:lineRule="atLeast"/>
        <w:ind w:left="1134" w:right="1134" w:firstLine="170"/>
        <w:jc w:val="both"/>
        <w:rPr>
          <w:rFonts w:eastAsia="Times New Roman"/>
          <w:sz w:val="18"/>
          <w:szCs w:val="18"/>
        </w:rPr>
      </w:pPr>
      <w:r w:rsidRPr="00C2368C">
        <w:rPr>
          <w:rFonts w:eastAsia="Times New Roman"/>
          <w:sz w:val="18"/>
          <w:szCs w:val="18"/>
        </w:rPr>
        <w:t>a)</w:t>
      </w:r>
      <w:r w:rsidRPr="00C2368C">
        <w:rPr>
          <w:rFonts w:eastAsia="Times New Roman"/>
          <w:sz w:val="18"/>
          <w:szCs w:val="18"/>
        </w:rPr>
        <w:tab/>
        <w:t>Document dont l’examen est achevé ou qui doit être remplacé.</w:t>
      </w:r>
    </w:p>
    <w:p w:rsidR="003F6A77" w:rsidRPr="00C2368C" w:rsidRDefault="003F6A77" w:rsidP="003E29D7">
      <w:pPr>
        <w:kinsoku/>
        <w:overflowPunct/>
        <w:autoSpaceDE/>
        <w:autoSpaceDN/>
        <w:adjustRightInd/>
        <w:snapToGrid/>
        <w:spacing w:line="220" w:lineRule="atLeast"/>
        <w:ind w:left="1134" w:right="1134" w:firstLine="170"/>
        <w:jc w:val="both"/>
        <w:rPr>
          <w:rFonts w:eastAsia="Times New Roman"/>
          <w:sz w:val="18"/>
          <w:szCs w:val="18"/>
        </w:rPr>
      </w:pPr>
      <w:r w:rsidRPr="00C2368C">
        <w:rPr>
          <w:rFonts w:eastAsia="Times New Roman"/>
          <w:sz w:val="18"/>
          <w:szCs w:val="18"/>
        </w:rPr>
        <w:t>b)</w:t>
      </w:r>
      <w:r w:rsidRPr="00C2368C">
        <w:rPr>
          <w:rFonts w:eastAsia="Times New Roman"/>
          <w:sz w:val="18"/>
          <w:szCs w:val="18"/>
        </w:rPr>
        <w:tab/>
        <w:t>Document dont l’examen doit être poursuivi à la prochaine session sous une cote officielle.</w:t>
      </w:r>
    </w:p>
    <w:p w:rsidR="003F6A77" w:rsidRPr="00C2368C" w:rsidRDefault="003F6A77" w:rsidP="003E29D7">
      <w:pPr>
        <w:kinsoku/>
        <w:overflowPunct/>
        <w:autoSpaceDE/>
        <w:autoSpaceDN/>
        <w:adjustRightInd/>
        <w:snapToGrid/>
        <w:spacing w:line="220" w:lineRule="atLeast"/>
        <w:ind w:left="1134" w:right="1134" w:firstLine="170"/>
        <w:jc w:val="both"/>
        <w:rPr>
          <w:rFonts w:eastAsia="Times New Roman"/>
          <w:sz w:val="18"/>
          <w:szCs w:val="18"/>
        </w:rPr>
      </w:pPr>
      <w:r w:rsidRPr="00C2368C">
        <w:rPr>
          <w:rFonts w:eastAsia="Times New Roman"/>
          <w:sz w:val="18"/>
          <w:szCs w:val="18"/>
        </w:rPr>
        <w:t>c)</w:t>
      </w:r>
      <w:r w:rsidRPr="00C2368C">
        <w:rPr>
          <w:rFonts w:eastAsia="Times New Roman"/>
          <w:sz w:val="18"/>
          <w:szCs w:val="18"/>
        </w:rPr>
        <w:tab/>
        <w:t>Document dont l’examen doit être poursuivi à la prochaine session sans cote officielle.</w:t>
      </w:r>
    </w:p>
    <w:p w:rsidR="003F6A77" w:rsidRPr="00C2368C" w:rsidRDefault="003F6A77" w:rsidP="003E29D7">
      <w:pPr>
        <w:pStyle w:val="SingleTxtG"/>
        <w:ind w:firstLine="170"/>
        <w:rPr>
          <w:rFonts w:eastAsia="Times New Roman"/>
          <w:sz w:val="18"/>
          <w:szCs w:val="18"/>
        </w:rPr>
      </w:pPr>
      <w:r w:rsidRPr="00C2368C">
        <w:rPr>
          <w:rFonts w:eastAsia="Times New Roman"/>
          <w:sz w:val="18"/>
          <w:szCs w:val="18"/>
        </w:rPr>
        <w:t>d)</w:t>
      </w:r>
      <w:r w:rsidRPr="00C2368C">
        <w:rPr>
          <w:rFonts w:eastAsia="Times New Roman"/>
          <w:sz w:val="18"/>
          <w:szCs w:val="18"/>
        </w:rPr>
        <w:tab/>
        <w:t>Document adopté et à soumettre au WP.29.</w:t>
      </w:r>
    </w:p>
    <w:p w:rsidR="00BB4B6B" w:rsidRPr="00C2368C" w:rsidRDefault="003F6A77" w:rsidP="009F49F2">
      <w:pPr>
        <w:pStyle w:val="HChG"/>
        <w:spacing w:before="0"/>
      </w:pPr>
      <w:r w:rsidRPr="00C2368C">
        <w:br w:type="page"/>
      </w:r>
      <w:r w:rsidR="00BB4B6B" w:rsidRPr="00C2368C">
        <w:lastRenderedPageBreak/>
        <w:t>Annexe II</w:t>
      </w:r>
    </w:p>
    <w:p w:rsidR="00BB4B6B" w:rsidRPr="00C2368C" w:rsidRDefault="00BB4B6B" w:rsidP="002E507E">
      <w:pPr>
        <w:pStyle w:val="HChG"/>
      </w:pPr>
      <w:r w:rsidRPr="00C2368C">
        <w:tab/>
      </w:r>
      <w:r w:rsidRPr="00C2368C">
        <w:tab/>
        <w:t xml:space="preserve">Amendements au Règlement ONU </w:t>
      </w:r>
      <w:r w:rsidR="002E507E" w:rsidRPr="00C2368C">
        <w:rPr>
          <w:rFonts w:eastAsia="MS Mincho"/>
          <w:szCs w:val="22"/>
        </w:rPr>
        <w:t>n</w:t>
      </w:r>
      <w:r w:rsidR="002E507E" w:rsidRPr="00C2368C">
        <w:rPr>
          <w:rFonts w:eastAsia="MS Mincho"/>
          <w:szCs w:val="22"/>
          <w:vertAlign w:val="superscript"/>
        </w:rPr>
        <w:t>o</w:t>
      </w:r>
      <w:r w:rsidR="002E507E" w:rsidRPr="00C2368C">
        <w:t> </w:t>
      </w:r>
      <w:r w:rsidRPr="00C2368C">
        <w:t xml:space="preserve">138 adoptés </w:t>
      </w:r>
      <w:r w:rsidR="002E507E" w:rsidRPr="00C2368C">
        <w:br/>
      </w:r>
      <w:r w:rsidRPr="00C2368C">
        <w:t>(sur la base du document GRB-69</w:t>
      </w:r>
      <w:r w:rsidR="00C05E01" w:rsidRPr="00C2368C">
        <w:t>-</w:t>
      </w:r>
      <w:r w:rsidRPr="00C2368C">
        <w:t>06)</w:t>
      </w:r>
    </w:p>
    <w:p w:rsidR="00BB4B6B" w:rsidRPr="001802A1" w:rsidRDefault="00BB4B6B" w:rsidP="009F49F2">
      <w:pPr>
        <w:pStyle w:val="SingleTxtG"/>
      </w:pPr>
      <w:r w:rsidRPr="001802A1">
        <w:rPr>
          <w:i/>
        </w:rPr>
        <w:t>Paragraphe 1, ajouter une nouvelle note de bas de page 3</w:t>
      </w:r>
      <w:r w:rsidRPr="001802A1">
        <w:t xml:space="preserve"> ainsi conçue</w:t>
      </w:r>
      <w:r w:rsidR="002E507E" w:rsidRPr="001802A1">
        <w:t> </w:t>
      </w:r>
      <w:r w:rsidRPr="001802A1">
        <w:t>:</w:t>
      </w:r>
    </w:p>
    <w:p w:rsidR="00BB4B6B" w:rsidRPr="001802A1" w:rsidRDefault="0044120C" w:rsidP="0044120C">
      <w:pPr>
        <w:pStyle w:val="SingleTxtG"/>
        <w:ind w:left="2268" w:hanging="1134"/>
        <w:rPr>
          <w:rFonts w:eastAsia="Times New Roman"/>
        </w:rPr>
      </w:pPr>
      <w:r w:rsidRPr="001802A1">
        <w:rPr>
          <w:rFonts w:eastAsia="Times New Roman"/>
        </w:rPr>
        <w:t>« 1.</w:t>
      </w:r>
      <w:r w:rsidR="001A7E9B" w:rsidRPr="001802A1">
        <w:rPr>
          <w:rFonts w:eastAsia="Times New Roman"/>
        </w:rPr>
        <w:tab/>
        <w:t>Domaine d’application</w:t>
      </w:r>
    </w:p>
    <w:p w:rsidR="00BB4B6B" w:rsidRPr="00C2368C" w:rsidRDefault="00BB4B6B" w:rsidP="001A7E9B">
      <w:pPr>
        <w:pStyle w:val="SingleTxtG"/>
        <w:ind w:left="2268"/>
        <w:rPr>
          <w:rFonts w:eastAsia="Times New Roman"/>
          <w:sz w:val="18"/>
          <w:szCs w:val="18"/>
        </w:rPr>
      </w:pPr>
      <w:r w:rsidRPr="001802A1">
        <w:rPr>
          <w:rFonts w:eastAsia="Times New Roman"/>
        </w:rPr>
        <w:t>Le présent Règlement s’applique aux véhicules électriques des catégories M et N</w:t>
      </w:r>
      <w:r w:rsidRPr="00C2368C">
        <w:rPr>
          <w:rFonts w:eastAsia="Times New Roman"/>
          <w:sz w:val="18"/>
          <w:szCs w:val="18"/>
          <w:vertAlign w:val="superscript"/>
        </w:rPr>
        <w:t>1</w:t>
      </w:r>
      <w:r w:rsidRPr="00C2368C">
        <w:rPr>
          <w:rFonts w:eastAsia="Times New Roman"/>
          <w:sz w:val="18"/>
          <w:szCs w:val="18"/>
        </w:rPr>
        <w:t xml:space="preserve"> </w:t>
      </w:r>
      <w:r w:rsidRPr="001802A1">
        <w:rPr>
          <w:rFonts w:eastAsia="Times New Roman"/>
        </w:rPr>
        <w:t>qui peuvent circuler normalement et en marche arrière, ou au moins en marche avant avec une vitesse, et sur lesquels il n’y a pas de moteur à combustion interne en marche, en ce qui concerne leur audibilité</w:t>
      </w:r>
      <w:r w:rsidRPr="00C2368C">
        <w:rPr>
          <w:rFonts w:eastAsia="Times New Roman"/>
          <w:b/>
          <w:sz w:val="18"/>
          <w:szCs w:val="18"/>
          <w:vertAlign w:val="superscript"/>
        </w:rPr>
        <w:t>3</w:t>
      </w:r>
      <w:r w:rsidRPr="00C2368C">
        <w:rPr>
          <w:rFonts w:eastAsia="Times New Roman"/>
          <w:sz w:val="18"/>
          <w:szCs w:val="18"/>
        </w:rPr>
        <w:t>.</w:t>
      </w:r>
    </w:p>
    <w:p w:rsidR="00BB4B6B" w:rsidRPr="00C2368C" w:rsidRDefault="00BB4B6B" w:rsidP="00BB4B6B">
      <w:pPr>
        <w:pStyle w:val="SingleTxtG"/>
        <w:rPr>
          <w:rFonts w:eastAsia="Times New Roman"/>
          <w:sz w:val="18"/>
          <w:szCs w:val="18"/>
        </w:rPr>
      </w:pPr>
      <w:r w:rsidRPr="00C2368C">
        <w:rPr>
          <w:rFonts w:eastAsia="Times New Roman"/>
          <w:sz w:val="18"/>
          <w:szCs w:val="18"/>
        </w:rPr>
        <w:t>___________________</w:t>
      </w:r>
    </w:p>
    <w:p w:rsidR="00BB4B6B" w:rsidRPr="00C2368C" w:rsidRDefault="00BB4B6B" w:rsidP="001A7E9B">
      <w:pPr>
        <w:pStyle w:val="SingleTxtG"/>
        <w:ind w:left="2268" w:hanging="1134"/>
        <w:rPr>
          <w:rFonts w:eastAsia="Times New Roman"/>
          <w:b/>
          <w:bCs/>
          <w:sz w:val="18"/>
          <w:szCs w:val="18"/>
        </w:rPr>
      </w:pPr>
      <w:r w:rsidRPr="00C2368C">
        <w:rPr>
          <w:rFonts w:eastAsia="Times New Roman"/>
          <w:b/>
          <w:bCs/>
          <w:sz w:val="18"/>
          <w:szCs w:val="18"/>
          <w:vertAlign w:val="superscript"/>
        </w:rPr>
        <w:t>3</w:t>
      </w:r>
      <w:r w:rsidRPr="00C2368C">
        <w:rPr>
          <w:rFonts w:eastAsia="Times New Roman"/>
          <w:b/>
          <w:bCs/>
          <w:sz w:val="18"/>
          <w:szCs w:val="18"/>
        </w:rPr>
        <w:tab/>
        <w:t>Voir paragraphe 5.1.1 pour une spécification plus détaillée de l’application.</w:t>
      </w:r>
      <w:r w:rsidR="00DA6123" w:rsidRPr="00C2368C">
        <w:rPr>
          <w:rFonts w:eastAsia="Times New Roman"/>
          <w:b/>
          <w:bCs/>
          <w:sz w:val="18"/>
          <w:szCs w:val="18"/>
        </w:rPr>
        <w:t> </w:t>
      </w:r>
      <w:r w:rsidR="00DA6123" w:rsidRPr="00C2368C">
        <w:rPr>
          <w:rFonts w:eastAsia="Times New Roman"/>
          <w:bCs/>
          <w:sz w:val="18"/>
          <w:szCs w:val="18"/>
        </w:rPr>
        <w:t>».</w:t>
      </w:r>
    </w:p>
    <w:p w:rsidR="00BB4B6B" w:rsidRPr="001802A1" w:rsidRDefault="00BB4B6B" w:rsidP="00BB4B6B">
      <w:pPr>
        <w:pStyle w:val="SingleTxtG"/>
        <w:rPr>
          <w:rFonts w:eastAsia="Times New Roman"/>
        </w:rPr>
      </w:pPr>
      <w:r w:rsidRPr="001802A1">
        <w:rPr>
          <w:rFonts w:eastAsia="Times New Roman"/>
          <w:i/>
        </w:rPr>
        <w:t>Ajouter un nouveau paragraphe 5.1.1</w:t>
      </w:r>
      <w:r w:rsidRPr="001802A1">
        <w:rPr>
          <w:rFonts w:eastAsia="Times New Roman"/>
        </w:rPr>
        <w:t xml:space="preserve"> ainsi conçu</w:t>
      </w:r>
      <w:r w:rsidR="00DA6123" w:rsidRPr="001802A1">
        <w:rPr>
          <w:rFonts w:eastAsia="Times New Roman"/>
        </w:rPr>
        <w:t> </w:t>
      </w:r>
      <w:r w:rsidRPr="001802A1">
        <w:rPr>
          <w:rFonts w:eastAsia="Times New Roman"/>
        </w:rPr>
        <w:t>:</w:t>
      </w:r>
    </w:p>
    <w:p w:rsidR="00BB4B6B" w:rsidRPr="001802A1" w:rsidRDefault="00DA6123" w:rsidP="00DA6123">
      <w:pPr>
        <w:pStyle w:val="SingleTxtG"/>
        <w:ind w:left="2268" w:hanging="1134"/>
        <w:rPr>
          <w:rFonts w:eastAsia="Times New Roman"/>
        </w:rPr>
      </w:pPr>
      <w:r w:rsidRPr="001802A1">
        <w:rPr>
          <w:rFonts w:eastAsia="Times New Roman"/>
        </w:rPr>
        <w:t>« </w:t>
      </w:r>
      <w:r w:rsidR="00BB4B6B" w:rsidRPr="001802A1">
        <w:rPr>
          <w:rFonts w:eastAsia="Times New Roman"/>
          <w:b/>
        </w:rPr>
        <w:t>5.1.1</w:t>
      </w:r>
      <w:r w:rsidR="00BB4B6B" w:rsidRPr="001802A1">
        <w:rPr>
          <w:rFonts w:eastAsia="Times New Roman"/>
          <w:b/>
        </w:rPr>
        <w:tab/>
        <w:t>Dans le cas d’un véhicule hybride</w:t>
      </w:r>
      <w:r w:rsidR="00BB4B6B" w:rsidRPr="001802A1">
        <w:rPr>
          <w:rFonts w:eastAsia="Times New Roman"/>
        </w:rPr>
        <w:t xml:space="preserve"> </w:t>
      </w:r>
      <w:r w:rsidR="00BB4B6B" w:rsidRPr="001802A1">
        <w:rPr>
          <w:rFonts w:eastAsia="Times New Roman"/>
          <w:b/>
        </w:rPr>
        <w:t>équipé d’un moteur à combustion interne : si le constructeur peut démontrer à l’autorité d’homologation de type que le véhicule ne peut pas être évalué conformément aux dispositions du Règlement en raison du fait que le moteur à combustion interne utilisé pour la propulsion fonctionnera pendant les essais prescrits, ce Règlement doit être considéré comme n’étant pas applicable à ce véhicule.</w:t>
      </w:r>
      <w:r w:rsidRPr="001802A1">
        <w:rPr>
          <w:rFonts w:eastAsia="Times New Roman"/>
        </w:rPr>
        <w:t> ».</w:t>
      </w:r>
    </w:p>
    <w:p w:rsidR="00BB4B6B" w:rsidRPr="001802A1" w:rsidRDefault="00BB4B6B" w:rsidP="00BB4B6B">
      <w:pPr>
        <w:pStyle w:val="SingleTxtG"/>
        <w:rPr>
          <w:rFonts w:eastAsia="Times New Roman"/>
        </w:rPr>
      </w:pPr>
      <w:r w:rsidRPr="001802A1">
        <w:rPr>
          <w:rFonts w:eastAsia="Times New Roman"/>
          <w:i/>
        </w:rPr>
        <w:t>Paragraphe 6.2</w:t>
      </w:r>
      <w:r w:rsidRPr="004D54C3">
        <w:rPr>
          <w:rFonts w:eastAsia="Times New Roman"/>
        </w:rPr>
        <w:t>,</w:t>
      </w:r>
      <w:r w:rsidRPr="001802A1">
        <w:rPr>
          <w:rFonts w:eastAsia="Times New Roman"/>
          <w:i/>
        </w:rPr>
        <w:t xml:space="preserve"> </w:t>
      </w:r>
      <w:r w:rsidRPr="001802A1">
        <w:rPr>
          <w:rFonts w:eastAsia="Times New Roman"/>
        </w:rPr>
        <w:t>modifier comme suit</w:t>
      </w:r>
      <w:r w:rsidR="003D5E78" w:rsidRPr="001802A1">
        <w:rPr>
          <w:rFonts w:eastAsia="Times New Roman"/>
        </w:rPr>
        <w:t> </w:t>
      </w:r>
      <w:r w:rsidRPr="001802A1">
        <w:rPr>
          <w:rFonts w:eastAsia="Times New Roman"/>
        </w:rPr>
        <w:t>:</w:t>
      </w:r>
    </w:p>
    <w:p w:rsidR="00BB4B6B" w:rsidRPr="001802A1" w:rsidRDefault="003D5E78" w:rsidP="007E776C">
      <w:pPr>
        <w:pStyle w:val="SingleTxtG"/>
        <w:ind w:left="2268" w:hanging="1134"/>
        <w:rPr>
          <w:rFonts w:eastAsia="Times New Roman"/>
        </w:rPr>
      </w:pPr>
      <w:r w:rsidRPr="001802A1">
        <w:rPr>
          <w:rFonts w:eastAsia="Times New Roman"/>
        </w:rPr>
        <w:t>« </w:t>
      </w:r>
      <w:r w:rsidR="00BB4B6B" w:rsidRPr="001802A1">
        <w:rPr>
          <w:rFonts w:eastAsia="Times New Roman"/>
        </w:rPr>
        <w:t>6.2</w:t>
      </w:r>
      <w:r w:rsidR="00BB4B6B" w:rsidRPr="001802A1">
        <w:rPr>
          <w:rFonts w:eastAsia="Times New Roman"/>
        </w:rPr>
        <w:tab/>
        <w:t xml:space="preserve">Spécifications acoustiques </w:t>
      </w:r>
    </w:p>
    <w:p w:rsidR="00BB4B6B" w:rsidRPr="001802A1" w:rsidRDefault="00BB4B6B" w:rsidP="007E776C">
      <w:pPr>
        <w:pStyle w:val="SingleTxtG"/>
        <w:ind w:left="2268"/>
        <w:rPr>
          <w:rFonts w:eastAsia="Times New Roman"/>
          <w:strike/>
        </w:rPr>
      </w:pPr>
      <w:r w:rsidRPr="001802A1">
        <w:rPr>
          <w:rFonts w:eastAsia="Times New Roman"/>
        </w:rPr>
        <w:tab/>
        <w:t xml:space="preserve">Le bruit émis par le véhicule soumis à l’homologation doit être mesuré à l’aide des méthodes décrites à l’annexe 3 du présent Règlement. </w:t>
      </w:r>
      <w:r w:rsidRPr="001802A1">
        <w:rPr>
          <w:rFonts w:eastAsia="Times New Roman"/>
          <w:b/>
          <w:strike/>
        </w:rPr>
        <w:t>La plage de vitesses retenue comprend les vitesses supérieures à 0 km/h et inférieures ou égales à 20</w:t>
      </w:r>
      <w:r w:rsidR="003D5E78" w:rsidRPr="001802A1">
        <w:rPr>
          <w:rFonts w:eastAsia="Times New Roman"/>
          <w:b/>
          <w:strike/>
        </w:rPr>
        <w:t> </w:t>
      </w:r>
      <w:r w:rsidRPr="001802A1">
        <w:rPr>
          <w:rFonts w:eastAsia="Times New Roman"/>
          <w:b/>
          <w:strike/>
        </w:rPr>
        <w:t>km/h.</w:t>
      </w:r>
    </w:p>
    <w:p w:rsidR="00BB4B6B" w:rsidRPr="001802A1" w:rsidRDefault="00BB4B6B" w:rsidP="007E776C">
      <w:pPr>
        <w:pStyle w:val="SingleTxtG"/>
        <w:ind w:left="2268"/>
        <w:rPr>
          <w:rFonts w:eastAsia="Times New Roman"/>
          <w:b/>
        </w:rPr>
      </w:pPr>
      <w:r w:rsidRPr="001802A1">
        <w:rPr>
          <w:rFonts w:eastAsia="Times New Roman"/>
          <w:b/>
        </w:rPr>
        <w:t>Les spécifications du présent Règlement s’appliquent à la plage de vitesses supérieures à 0</w:t>
      </w:r>
      <w:r w:rsidR="003D5E78" w:rsidRPr="001802A1">
        <w:rPr>
          <w:rFonts w:eastAsia="Times New Roman"/>
          <w:b/>
        </w:rPr>
        <w:t> </w:t>
      </w:r>
      <w:r w:rsidRPr="001802A1">
        <w:rPr>
          <w:rFonts w:eastAsia="Times New Roman"/>
          <w:b/>
        </w:rPr>
        <w:t>km/</w:t>
      </w:r>
      <w:r w:rsidR="003D5E78" w:rsidRPr="001802A1">
        <w:rPr>
          <w:rFonts w:eastAsia="Times New Roman"/>
          <w:b/>
        </w:rPr>
        <w:t>h et inférieures ou égales à 20 </w:t>
      </w:r>
      <w:r w:rsidRPr="001802A1">
        <w:rPr>
          <w:rFonts w:eastAsia="Times New Roman"/>
          <w:b/>
        </w:rPr>
        <w:t>km/h. Le fonctionnement d’un système avertisseur sonore de présence est permis lorsque la vitesse du véhicule se situe hors de cette fourchette. Le système avertisseur peut être opérationnel indépendamment du fonctionnement d’un moteur à combustion interne à l’intérieur ou en dehors de la plage spécifiée.</w:t>
      </w:r>
    </w:p>
    <w:p w:rsidR="00BB4B6B" w:rsidRPr="001802A1" w:rsidRDefault="00BB4B6B" w:rsidP="007E776C">
      <w:pPr>
        <w:pStyle w:val="SingleTxtG"/>
        <w:ind w:left="2268"/>
        <w:rPr>
          <w:rFonts w:eastAsia="Times New Roman"/>
        </w:rPr>
      </w:pPr>
      <w:r w:rsidRPr="001802A1">
        <w:rPr>
          <w:rFonts w:eastAsia="Times New Roman"/>
        </w:rPr>
        <w:tab/>
        <w:t>Dans le cas d’un véhicule qui n’est pas équipé d’un système avertisseur sonore, si les résultats obtenus correspondent aux niveaux généraux indiqués au tableau 2 ci-après avec une marge de +3 dB (A), les spécifications pour les bandes de tiers d’octave et le changement de fréquence ne sont pas applicables.</w:t>
      </w:r>
      <w:r w:rsidR="003D5E78" w:rsidRPr="001802A1">
        <w:rPr>
          <w:rFonts w:eastAsia="Times New Roman"/>
        </w:rPr>
        <w:t> »</w:t>
      </w:r>
      <w:r w:rsidRPr="001802A1">
        <w:rPr>
          <w:rFonts w:eastAsia="Times New Roman"/>
        </w:rPr>
        <w:t>.</w:t>
      </w:r>
    </w:p>
    <w:p w:rsidR="00BB4B6B" w:rsidRPr="001802A1" w:rsidRDefault="00BB4B6B" w:rsidP="00BB4B6B">
      <w:pPr>
        <w:pStyle w:val="SingleTxtG"/>
        <w:rPr>
          <w:rFonts w:eastAsia="Times New Roman"/>
        </w:rPr>
      </w:pPr>
      <w:r w:rsidRPr="001802A1">
        <w:rPr>
          <w:rFonts w:eastAsia="Times New Roman"/>
          <w:i/>
        </w:rPr>
        <w:t>Ajouter un nouveau paragraphe 6.2.6</w:t>
      </w:r>
      <w:r w:rsidRPr="001802A1">
        <w:rPr>
          <w:rFonts w:eastAsia="Times New Roman"/>
        </w:rPr>
        <w:t xml:space="preserve"> ainsi conçu</w:t>
      </w:r>
      <w:r w:rsidR="003D5E78" w:rsidRPr="001802A1">
        <w:rPr>
          <w:rFonts w:eastAsia="Times New Roman"/>
        </w:rPr>
        <w:t> </w:t>
      </w:r>
      <w:r w:rsidRPr="001802A1">
        <w:rPr>
          <w:rFonts w:eastAsia="Times New Roman"/>
        </w:rPr>
        <w:t>:</w:t>
      </w:r>
    </w:p>
    <w:p w:rsidR="00BB4B6B" w:rsidRPr="001802A1" w:rsidRDefault="003D5E78" w:rsidP="00DA6123">
      <w:pPr>
        <w:pStyle w:val="SingleTxtG"/>
        <w:ind w:left="2268" w:hanging="1134"/>
        <w:rPr>
          <w:rFonts w:eastAsia="Times New Roman"/>
          <w:b/>
        </w:rPr>
      </w:pPr>
      <w:r w:rsidRPr="001802A1">
        <w:rPr>
          <w:rFonts w:eastAsia="Times New Roman"/>
        </w:rPr>
        <w:t>« </w:t>
      </w:r>
      <w:r w:rsidR="00BB4B6B" w:rsidRPr="001802A1">
        <w:rPr>
          <w:rFonts w:eastAsia="Times New Roman"/>
          <w:b/>
        </w:rPr>
        <w:t>6.2.6</w:t>
      </w:r>
      <w:r w:rsidR="00BB4B6B" w:rsidRPr="001802A1">
        <w:rPr>
          <w:rFonts w:eastAsia="Times New Roman"/>
          <w:b/>
        </w:rPr>
        <w:tab/>
        <w:t>Variation du niveau sonore du système avertisseur sonore de présence</w:t>
      </w:r>
    </w:p>
    <w:p w:rsidR="00BB4B6B" w:rsidRPr="001802A1" w:rsidRDefault="00BB4B6B" w:rsidP="007E776C">
      <w:pPr>
        <w:pStyle w:val="SingleTxtG"/>
        <w:ind w:left="2268"/>
        <w:rPr>
          <w:rFonts w:eastAsia="Times New Roman"/>
        </w:rPr>
      </w:pPr>
      <w:r w:rsidRPr="001802A1">
        <w:rPr>
          <w:rFonts w:eastAsia="Times New Roman"/>
          <w:b/>
        </w:rPr>
        <w:t>S’il est installé, le système avertisseur de présence peut fonctionner à différents niveaux sonores pouvant être soit gérés automatiquement par le module de gestion soit choisis manuellement par le conducteur, chacun de ces niveaux sonores devant être conforme aux spécifications des paragraphes 6.2.1 à 6.2.3 et des paragraphes 6.2.8 et 6.2.9.</w:t>
      </w:r>
      <w:r w:rsidR="003D5E78" w:rsidRPr="001802A1">
        <w:rPr>
          <w:rFonts w:eastAsia="Times New Roman"/>
        </w:rPr>
        <w:t> »</w:t>
      </w:r>
      <w:r w:rsidRPr="001802A1">
        <w:rPr>
          <w:rFonts w:eastAsia="Times New Roman"/>
        </w:rPr>
        <w:t>.</w:t>
      </w:r>
    </w:p>
    <w:p w:rsidR="00BB4B6B" w:rsidRPr="001802A1" w:rsidRDefault="00BB4B6B" w:rsidP="00BB4B6B">
      <w:pPr>
        <w:pStyle w:val="SingleTxtG"/>
        <w:rPr>
          <w:rFonts w:eastAsia="Times New Roman"/>
          <w:i/>
        </w:rPr>
      </w:pPr>
      <w:r w:rsidRPr="001802A1">
        <w:rPr>
          <w:rFonts w:eastAsia="Times New Roman"/>
          <w:i/>
        </w:rPr>
        <w:t>Les paragraphes 6.2.6 (ancien) à 6.2.8</w:t>
      </w:r>
      <w:r w:rsidRPr="001802A1">
        <w:rPr>
          <w:rFonts w:eastAsia="Times New Roman"/>
        </w:rPr>
        <w:t>,</w:t>
      </w:r>
      <w:r w:rsidRPr="001802A1">
        <w:rPr>
          <w:rFonts w:eastAsia="Times New Roman"/>
          <w:i/>
        </w:rPr>
        <w:t xml:space="preserve"> </w:t>
      </w:r>
      <w:r w:rsidRPr="001802A1">
        <w:rPr>
          <w:rFonts w:eastAsia="Times New Roman"/>
          <w:iCs/>
        </w:rPr>
        <w:t>deviennent les paragraphes 6.2.7 à 6.2.9.</w:t>
      </w:r>
    </w:p>
    <w:p w:rsidR="00BB4B6B" w:rsidRPr="001802A1" w:rsidRDefault="00BB4B6B" w:rsidP="006D786F">
      <w:pPr>
        <w:pStyle w:val="SingleTxtG"/>
        <w:keepNext/>
        <w:rPr>
          <w:rFonts w:eastAsia="Times New Roman"/>
        </w:rPr>
      </w:pPr>
      <w:r w:rsidRPr="001802A1">
        <w:rPr>
          <w:rFonts w:eastAsia="Times New Roman"/>
          <w:i/>
        </w:rPr>
        <w:lastRenderedPageBreak/>
        <w:t>Annexe 3, paragraphe 2.2</w:t>
      </w:r>
      <w:r w:rsidRPr="001802A1">
        <w:rPr>
          <w:rFonts w:eastAsia="Times New Roman"/>
        </w:rPr>
        <w:t>,</w:t>
      </w:r>
      <w:r w:rsidRPr="001802A1">
        <w:rPr>
          <w:rFonts w:eastAsia="Times New Roman"/>
          <w:i/>
        </w:rPr>
        <w:t xml:space="preserve"> </w:t>
      </w:r>
      <w:r w:rsidRPr="001802A1">
        <w:rPr>
          <w:rFonts w:eastAsia="Times New Roman"/>
        </w:rPr>
        <w:t>modifier comme suit</w:t>
      </w:r>
      <w:r w:rsidR="00AB5A0B" w:rsidRPr="001802A1">
        <w:rPr>
          <w:rFonts w:eastAsia="Times New Roman"/>
        </w:rPr>
        <w:t> </w:t>
      </w:r>
      <w:r w:rsidRPr="001802A1">
        <w:rPr>
          <w:rFonts w:eastAsia="Times New Roman"/>
        </w:rPr>
        <w:t>:</w:t>
      </w:r>
    </w:p>
    <w:p w:rsidR="00BB4B6B" w:rsidRPr="001802A1" w:rsidRDefault="00AB5A0B" w:rsidP="006D786F">
      <w:pPr>
        <w:pStyle w:val="SingleTxtG"/>
        <w:keepNext/>
        <w:ind w:left="2268" w:hanging="1134"/>
        <w:rPr>
          <w:rFonts w:eastAsia="Times New Roman"/>
        </w:rPr>
      </w:pPr>
      <w:r w:rsidRPr="001802A1">
        <w:rPr>
          <w:rFonts w:eastAsia="Times New Roman"/>
        </w:rPr>
        <w:t>« 2.2</w:t>
      </w:r>
      <w:r w:rsidRPr="001802A1">
        <w:rPr>
          <w:rFonts w:eastAsia="Times New Roman"/>
        </w:rPr>
        <w:tab/>
        <w:t>Conditions météorologiques</w:t>
      </w:r>
    </w:p>
    <w:p w:rsidR="00BB4B6B" w:rsidRPr="001802A1" w:rsidRDefault="00BB4B6B" w:rsidP="006D786F">
      <w:pPr>
        <w:pStyle w:val="SingleTxtG"/>
        <w:keepNext/>
        <w:ind w:left="2268" w:hanging="1134"/>
        <w:rPr>
          <w:rFonts w:eastAsia="Times New Roman"/>
          <w:b/>
        </w:rPr>
      </w:pPr>
      <w:r w:rsidRPr="001802A1">
        <w:rPr>
          <w:rFonts w:eastAsia="Times New Roman"/>
          <w:b/>
        </w:rPr>
        <w:t>2.2.1</w:t>
      </w:r>
      <w:r w:rsidRPr="001802A1">
        <w:rPr>
          <w:rFonts w:eastAsia="Times New Roman"/>
          <w:b/>
        </w:rPr>
        <w:tab/>
      </w:r>
      <w:r w:rsidRPr="004D54C3">
        <w:rPr>
          <w:rFonts w:eastAsia="Times New Roman"/>
          <w:b/>
        </w:rPr>
        <w:t>En</w:t>
      </w:r>
      <w:r w:rsidR="00A033CF" w:rsidRPr="004D54C3">
        <w:rPr>
          <w:rFonts w:eastAsia="Times New Roman"/>
          <w:b/>
        </w:rPr>
        <w:t xml:space="preserve"> c</w:t>
      </w:r>
      <w:r w:rsidR="00A033CF" w:rsidRPr="001802A1">
        <w:rPr>
          <w:rFonts w:eastAsia="Times New Roman"/>
          <w:b/>
        </w:rPr>
        <w:t>as d’essais à l’extérieur</w:t>
      </w:r>
    </w:p>
    <w:p w:rsidR="00BB4B6B" w:rsidRPr="001802A1" w:rsidRDefault="00BB4B6B" w:rsidP="006D786F">
      <w:pPr>
        <w:pStyle w:val="SingleTxtG"/>
        <w:keepNext/>
        <w:ind w:left="2268"/>
        <w:rPr>
          <w:rFonts w:eastAsia="Times New Roman"/>
        </w:rPr>
      </w:pPr>
      <w:r w:rsidRPr="001802A1">
        <w:rPr>
          <w:rFonts w:eastAsia="Times New Roman"/>
        </w:rPr>
        <w:tab/>
        <w:t>Les conditions météorologiques permettent de procéder aux essais à des températures de fonctionnement normales et d’éviter des résultats anormaux dus à des conditions extrêmes.</w:t>
      </w:r>
    </w:p>
    <w:p w:rsidR="00BB4B6B" w:rsidRPr="001802A1" w:rsidRDefault="00BB4B6B" w:rsidP="007E776C">
      <w:pPr>
        <w:pStyle w:val="SingleTxtG"/>
        <w:ind w:left="2268"/>
        <w:rPr>
          <w:rFonts w:eastAsia="Times New Roman"/>
          <w:b/>
        </w:rPr>
      </w:pPr>
      <w:r w:rsidRPr="001802A1">
        <w:rPr>
          <w:rFonts w:eastAsia="Times New Roman"/>
          <w:b/>
        </w:rPr>
        <w:tab/>
        <w:t>Les appareils de mesure météorologique doivent produire des données représentatives du lieu d’essai et doivent être placés à proximité de l’aire d’essai, à une hauteur correspondant à la hauteur des microphones servant à mesurer le bruit.</w:t>
      </w:r>
    </w:p>
    <w:p w:rsidR="00BB4B6B" w:rsidRPr="001802A1" w:rsidRDefault="00BB4B6B" w:rsidP="007E776C">
      <w:pPr>
        <w:pStyle w:val="SingleTxtG"/>
        <w:ind w:left="2268"/>
        <w:rPr>
          <w:rFonts w:eastAsia="Times New Roman"/>
        </w:rPr>
      </w:pPr>
      <w:r w:rsidRPr="001802A1">
        <w:rPr>
          <w:rFonts w:eastAsia="Times New Roman"/>
        </w:rPr>
        <w:t xml:space="preserve">Une valeur représentative de la température, </w:t>
      </w:r>
      <w:r w:rsidRPr="001802A1">
        <w:rPr>
          <w:rFonts w:eastAsia="Times New Roman"/>
          <w:b/>
        </w:rPr>
        <w:t>de la vitesse du vent</w:t>
      </w:r>
      <w:r w:rsidRPr="001802A1">
        <w:rPr>
          <w:rFonts w:eastAsia="Times New Roman"/>
        </w:rPr>
        <w:t>, de l’humidité relative et de la pression barométrique doit être enregistrée durant la période de mesure.</w:t>
      </w:r>
    </w:p>
    <w:p w:rsidR="00BB4B6B" w:rsidRPr="001802A1" w:rsidRDefault="00BB4B6B" w:rsidP="007E776C">
      <w:pPr>
        <w:pStyle w:val="SingleTxtG"/>
        <w:ind w:left="2268"/>
        <w:rPr>
          <w:rFonts w:eastAsia="Times New Roman"/>
          <w:b/>
          <w:strike/>
        </w:rPr>
      </w:pPr>
      <w:r w:rsidRPr="001802A1">
        <w:rPr>
          <w:rFonts w:eastAsia="Times New Roman"/>
          <w:b/>
          <w:strike/>
        </w:rPr>
        <w:tab/>
        <w:t>Les appareils de mesure météorologique doivent produire des données représentatives du lieu d’essai et doivent être placés à proximité de l’aire d’essai, à une hauteur correspondant à la hauteur des microphones servant à mesurer le bruit.</w:t>
      </w:r>
    </w:p>
    <w:p w:rsidR="00BB4B6B" w:rsidRPr="001802A1" w:rsidRDefault="00BB4B6B" w:rsidP="007E776C">
      <w:pPr>
        <w:pStyle w:val="SingleTxtG"/>
        <w:ind w:left="2268"/>
        <w:rPr>
          <w:rFonts w:eastAsia="Times New Roman"/>
        </w:rPr>
      </w:pPr>
      <w:r w:rsidRPr="001802A1">
        <w:rPr>
          <w:rFonts w:eastAsia="Times New Roman"/>
        </w:rPr>
        <w:tab/>
        <w:t>Les mesures du bruit doivent se faire lorsque la température de l’air ambiant est comprise entre 5 °C et 40 °C.</w:t>
      </w:r>
    </w:p>
    <w:p w:rsidR="00BB4B6B" w:rsidRPr="001802A1" w:rsidRDefault="00BB4B6B" w:rsidP="007E776C">
      <w:pPr>
        <w:pStyle w:val="SingleTxtG"/>
        <w:ind w:left="2268"/>
        <w:rPr>
          <w:rFonts w:eastAsia="Times New Roman"/>
        </w:rPr>
      </w:pPr>
      <w:r w:rsidRPr="001802A1">
        <w:rPr>
          <w:rFonts w:eastAsia="Times New Roman"/>
        </w:rPr>
        <w:tab/>
        <w:t>Il est possible de réduire cette plage de températures ambiantes de sorte que les principales fonctions du véhicule contribuant à la réduction de ses émissions sonores (système arrêt-démarrage automatique, propulsion hybride, propulsion à partir des batteries ou mise en service des piles à combustible, par exemple) soient activées conformément aux instructions du constructeur.</w:t>
      </w:r>
    </w:p>
    <w:p w:rsidR="00BB4B6B" w:rsidRPr="001802A1" w:rsidRDefault="00BB4B6B" w:rsidP="007E776C">
      <w:pPr>
        <w:pStyle w:val="SingleTxtG"/>
        <w:ind w:left="2268"/>
        <w:rPr>
          <w:rFonts w:eastAsia="Times New Roman"/>
        </w:rPr>
      </w:pPr>
      <w:r w:rsidRPr="001802A1">
        <w:rPr>
          <w:rFonts w:eastAsia="Times New Roman"/>
        </w:rPr>
        <w:tab/>
        <w:t>Les essais ne doivent pas être réalisés si, durant la période de mesure, la vitesse du vent, y compris en rafale, dépasse 5 m/s à la hauteur des microphones.</w:t>
      </w:r>
    </w:p>
    <w:p w:rsidR="00BB4B6B" w:rsidRPr="001802A1" w:rsidRDefault="00BB4B6B" w:rsidP="00DA6123">
      <w:pPr>
        <w:pStyle w:val="SingleTxtG"/>
        <w:ind w:left="2268" w:hanging="1134"/>
        <w:rPr>
          <w:rFonts w:eastAsia="Times New Roman"/>
          <w:b/>
        </w:rPr>
      </w:pPr>
      <w:r w:rsidRPr="001802A1">
        <w:rPr>
          <w:rFonts w:eastAsia="Times New Roman"/>
          <w:b/>
        </w:rPr>
        <w:t>2.2.2</w:t>
      </w:r>
      <w:r w:rsidRPr="001802A1">
        <w:rPr>
          <w:rFonts w:eastAsia="Times New Roman"/>
          <w:b/>
        </w:rPr>
        <w:tab/>
        <w:t>En cas d’essais dans des installations intérieures</w:t>
      </w:r>
    </w:p>
    <w:p w:rsidR="00BB4B6B" w:rsidRPr="001802A1" w:rsidRDefault="00BB4B6B" w:rsidP="007E776C">
      <w:pPr>
        <w:pStyle w:val="SingleTxtG"/>
        <w:ind w:left="2268"/>
        <w:rPr>
          <w:rFonts w:eastAsia="Times New Roman"/>
          <w:b/>
        </w:rPr>
      </w:pPr>
      <w:r w:rsidRPr="001802A1">
        <w:rPr>
          <w:rFonts w:eastAsia="Times New Roman"/>
          <w:b/>
        </w:rPr>
        <w:t>Les conditions météorologiques permettent de procéder aux essais à des températures de fonctionnement normales et d’éviter des résultats anormaux dus à des conditions extrêmes.</w:t>
      </w:r>
    </w:p>
    <w:p w:rsidR="00BB4B6B" w:rsidRPr="001802A1" w:rsidRDefault="00BB4B6B" w:rsidP="007E776C">
      <w:pPr>
        <w:pStyle w:val="SingleTxtG"/>
        <w:ind w:left="2268"/>
        <w:rPr>
          <w:rFonts w:eastAsia="Times New Roman"/>
          <w:b/>
        </w:rPr>
      </w:pPr>
      <w:r w:rsidRPr="001802A1">
        <w:rPr>
          <w:rFonts w:eastAsia="Times New Roman"/>
          <w:b/>
        </w:rPr>
        <w:tab/>
        <w:t>Les appareils de mesure météorologique doivent produire des données représentatives du lieu d’essai, et les valeurs de la température, de l’humidité relative et de la pression barométrique doivent être enregistrées durant la période de mesure.</w:t>
      </w:r>
    </w:p>
    <w:p w:rsidR="00BB4B6B" w:rsidRPr="001802A1" w:rsidRDefault="00BB4B6B" w:rsidP="007E776C">
      <w:pPr>
        <w:pStyle w:val="SingleTxtG"/>
        <w:ind w:left="2268"/>
        <w:rPr>
          <w:rFonts w:eastAsia="Times New Roman"/>
          <w:b/>
        </w:rPr>
      </w:pPr>
      <w:r w:rsidRPr="001802A1">
        <w:rPr>
          <w:rFonts w:eastAsia="Times New Roman"/>
          <w:b/>
        </w:rPr>
        <w:tab/>
        <w:t>Les mesures du bruit doivent se faire lorsque la température de l’air ambiant est comprise entre 5 °C et 40 °C.</w:t>
      </w:r>
    </w:p>
    <w:p w:rsidR="00BB4B6B" w:rsidRPr="001802A1" w:rsidRDefault="00BB4B6B" w:rsidP="007E776C">
      <w:pPr>
        <w:pStyle w:val="SingleTxtG"/>
        <w:ind w:left="2268"/>
        <w:rPr>
          <w:rFonts w:eastAsia="Times New Roman"/>
        </w:rPr>
      </w:pPr>
      <w:r w:rsidRPr="001802A1">
        <w:rPr>
          <w:rFonts w:eastAsia="Times New Roman"/>
          <w:b/>
        </w:rPr>
        <w:tab/>
        <w:t>Il est possible de réduire cette plage de températures ambiantes de sorte que les principales fonctions du véhicule contribuant à la réduction de ses émissions sonores (système arrêt-démarrage automatique, propulsion hybride, propulsion à partir des batteries ou mise en service des piles à combustible, par exemple) soient activées conformément aux instructions du constructeur.</w:t>
      </w:r>
      <w:r w:rsidR="00EA2B30" w:rsidRPr="001802A1">
        <w:rPr>
          <w:rFonts w:eastAsia="Times New Roman"/>
        </w:rPr>
        <w:t> »</w:t>
      </w:r>
      <w:r w:rsidRPr="001802A1">
        <w:rPr>
          <w:rFonts w:eastAsia="Times New Roman"/>
        </w:rPr>
        <w:t>.</w:t>
      </w:r>
    </w:p>
    <w:p w:rsidR="00BB4B6B" w:rsidRPr="001802A1" w:rsidRDefault="00BB4B6B" w:rsidP="005D3BE1">
      <w:pPr>
        <w:pStyle w:val="SingleTxtG"/>
        <w:keepNext/>
        <w:rPr>
          <w:rFonts w:eastAsia="Times New Roman"/>
        </w:rPr>
      </w:pPr>
      <w:r w:rsidRPr="001802A1">
        <w:rPr>
          <w:rFonts w:eastAsia="Times New Roman"/>
          <w:i/>
        </w:rPr>
        <w:t>Appendice à l’annexe 3, figure 4</w:t>
      </w:r>
      <w:r w:rsidRPr="001802A1">
        <w:rPr>
          <w:rFonts w:eastAsia="Times New Roman"/>
        </w:rPr>
        <w:t>,</w:t>
      </w:r>
      <w:r w:rsidRPr="001802A1">
        <w:rPr>
          <w:rFonts w:eastAsia="Times New Roman"/>
          <w:i/>
        </w:rPr>
        <w:t xml:space="preserve"> </w:t>
      </w:r>
      <w:r w:rsidRPr="001802A1">
        <w:rPr>
          <w:rFonts w:eastAsia="Times New Roman"/>
        </w:rPr>
        <w:t>modifier comme suit</w:t>
      </w:r>
      <w:r w:rsidR="005D3BE1" w:rsidRPr="001802A1">
        <w:rPr>
          <w:rFonts w:eastAsia="Times New Roman"/>
        </w:rPr>
        <w:t> </w:t>
      </w:r>
      <w:r w:rsidRPr="001802A1">
        <w:rPr>
          <w:rFonts w:eastAsia="Times New Roman"/>
        </w:rPr>
        <w:t>:</w:t>
      </w:r>
    </w:p>
    <w:p w:rsidR="00BB4B6B" w:rsidRPr="001802A1" w:rsidRDefault="005D3BE1" w:rsidP="00C50551">
      <w:pPr>
        <w:pStyle w:val="Titre1"/>
        <w:spacing w:after="120"/>
      </w:pPr>
      <w:r w:rsidRPr="001802A1">
        <w:t>« </w:t>
      </w:r>
      <w:r w:rsidR="00BB4B6B" w:rsidRPr="001802A1">
        <w:t>Figure 4</w:t>
      </w:r>
      <w:r w:rsidRPr="001802A1">
        <w:br/>
      </w:r>
      <w:r w:rsidR="00BB4B6B" w:rsidRPr="004D54C3">
        <w:rPr>
          <w:b/>
          <w:strike/>
        </w:rPr>
        <w:t>Détermination de l’amplitude du bruit de fond</w:t>
      </w:r>
      <w:r w:rsidR="00122EB9" w:rsidRPr="001802A1">
        <w:rPr>
          <w:b/>
        </w:rPr>
        <w:t xml:space="preserve"> </w:t>
      </w:r>
      <w:r w:rsidR="00BB4B6B" w:rsidRPr="001802A1">
        <w:rPr>
          <w:b/>
        </w:rPr>
        <w:t>Bruit de fond et paramètre sonore</w:t>
      </w:r>
      <w:r w:rsidR="00C50551" w:rsidRPr="001802A1">
        <w:t> ».</w:t>
      </w:r>
    </w:p>
    <w:p w:rsidR="00BB4B6B" w:rsidRPr="001802A1" w:rsidRDefault="00532ACF" w:rsidP="005D3BE1">
      <w:pPr>
        <w:pStyle w:val="SingleTxtG"/>
        <w:keepNext/>
        <w:rPr>
          <w:rFonts w:eastAsia="Times New Roman"/>
          <w:iCs/>
        </w:rPr>
      </w:pPr>
      <w:r w:rsidRPr="00C2368C">
        <w:rPr>
          <w:rFonts w:eastAsia="Times New Roman"/>
          <w:i/>
          <w:sz w:val="18"/>
          <w:szCs w:val="18"/>
        </w:rPr>
        <w:br w:type="page"/>
      </w:r>
      <w:r w:rsidR="00BB4B6B" w:rsidRPr="001802A1">
        <w:rPr>
          <w:rFonts w:eastAsia="Times New Roman"/>
          <w:i/>
        </w:rPr>
        <w:lastRenderedPageBreak/>
        <w:t>Appendice à l’annexe 3, figure 7b</w:t>
      </w:r>
      <w:r w:rsidR="00BB4B6B" w:rsidRPr="001802A1">
        <w:rPr>
          <w:rFonts w:eastAsia="Times New Roman"/>
        </w:rPr>
        <w:t xml:space="preserve">, </w:t>
      </w:r>
      <w:r w:rsidR="00BB4B6B" w:rsidRPr="001802A1">
        <w:rPr>
          <w:rFonts w:eastAsia="Times New Roman"/>
          <w:iCs/>
        </w:rPr>
        <w:t>modifier comme suit</w:t>
      </w:r>
      <w:r w:rsidR="00C50551" w:rsidRPr="001802A1">
        <w:rPr>
          <w:rFonts w:eastAsia="Times New Roman"/>
          <w:iCs/>
        </w:rPr>
        <w:t> </w:t>
      </w:r>
      <w:r w:rsidR="00BB4B6B" w:rsidRPr="001802A1">
        <w:rPr>
          <w:rFonts w:eastAsia="Times New Roman"/>
          <w:iCs/>
        </w:rPr>
        <w:t>:</w:t>
      </w:r>
    </w:p>
    <w:p w:rsidR="00604E3A" w:rsidRPr="001802A1" w:rsidRDefault="005824FC" w:rsidP="005824FC">
      <w:pPr>
        <w:pStyle w:val="Titre1"/>
        <w:spacing w:after="120"/>
        <w:rPr>
          <w:rFonts w:eastAsia="Times New Roman"/>
        </w:rPr>
      </w:pPr>
      <w:r w:rsidRPr="001802A1">
        <w:t>« </w:t>
      </w:r>
      <w:r w:rsidR="00BB4B6B" w:rsidRPr="001802A1">
        <w:t>Figure 7b</w:t>
      </w:r>
      <w:r w:rsidRPr="001802A1">
        <w:br/>
      </w:r>
      <w:r w:rsidR="00BB4B6B" w:rsidRPr="001802A1">
        <w:rPr>
          <w:rFonts w:eastAsia="Times New Roman"/>
        </w:rPr>
        <w:t>Procédure d’essai pour la mesure du changement de fréquence − méthode A</w:t>
      </w:r>
    </w:p>
    <w:p w:rsidR="00392527" w:rsidRPr="00C2368C" w:rsidRDefault="00392527" w:rsidP="00604E3A">
      <w:pPr>
        <w:pStyle w:val="SingleTxtG"/>
      </w:pPr>
      <w:r w:rsidRPr="00C2368C">
        <w:rPr>
          <w:rFonts w:eastAsia="Times New Roman"/>
          <w:noProof/>
          <w:lang w:eastAsia="fr-CH"/>
        </w:rPr>
        <mc:AlternateContent>
          <mc:Choice Requires="wpg">
            <w:drawing>
              <wp:anchor distT="0" distB="0" distL="114300" distR="114300" simplePos="0" relativeHeight="251657728" behindDoc="0" locked="0" layoutInCell="1" allowOverlap="1" wp14:anchorId="69E6710F" wp14:editId="488C43A9">
                <wp:simplePos x="0" y="0"/>
                <wp:positionH relativeFrom="column">
                  <wp:posOffset>1724025</wp:posOffset>
                </wp:positionH>
                <wp:positionV relativeFrom="paragraph">
                  <wp:posOffset>142240</wp:posOffset>
                </wp:positionV>
                <wp:extent cx="3124276" cy="5958916"/>
                <wp:effectExtent l="0" t="0" r="19050" b="22860"/>
                <wp:wrapNone/>
                <wp:docPr id="41" name="Gruppieren 1"/>
                <wp:cNvGraphicFramePr/>
                <a:graphic xmlns:a="http://schemas.openxmlformats.org/drawingml/2006/main">
                  <a:graphicData uri="http://schemas.microsoft.com/office/word/2010/wordprocessingGroup">
                    <wpg:wgp>
                      <wpg:cNvGrpSpPr/>
                      <wpg:grpSpPr>
                        <a:xfrm>
                          <a:off x="0" y="0"/>
                          <a:ext cx="3124276" cy="5958916"/>
                          <a:chOff x="0" y="0"/>
                          <a:chExt cx="3124276" cy="5958916"/>
                        </a:xfrm>
                      </wpg:grpSpPr>
                      <wps:wsp>
                        <wps:cNvPr id="42" name="Flowchart: Process 253"/>
                        <wps:cNvSpPr>
                          <a:spLocks noChangeArrowheads="1"/>
                        </wps:cNvSpPr>
                        <wps:spPr bwMode="auto">
                          <a:xfrm>
                            <a:off x="1" y="0"/>
                            <a:ext cx="3124274" cy="894190"/>
                          </a:xfrm>
                          <a:prstGeom prst="flowChartProcess">
                            <a:avLst/>
                          </a:prstGeom>
                          <a:solidFill>
                            <a:sysClr val="window" lastClr="FFFFFF"/>
                          </a:solidFill>
                          <a:ln w="12700">
                            <a:solidFill>
                              <a:sysClr val="windowText" lastClr="000000"/>
                            </a:solidFill>
                            <a:miter lim="800000"/>
                            <a:headEnd/>
                            <a:tailEnd/>
                          </a:ln>
                        </wps:spPr>
                        <wps:txbx>
                          <w:txbxContent>
                            <w:p w:rsidR="00EB512D" w:rsidRPr="00973173" w:rsidRDefault="00EB512D" w:rsidP="00015C52">
                              <w:pPr>
                                <w:pStyle w:val="NormalWeb"/>
                                <w:spacing w:line="200" w:lineRule="exact"/>
                                <w:jc w:val="center"/>
                                <w:textAlignment w:val="baseline"/>
                                <w:rPr>
                                  <w:sz w:val="18"/>
                                  <w:szCs w:val="18"/>
                                  <w:lang w:val="fr-CH"/>
                                </w:rPr>
                              </w:pPr>
                              <w:r w:rsidRPr="00973173">
                                <w:rPr>
                                  <w:color w:val="000000"/>
                                  <w:kern w:val="24"/>
                                  <w:sz w:val="18"/>
                                  <w:szCs w:val="18"/>
                                  <w:lang w:val="fr-CH"/>
                                </w:rPr>
                                <w:t xml:space="preserve">Prendre quatre mesures à chaque vitesse spécifiée au 4.3.1. Enregistrer </w:t>
                              </w:r>
                              <w:r w:rsidRPr="00973173">
                                <w:rPr>
                                  <w:b/>
                                  <w:strike/>
                                  <w:color w:val="000000"/>
                                  <w:kern w:val="24"/>
                                  <w:sz w:val="18"/>
                                  <w:szCs w:val="18"/>
                                  <w:lang w:val="fr-CH"/>
                                </w:rPr>
                                <w:t>deux secondes de</w:t>
                              </w:r>
                              <w:r w:rsidRPr="00973173">
                                <w:rPr>
                                  <w:color w:val="000000"/>
                                  <w:kern w:val="24"/>
                                  <w:sz w:val="18"/>
                                  <w:szCs w:val="18"/>
                                  <w:lang w:val="fr-CH"/>
                                </w:rPr>
                                <w:t xml:space="preserve"> les données </w:t>
                              </w:r>
                              <w:r w:rsidRPr="00973173">
                                <w:rPr>
                                  <w:b/>
                                  <w:strike/>
                                  <w:color w:val="000000"/>
                                  <w:kern w:val="24"/>
                                  <w:sz w:val="18"/>
                                  <w:szCs w:val="18"/>
                                  <w:lang w:val="fr-CH"/>
                                </w:rPr>
                                <w:t>sur le niveau de pression acoustique maximal</w:t>
                              </w:r>
                              <w:r w:rsidRPr="00973173">
                                <w:rPr>
                                  <w:color w:val="000000"/>
                                  <w:kern w:val="24"/>
                                  <w:sz w:val="18"/>
                                  <w:szCs w:val="18"/>
                                  <w:lang w:val="fr-CH"/>
                                </w:rPr>
                                <w:t xml:space="preserve"> pour chaque mesure </w:t>
                              </w:r>
                              <w:r w:rsidRPr="00973173">
                                <w:rPr>
                                  <w:bCs/>
                                  <w:color w:val="000000"/>
                                  <w:kern w:val="24"/>
                                  <w:sz w:val="18"/>
                                  <w:szCs w:val="18"/>
                                  <w:lang w:val="fr-CH"/>
                                </w:rPr>
                                <w:t xml:space="preserve">entre </w:t>
                              </w:r>
                              <w:r w:rsidRPr="00973173">
                                <w:rPr>
                                  <w:color w:val="000000"/>
                                  <w:kern w:val="24"/>
                                  <w:sz w:val="18"/>
                                  <w:szCs w:val="18"/>
                                  <w:lang w:val="fr-CH"/>
                                </w:rPr>
                                <w:t>AA' et -1 m avant PP' (4.4.1)</w:t>
                              </w:r>
                            </w:p>
                          </w:txbxContent>
                        </wps:txbx>
                        <wps:bodyPr vert="horz" wrap="square" lIns="91440" tIns="45720" rIns="91440" bIns="45720" numCol="1" anchor="ctr" anchorCtr="0" compatLnSpc="1">
                          <a:prstTxWarp prst="textNoShape">
                            <a:avLst/>
                          </a:prstTxWarp>
                        </wps:bodyPr>
                      </wps:wsp>
                      <wps:wsp>
                        <wps:cNvPr id="43" name="Flowchart: Process 256"/>
                        <wps:cNvSpPr>
                          <a:spLocks noChangeArrowheads="1"/>
                        </wps:cNvSpPr>
                        <wps:spPr bwMode="auto">
                          <a:xfrm>
                            <a:off x="1" y="2190836"/>
                            <a:ext cx="3124275" cy="671207"/>
                          </a:xfrm>
                          <a:prstGeom prst="flowChartProcess">
                            <a:avLst/>
                          </a:prstGeom>
                          <a:solidFill>
                            <a:sysClr val="window" lastClr="FFFFFF"/>
                          </a:solidFill>
                          <a:ln w="12700">
                            <a:solidFill>
                              <a:sysClr val="windowText" lastClr="000000"/>
                            </a:solidFill>
                            <a:miter lim="800000"/>
                            <a:headEnd/>
                            <a:tailEnd/>
                          </a:ln>
                        </wps:spPr>
                        <wps:txbx>
                          <w:txbxContent>
                            <w:p w:rsidR="00EB512D" w:rsidRPr="00973173" w:rsidRDefault="00EB512D" w:rsidP="00015C52">
                              <w:pPr>
                                <w:pStyle w:val="NormalWeb"/>
                                <w:spacing w:line="200" w:lineRule="exact"/>
                                <w:jc w:val="center"/>
                                <w:textAlignment w:val="baseline"/>
                                <w:rPr>
                                  <w:sz w:val="18"/>
                                  <w:szCs w:val="18"/>
                                  <w:lang w:val="fr-CH"/>
                                </w:rPr>
                              </w:pPr>
                              <w:r w:rsidRPr="00973173">
                                <w:rPr>
                                  <w:color w:val="000000"/>
                                  <w:kern w:val="24"/>
                                  <w:sz w:val="18"/>
                                  <w:szCs w:val="18"/>
                                  <w:lang w:val="fr-CH"/>
                                </w:rPr>
                                <w:t xml:space="preserve">Utiliser une fenêtre </w:t>
                              </w:r>
                              <w:proofErr w:type="spellStart"/>
                              <w:r w:rsidRPr="00973173">
                                <w:rPr>
                                  <w:color w:val="000000"/>
                                  <w:kern w:val="24"/>
                                  <w:sz w:val="18"/>
                                  <w:szCs w:val="18"/>
                                  <w:lang w:val="fr-CH"/>
                                </w:rPr>
                                <w:t>Hanning</w:t>
                              </w:r>
                              <w:proofErr w:type="spellEnd"/>
                              <w:r w:rsidRPr="00973173">
                                <w:rPr>
                                  <w:color w:val="000000"/>
                                  <w:kern w:val="24"/>
                                  <w:sz w:val="18"/>
                                  <w:szCs w:val="18"/>
                                  <w:lang w:val="fr-CH"/>
                                </w:rPr>
                                <w:t xml:space="preserve"> et un recouvrement de 66,6 % </w:t>
                              </w:r>
                              <w:r w:rsidR="00682480">
                                <w:rPr>
                                  <w:color w:val="000000"/>
                                  <w:kern w:val="24"/>
                                  <w:sz w:val="18"/>
                                  <w:szCs w:val="18"/>
                                  <w:lang w:val="fr-CH"/>
                                </w:rPr>
                                <w:br/>
                              </w:r>
                              <w:r w:rsidRPr="00973173">
                                <w:rPr>
                                  <w:color w:val="000000"/>
                                  <w:kern w:val="24"/>
                                  <w:sz w:val="18"/>
                                  <w:szCs w:val="18"/>
                                  <w:lang w:val="fr-CH"/>
                                </w:rPr>
                                <w:t xml:space="preserve">au moins pour calculer un spectre de puissance selon </w:t>
                              </w:r>
                              <w:r w:rsidR="00682480">
                                <w:rPr>
                                  <w:color w:val="000000"/>
                                  <w:kern w:val="24"/>
                                  <w:sz w:val="18"/>
                                  <w:szCs w:val="18"/>
                                  <w:lang w:val="fr-CH"/>
                                </w:rPr>
                                <w:br/>
                              </w:r>
                              <w:r w:rsidRPr="00973173">
                                <w:rPr>
                                  <w:color w:val="000000"/>
                                  <w:kern w:val="24"/>
                                  <w:sz w:val="18"/>
                                  <w:szCs w:val="18"/>
                                  <w:lang w:val="fr-CH"/>
                                </w:rPr>
                                <w:t xml:space="preserve">les paramètres de l’analyseur (voir le 4.2) </w:t>
                              </w:r>
                            </w:p>
                          </w:txbxContent>
                        </wps:txbx>
                        <wps:bodyPr vert="horz" wrap="square" lIns="91440" tIns="45720" rIns="91440" bIns="45720" numCol="1" anchor="ctr" anchorCtr="0" compatLnSpc="1">
                          <a:prstTxWarp prst="textNoShape">
                            <a:avLst/>
                          </a:prstTxWarp>
                        </wps:bodyPr>
                      </wps:wsp>
                      <wps:wsp>
                        <wps:cNvPr id="44" name="Flowchart: Process 257"/>
                        <wps:cNvSpPr>
                          <a:spLocks noChangeArrowheads="1"/>
                        </wps:cNvSpPr>
                        <wps:spPr bwMode="auto">
                          <a:xfrm>
                            <a:off x="1" y="3126500"/>
                            <a:ext cx="3124275" cy="1152160"/>
                          </a:xfrm>
                          <a:prstGeom prst="flowChartProcess">
                            <a:avLst/>
                          </a:prstGeom>
                          <a:solidFill>
                            <a:sysClr val="window" lastClr="FFFFFF"/>
                          </a:solidFill>
                          <a:ln w="12700">
                            <a:solidFill>
                              <a:sysClr val="windowText" lastClr="000000"/>
                            </a:solidFill>
                            <a:miter lim="800000"/>
                            <a:headEnd/>
                            <a:tailEnd/>
                          </a:ln>
                        </wps:spPr>
                        <wps:txbx>
                          <w:txbxContent>
                            <w:p w:rsidR="00EB512D" w:rsidRPr="00973173" w:rsidRDefault="00EB512D" w:rsidP="00876B45">
                              <w:pPr>
                                <w:pStyle w:val="NormalWeb"/>
                                <w:spacing w:line="200" w:lineRule="exact"/>
                                <w:jc w:val="center"/>
                                <w:textAlignment w:val="baseline"/>
                                <w:rPr>
                                  <w:color w:val="000000"/>
                                  <w:kern w:val="24"/>
                                  <w:sz w:val="18"/>
                                  <w:szCs w:val="18"/>
                                  <w:lang w:val="fr-CH"/>
                                </w:rPr>
                              </w:pPr>
                              <w:r w:rsidRPr="00973173">
                                <w:rPr>
                                  <w:color w:val="000000"/>
                                  <w:kern w:val="24"/>
                                  <w:sz w:val="18"/>
                                  <w:szCs w:val="18"/>
                                  <w:lang w:val="fr-CH"/>
                                </w:rPr>
                                <w:t xml:space="preserve">Calculer les spectres finaux en faisant la moyenne </w:t>
                              </w:r>
                              <w:r w:rsidRPr="00973173">
                                <w:rPr>
                                  <w:b/>
                                  <w:color w:val="000000"/>
                                  <w:kern w:val="24"/>
                                  <w:sz w:val="18"/>
                                  <w:szCs w:val="18"/>
                                  <w:lang w:val="fr-CH"/>
                                </w:rPr>
                                <w:t>mathématique</w:t>
                              </w:r>
                              <w:r w:rsidRPr="00973173">
                                <w:rPr>
                                  <w:color w:val="000000"/>
                                  <w:kern w:val="24"/>
                                  <w:sz w:val="18"/>
                                  <w:szCs w:val="18"/>
                                  <w:lang w:val="fr-CH"/>
                                </w:rPr>
                                <w:t xml:space="preserve"> </w:t>
                              </w:r>
                              <w:r w:rsidRPr="00973173">
                                <w:rPr>
                                  <w:b/>
                                  <w:strike/>
                                  <w:color w:val="000000"/>
                                  <w:kern w:val="24"/>
                                  <w:sz w:val="18"/>
                                  <w:szCs w:val="18"/>
                                  <w:lang w:val="fr-CH"/>
                                </w:rPr>
                                <w:t>des quatre spectres individuels</w:t>
                              </w:r>
                              <w:r w:rsidRPr="00973173">
                                <w:rPr>
                                  <w:color w:val="000000"/>
                                  <w:kern w:val="24"/>
                                  <w:sz w:val="18"/>
                                  <w:szCs w:val="18"/>
                                  <w:lang w:val="fr-CH"/>
                                </w:rPr>
                                <w:t xml:space="preserve"> </w:t>
                              </w:r>
                              <w:r>
                                <w:rPr>
                                  <w:b/>
                                  <w:color w:val="000000"/>
                                  <w:kern w:val="24"/>
                                  <w:sz w:val="18"/>
                                  <w:szCs w:val="18"/>
                                  <w:lang w:val="fr-CH"/>
                                </w:rPr>
                                <w:t xml:space="preserve">de la </w:t>
                              </w:r>
                              <w:r w:rsidRPr="00973173">
                                <w:rPr>
                                  <w:b/>
                                  <w:color w:val="000000"/>
                                  <w:kern w:val="24"/>
                                  <w:sz w:val="18"/>
                                  <w:szCs w:val="18"/>
                                  <w:lang w:val="fr-CH"/>
                                </w:rPr>
                                <w:t>fréquence déterminée par échantillon</w:t>
                              </w:r>
                              <w:r w:rsidRPr="00973173">
                                <w:rPr>
                                  <w:color w:val="000000"/>
                                  <w:kern w:val="24"/>
                                  <w:sz w:val="18"/>
                                  <w:szCs w:val="18"/>
                                  <w:lang w:val="fr-CH"/>
                                </w:rPr>
                                <w:t xml:space="preserve">. Calculer la vitesse </w:t>
                              </w:r>
                              <w:r w:rsidR="00682480">
                                <w:rPr>
                                  <w:color w:val="000000"/>
                                  <w:kern w:val="24"/>
                                  <w:sz w:val="18"/>
                                  <w:szCs w:val="18"/>
                                  <w:lang w:val="fr-CH"/>
                                </w:rPr>
                                <w:br/>
                              </w:r>
                              <w:r w:rsidRPr="00973173">
                                <w:rPr>
                                  <w:color w:val="000000"/>
                                  <w:kern w:val="24"/>
                                  <w:sz w:val="18"/>
                                  <w:szCs w:val="18"/>
                                  <w:lang w:val="fr-CH"/>
                                </w:rPr>
                                <w:t xml:space="preserve">du véhicule en faisant la moyenne mathématique </w:t>
                              </w:r>
                              <w:r w:rsidR="00682480">
                                <w:rPr>
                                  <w:color w:val="000000"/>
                                  <w:kern w:val="24"/>
                                  <w:sz w:val="18"/>
                                  <w:szCs w:val="18"/>
                                  <w:lang w:val="fr-CH"/>
                                </w:rPr>
                                <w:br/>
                              </w:r>
                              <w:r w:rsidRPr="00973173">
                                <w:rPr>
                                  <w:color w:val="000000"/>
                                  <w:kern w:val="24"/>
                                  <w:sz w:val="18"/>
                                  <w:szCs w:val="18"/>
                                  <w:lang w:val="fr-CH"/>
                                </w:rPr>
                                <w:t>des vitesses mesurées</w:t>
                              </w:r>
                            </w:p>
                          </w:txbxContent>
                        </wps:txbx>
                        <wps:bodyPr vert="horz" wrap="square" lIns="91440" tIns="45720" rIns="91440" bIns="45720" numCol="1" anchor="ctr" anchorCtr="0" compatLnSpc="1">
                          <a:prstTxWarp prst="textNoShape">
                            <a:avLst/>
                          </a:prstTxWarp>
                        </wps:bodyPr>
                      </wps:wsp>
                      <wps:wsp>
                        <wps:cNvPr id="45" name="Flowchart: Process 258"/>
                        <wps:cNvSpPr>
                          <a:spLocks noChangeArrowheads="1"/>
                        </wps:cNvSpPr>
                        <wps:spPr bwMode="auto">
                          <a:xfrm>
                            <a:off x="1" y="4549459"/>
                            <a:ext cx="3124275" cy="514305"/>
                          </a:xfrm>
                          <a:prstGeom prst="flowChartProcess">
                            <a:avLst/>
                          </a:prstGeom>
                          <a:solidFill>
                            <a:sysClr val="window" lastClr="FFFFFF"/>
                          </a:solidFill>
                          <a:ln w="12700">
                            <a:solidFill>
                              <a:sysClr val="windowText" lastClr="000000"/>
                            </a:solidFill>
                            <a:miter lim="800000"/>
                            <a:headEnd/>
                            <a:tailEnd/>
                          </a:ln>
                        </wps:spPr>
                        <wps:txbx>
                          <w:txbxContent>
                            <w:p w:rsidR="00EB512D" w:rsidRPr="00973173" w:rsidRDefault="00EB512D" w:rsidP="00A5558E">
                              <w:pPr>
                                <w:pStyle w:val="NormalWeb"/>
                                <w:spacing w:line="200" w:lineRule="exact"/>
                                <w:jc w:val="center"/>
                                <w:textAlignment w:val="baseline"/>
                                <w:rPr>
                                  <w:sz w:val="18"/>
                                  <w:szCs w:val="18"/>
                                  <w:lang w:val="fr-CH"/>
                                </w:rPr>
                              </w:pPr>
                              <w:r w:rsidRPr="00973173">
                                <w:rPr>
                                  <w:color w:val="000000"/>
                                  <w:kern w:val="24"/>
                                  <w:sz w:val="18"/>
                                  <w:szCs w:val="18"/>
                                  <w:lang w:val="fr-CH"/>
                                </w:rPr>
                                <w:t>Noter la vitesse du véhicule et les données de fréquence pour chaque vitesse d’essai</w:t>
                              </w:r>
                            </w:p>
                          </w:txbxContent>
                        </wps:txbx>
                        <wps:bodyPr vert="horz" wrap="square" lIns="91440" tIns="45720" rIns="91440" bIns="45720" numCol="1" anchor="ctr" anchorCtr="0" compatLnSpc="1">
                          <a:prstTxWarp prst="textNoShape">
                            <a:avLst/>
                          </a:prstTxWarp>
                        </wps:bodyPr>
                      </wps:wsp>
                      <wps:wsp>
                        <wps:cNvPr id="46" name="Flowchart: Process 260"/>
                        <wps:cNvSpPr>
                          <a:spLocks noChangeArrowheads="1"/>
                        </wps:cNvSpPr>
                        <wps:spPr bwMode="auto">
                          <a:xfrm>
                            <a:off x="1" y="5358810"/>
                            <a:ext cx="3124275" cy="600106"/>
                          </a:xfrm>
                          <a:prstGeom prst="flowChartProcess">
                            <a:avLst/>
                          </a:prstGeom>
                          <a:solidFill>
                            <a:sysClr val="window" lastClr="FFFFFF"/>
                          </a:solidFill>
                          <a:ln w="12700">
                            <a:solidFill>
                              <a:sysClr val="windowText" lastClr="000000"/>
                            </a:solidFill>
                            <a:miter lim="800000"/>
                            <a:headEnd/>
                            <a:tailEnd/>
                          </a:ln>
                        </wps:spPr>
                        <wps:txbx>
                          <w:txbxContent>
                            <w:p w:rsidR="00EB512D" w:rsidRPr="00973173" w:rsidRDefault="00EB512D" w:rsidP="00A5558E">
                              <w:pPr>
                                <w:pStyle w:val="NormalWeb"/>
                                <w:spacing w:line="200" w:lineRule="exact"/>
                                <w:jc w:val="center"/>
                                <w:textAlignment w:val="baseline"/>
                                <w:rPr>
                                  <w:sz w:val="18"/>
                                  <w:szCs w:val="18"/>
                                  <w:lang w:val="fr-CH"/>
                                </w:rPr>
                              </w:pPr>
                              <w:r w:rsidRPr="00973173">
                                <w:rPr>
                                  <w:color w:val="000000"/>
                                  <w:kern w:val="24"/>
                                  <w:sz w:val="18"/>
                                  <w:szCs w:val="18"/>
                                  <w:lang w:val="fr-CH"/>
                                </w:rPr>
                                <w:t xml:space="preserve">Calculer le changement de fréquence selon l’équation 1 (voir le paragraphe 4.5.1), puis le noter dans le tableau </w:t>
                              </w:r>
                              <w:r w:rsidRPr="00682480">
                                <w:rPr>
                                  <w:strike/>
                                  <w:color w:val="000000"/>
                                  <w:kern w:val="24"/>
                                  <w:sz w:val="18"/>
                                  <w:szCs w:val="18"/>
                                  <w:lang w:val="fr-CH"/>
                                </w:rPr>
                                <w:t>4</w:t>
                              </w:r>
                              <w:r w:rsidRPr="00973173">
                                <w:rPr>
                                  <w:color w:val="000000"/>
                                  <w:kern w:val="24"/>
                                  <w:sz w:val="18"/>
                                  <w:szCs w:val="18"/>
                                  <w:lang w:val="fr-CH"/>
                                </w:rPr>
                                <w:t xml:space="preserve"> </w:t>
                              </w:r>
                              <w:r w:rsidRPr="00973173">
                                <w:rPr>
                                  <w:b/>
                                  <w:color w:val="000000"/>
                                  <w:kern w:val="24"/>
                                  <w:sz w:val="18"/>
                                  <w:szCs w:val="18"/>
                                  <w:lang w:val="fr-CH"/>
                                </w:rPr>
                                <w:t>5</w:t>
                              </w:r>
                              <w:r w:rsidRPr="00973173">
                                <w:rPr>
                                  <w:color w:val="000000"/>
                                  <w:kern w:val="24"/>
                                  <w:sz w:val="18"/>
                                  <w:szCs w:val="18"/>
                                  <w:lang w:val="fr-CH"/>
                                </w:rPr>
                                <w:t xml:space="preserve"> du paragraphe  4.5.1</w:t>
                              </w:r>
                            </w:p>
                          </w:txbxContent>
                        </wps:txbx>
                        <wps:bodyPr vert="horz" wrap="square" lIns="91440" tIns="45720" rIns="91440" bIns="45720" numCol="1" anchor="ctr" anchorCtr="0" compatLnSpc="1">
                          <a:prstTxWarp prst="textNoShape">
                            <a:avLst/>
                          </a:prstTxWarp>
                        </wps:bodyPr>
                      </wps:wsp>
                      <wps:wsp>
                        <wps:cNvPr id="47" name="直線矢印コネクタ 16"/>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8" name="直線矢印コネクタ 17"/>
                        <wps:cNvCnPr/>
                        <wps:spPr>
                          <a:xfrm>
                            <a:off x="1562139" y="2862043"/>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9" name="直線矢印コネクタ 18"/>
                        <wps:cNvCnPr/>
                        <wps:spPr>
                          <a:xfrm>
                            <a:off x="1562139" y="4278660"/>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0" name="直線矢印コネクタ 19"/>
                        <wps:cNvCnPr/>
                        <wps:spPr>
                          <a:xfrm>
                            <a:off x="1562139" y="5063764"/>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1" name="Flowchart: Process 254"/>
                        <wps:cNvSpPr>
                          <a:spLocks noChangeArrowheads="1"/>
                        </wps:cNvSpPr>
                        <wps:spPr bwMode="auto">
                          <a:xfrm>
                            <a:off x="0" y="1177923"/>
                            <a:ext cx="3124275" cy="724407"/>
                          </a:xfrm>
                          <a:prstGeom prst="flowChartProcess">
                            <a:avLst/>
                          </a:prstGeom>
                          <a:solidFill>
                            <a:sysClr val="window" lastClr="FFFFFF"/>
                          </a:solidFill>
                          <a:ln w="12700">
                            <a:solidFill>
                              <a:sysClr val="windowText" lastClr="000000"/>
                            </a:solidFill>
                            <a:miter lim="800000"/>
                            <a:headEnd/>
                            <a:tailEnd/>
                          </a:ln>
                        </wps:spPr>
                        <wps:txbx>
                          <w:txbxContent>
                            <w:p w:rsidR="00EB512D" w:rsidRPr="00973173" w:rsidRDefault="00EB512D" w:rsidP="00015C52">
                              <w:pPr>
                                <w:pStyle w:val="NormalWeb"/>
                                <w:spacing w:line="200" w:lineRule="exact"/>
                                <w:jc w:val="center"/>
                                <w:textAlignment w:val="baseline"/>
                                <w:rPr>
                                  <w:sz w:val="18"/>
                                  <w:szCs w:val="18"/>
                                  <w:lang w:val="fr-CH"/>
                                </w:rPr>
                              </w:pPr>
                              <w:r w:rsidRPr="00973173">
                                <w:rPr>
                                  <w:color w:val="000000"/>
                                  <w:kern w:val="24"/>
                                  <w:sz w:val="18"/>
                                  <w:szCs w:val="18"/>
                                  <w:lang w:val="fr-CH"/>
                                </w:rPr>
                                <w:t xml:space="preserve">Utiliser les données du microphone gauche </w:t>
                              </w:r>
                              <w:r w:rsidRPr="00973173">
                                <w:rPr>
                                  <w:b/>
                                  <w:strike/>
                                  <w:color w:val="000000"/>
                                  <w:kern w:val="24"/>
                                  <w:sz w:val="18"/>
                                  <w:szCs w:val="18"/>
                                  <w:lang w:val="fr-CH"/>
                                </w:rPr>
                                <w:t>ou</w:t>
                              </w:r>
                              <w:r w:rsidRPr="00973173">
                                <w:rPr>
                                  <w:color w:val="000000"/>
                                  <w:kern w:val="24"/>
                                  <w:sz w:val="18"/>
                                  <w:szCs w:val="18"/>
                                  <w:lang w:val="fr-CH"/>
                                </w:rPr>
                                <w:t xml:space="preserve"> </w:t>
                              </w:r>
                              <w:r w:rsidRPr="00973173">
                                <w:rPr>
                                  <w:b/>
                                  <w:color w:val="000000"/>
                                  <w:kern w:val="24"/>
                                  <w:sz w:val="18"/>
                                  <w:szCs w:val="18"/>
                                  <w:lang w:val="fr-CH"/>
                                </w:rPr>
                                <w:t>et du microphone</w:t>
                              </w:r>
                              <w:r w:rsidRPr="00973173">
                                <w:rPr>
                                  <w:color w:val="000000"/>
                                  <w:kern w:val="24"/>
                                  <w:sz w:val="18"/>
                                  <w:szCs w:val="18"/>
                                  <w:lang w:val="fr-CH"/>
                                </w:rPr>
                                <w:t xml:space="preserve"> droit pour une analyse complémentaire </w:t>
                              </w:r>
                              <w:r w:rsidRPr="00973173">
                                <w:rPr>
                                  <w:b/>
                                  <w:strike/>
                                  <w:color w:val="000000"/>
                                  <w:kern w:val="24"/>
                                  <w:sz w:val="18"/>
                                  <w:szCs w:val="18"/>
                                  <w:lang w:val="fr-CH"/>
                                </w:rPr>
                                <w:t>portant sur le microphone indiquant le niveau de pression acoustique moyen le plus faible</w:t>
                              </w:r>
                              <w:r w:rsidRPr="00973173">
                                <w:rPr>
                                  <w:b/>
                                  <w:bCs/>
                                  <w:color w:val="000000"/>
                                  <w:kern w:val="24"/>
                                  <w:sz w:val="18"/>
                                  <w:szCs w:val="18"/>
                                  <w:lang w:val="fr-CH"/>
                                </w:rPr>
                                <w:t>.</w:t>
                              </w:r>
                              <w:r w:rsidRPr="00973173">
                                <w:rPr>
                                  <w:color w:val="000000"/>
                                  <w:kern w:val="24"/>
                                  <w:sz w:val="18"/>
                                  <w:szCs w:val="18"/>
                                  <w:lang w:val="fr-CH"/>
                                </w:rPr>
                                <w:t xml:space="preserve"> </w:t>
                              </w:r>
                            </w:p>
                          </w:txbxContent>
                        </wps:txbx>
                        <wps:bodyPr vert="horz" wrap="square" lIns="91440" tIns="45720" rIns="91440" bIns="45720" numCol="1" anchor="ctr" anchorCtr="0" compatLnSpc="1">
                          <a:prstTxWarp prst="textNoShape">
                            <a:avLst/>
                          </a:prstTxWarp>
                        </wps:bodyPr>
                      </wps:wsp>
                      <wps:wsp>
                        <wps:cNvPr id="52" name="直線矢印コネクタ 16"/>
                        <wps:cNvCnPr/>
                        <wps:spPr>
                          <a:xfrm>
                            <a:off x="1562138" y="190233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69E6710F" id="Gruppieren 1" o:spid="_x0000_s1026" style="position:absolute;left:0;text-align:left;margin-left:135.75pt;margin-top:11.2pt;width:246pt;height:469.2pt;z-index:251657728;mso-width-relative:margin;mso-height-relative:margin" coordsize="31242,5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">
                <v:shapetype id="_x0000_t109" coordsize="21600,21600" o:spt="109" path="m,l,21600r21600,l21600,xe">
                  <v:stroke joinstyle="miter"/>
                  <v:path gradientshapeok="t" o:connecttype="rect"/>
                </v:shapetype>
                <v:shape id="Flowchart: Process 253" o:spid="_x0000_s1027" type="#_x0000_t109" style="position:absolute;width:31242;height:8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" fillcolor="window" strokecolor="windowText" strokeweight="1pt">
                  <v:textbox>
                    <w:txbxContent>
                      <w:p w:rsidR="00EB512D" w:rsidRPr="00973173" w:rsidRDefault="00EB512D" w:rsidP="00015C52">
                        <w:pPr>
                          <w:pStyle w:val="NormalWeb"/>
                          <w:spacing w:line="200" w:lineRule="exact"/>
                          <w:jc w:val="center"/>
                          <w:textAlignment w:val="baseline"/>
                          <w:rPr>
                            <w:sz w:val="18"/>
                            <w:szCs w:val="18"/>
                            <w:lang w:val="fr-CH"/>
                          </w:rPr>
                        </w:pPr>
                        <w:r w:rsidRPr="00973173">
                          <w:rPr>
                            <w:color w:val="000000"/>
                            <w:kern w:val="24"/>
                            <w:sz w:val="18"/>
                            <w:szCs w:val="18"/>
                            <w:lang w:val="fr-CH"/>
                          </w:rPr>
                          <w:t xml:space="preserve">Prendre quatre mesures à chaque vitesse spécifiée au 4.3.1. Enregistrer </w:t>
                        </w:r>
                        <w:r w:rsidRPr="00973173">
                          <w:rPr>
                            <w:b/>
                            <w:strike/>
                            <w:color w:val="000000"/>
                            <w:kern w:val="24"/>
                            <w:sz w:val="18"/>
                            <w:szCs w:val="18"/>
                            <w:lang w:val="fr-CH"/>
                          </w:rPr>
                          <w:t>deux secondes de</w:t>
                        </w:r>
                        <w:r w:rsidRPr="00973173">
                          <w:rPr>
                            <w:color w:val="000000"/>
                            <w:kern w:val="24"/>
                            <w:sz w:val="18"/>
                            <w:szCs w:val="18"/>
                            <w:lang w:val="fr-CH"/>
                          </w:rPr>
                          <w:t xml:space="preserve"> les données </w:t>
                        </w:r>
                        <w:r w:rsidRPr="00973173">
                          <w:rPr>
                            <w:b/>
                            <w:strike/>
                            <w:color w:val="000000"/>
                            <w:kern w:val="24"/>
                            <w:sz w:val="18"/>
                            <w:szCs w:val="18"/>
                            <w:lang w:val="fr-CH"/>
                          </w:rPr>
                          <w:t>sur le niveau de pression acoustique maximal</w:t>
                        </w:r>
                        <w:r w:rsidRPr="00973173">
                          <w:rPr>
                            <w:color w:val="000000"/>
                            <w:kern w:val="24"/>
                            <w:sz w:val="18"/>
                            <w:szCs w:val="18"/>
                            <w:lang w:val="fr-CH"/>
                          </w:rPr>
                          <w:t xml:space="preserve"> pour chaque mesure </w:t>
                        </w:r>
                        <w:r w:rsidRPr="00973173">
                          <w:rPr>
                            <w:bCs/>
                            <w:color w:val="000000"/>
                            <w:kern w:val="24"/>
                            <w:sz w:val="18"/>
                            <w:szCs w:val="18"/>
                            <w:lang w:val="fr-CH"/>
                          </w:rPr>
                          <w:t xml:space="preserve">entre </w:t>
                        </w:r>
                        <w:r w:rsidRPr="00973173">
                          <w:rPr>
                            <w:color w:val="000000"/>
                            <w:kern w:val="24"/>
                            <w:sz w:val="18"/>
                            <w:szCs w:val="18"/>
                            <w:lang w:val="fr-CH"/>
                          </w:rPr>
                          <w:t>AA' et -1 m avant PP' (4.4.1)</w:t>
                        </w:r>
                      </w:p>
                    </w:txbxContent>
                  </v:textbox>
                </v:shape>
                <v:shape id="Flowchart: Process 256" o:spid="_x0000_s1028" type="#_x0000_t109" style="position:absolute;top:21908;width:31242;height:6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" fillcolor="window" strokecolor="windowText" strokeweight="1pt">
                  <v:textbox>
                    <w:txbxContent>
                      <w:p w:rsidR="00EB512D" w:rsidRPr="00973173" w:rsidRDefault="00EB512D" w:rsidP="00015C52">
                        <w:pPr>
                          <w:pStyle w:val="NormalWeb"/>
                          <w:spacing w:line="200" w:lineRule="exact"/>
                          <w:jc w:val="center"/>
                          <w:textAlignment w:val="baseline"/>
                          <w:rPr>
                            <w:sz w:val="18"/>
                            <w:szCs w:val="18"/>
                            <w:lang w:val="fr-CH"/>
                          </w:rPr>
                        </w:pPr>
                        <w:r w:rsidRPr="00973173">
                          <w:rPr>
                            <w:color w:val="000000"/>
                            <w:kern w:val="24"/>
                            <w:sz w:val="18"/>
                            <w:szCs w:val="18"/>
                            <w:lang w:val="fr-CH"/>
                          </w:rPr>
                          <w:t xml:space="preserve">Utiliser une fenêtre </w:t>
                        </w:r>
                        <w:proofErr w:type="spellStart"/>
                        <w:r w:rsidRPr="00973173">
                          <w:rPr>
                            <w:color w:val="000000"/>
                            <w:kern w:val="24"/>
                            <w:sz w:val="18"/>
                            <w:szCs w:val="18"/>
                            <w:lang w:val="fr-CH"/>
                          </w:rPr>
                          <w:t>Hanning</w:t>
                        </w:r>
                        <w:proofErr w:type="spellEnd"/>
                        <w:r w:rsidRPr="00973173">
                          <w:rPr>
                            <w:color w:val="000000"/>
                            <w:kern w:val="24"/>
                            <w:sz w:val="18"/>
                            <w:szCs w:val="18"/>
                            <w:lang w:val="fr-CH"/>
                          </w:rPr>
                          <w:t xml:space="preserve"> et un recouvrement de 66,6 % </w:t>
                        </w:r>
                        <w:r w:rsidR="00682480">
                          <w:rPr>
                            <w:color w:val="000000"/>
                            <w:kern w:val="24"/>
                            <w:sz w:val="18"/>
                            <w:szCs w:val="18"/>
                            <w:lang w:val="fr-CH"/>
                          </w:rPr>
                          <w:br/>
                        </w:r>
                        <w:r w:rsidRPr="00973173">
                          <w:rPr>
                            <w:color w:val="000000"/>
                            <w:kern w:val="24"/>
                            <w:sz w:val="18"/>
                            <w:szCs w:val="18"/>
                            <w:lang w:val="fr-CH"/>
                          </w:rPr>
                          <w:t xml:space="preserve">au moins pour calculer un spectre de puissance selon </w:t>
                        </w:r>
                        <w:r w:rsidR="00682480">
                          <w:rPr>
                            <w:color w:val="000000"/>
                            <w:kern w:val="24"/>
                            <w:sz w:val="18"/>
                            <w:szCs w:val="18"/>
                            <w:lang w:val="fr-CH"/>
                          </w:rPr>
                          <w:br/>
                        </w:r>
                        <w:r w:rsidRPr="00973173">
                          <w:rPr>
                            <w:color w:val="000000"/>
                            <w:kern w:val="24"/>
                            <w:sz w:val="18"/>
                            <w:szCs w:val="18"/>
                            <w:lang w:val="fr-CH"/>
                          </w:rPr>
                          <w:t xml:space="preserve">les paramètres de l’analyseur (voir le 4.2) </w:t>
                        </w:r>
                      </w:p>
                    </w:txbxContent>
                  </v:textbox>
                </v:shape>
                <v:shape id="Flowchart: Process 257" o:spid="_x0000_s1029" type="#_x0000_t109" style="position:absolute;top:31265;width:31242;height:11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" fillcolor="window" strokecolor="windowText" strokeweight="1pt">
                  <v:textbox>
                    <w:txbxContent>
                      <w:p w:rsidR="00EB512D" w:rsidRPr="00973173" w:rsidRDefault="00EB512D" w:rsidP="00876B45">
                        <w:pPr>
                          <w:pStyle w:val="NormalWeb"/>
                          <w:spacing w:line="200" w:lineRule="exact"/>
                          <w:jc w:val="center"/>
                          <w:textAlignment w:val="baseline"/>
                          <w:rPr>
                            <w:color w:val="000000"/>
                            <w:kern w:val="24"/>
                            <w:sz w:val="18"/>
                            <w:szCs w:val="18"/>
                            <w:lang w:val="fr-CH"/>
                          </w:rPr>
                        </w:pPr>
                        <w:r w:rsidRPr="00973173">
                          <w:rPr>
                            <w:color w:val="000000"/>
                            <w:kern w:val="24"/>
                            <w:sz w:val="18"/>
                            <w:szCs w:val="18"/>
                            <w:lang w:val="fr-CH"/>
                          </w:rPr>
                          <w:t xml:space="preserve">Calculer les spectres finaux en faisant la moyenne </w:t>
                        </w:r>
                        <w:r w:rsidRPr="00973173">
                          <w:rPr>
                            <w:b/>
                            <w:color w:val="000000"/>
                            <w:kern w:val="24"/>
                            <w:sz w:val="18"/>
                            <w:szCs w:val="18"/>
                            <w:lang w:val="fr-CH"/>
                          </w:rPr>
                          <w:t>mathématique</w:t>
                        </w:r>
                        <w:r w:rsidRPr="00973173">
                          <w:rPr>
                            <w:color w:val="000000"/>
                            <w:kern w:val="24"/>
                            <w:sz w:val="18"/>
                            <w:szCs w:val="18"/>
                            <w:lang w:val="fr-CH"/>
                          </w:rPr>
                          <w:t xml:space="preserve"> </w:t>
                        </w:r>
                        <w:r w:rsidRPr="00973173">
                          <w:rPr>
                            <w:b/>
                            <w:strike/>
                            <w:color w:val="000000"/>
                            <w:kern w:val="24"/>
                            <w:sz w:val="18"/>
                            <w:szCs w:val="18"/>
                            <w:lang w:val="fr-CH"/>
                          </w:rPr>
                          <w:t>des quatre spectres individuels</w:t>
                        </w:r>
                        <w:r w:rsidRPr="00973173">
                          <w:rPr>
                            <w:color w:val="000000"/>
                            <w:kern w:val="24"/>
                            <w:sz w:val="18"/>
                            <w:szCs w:val="18"/>
                            <w:lang w:val="fr-CH"/>
                          </w:rPr>
                          <w:t xml:space="preserve"> </w:t>
                        </w:r>
                        <w:r>
                          <w:rPr>
                            <w:b/>
                            <w:color w:val="000000"/>
                            <w:kern w:val="24"/>
                            <w:sz w:val="18"/>
                            <w:szCs w:val="18"/>
                            <w:lang w:val="fr-CH"/>
                          </w:rPr>
                          <w:t xml:space="preserve">de la </w:t>
                        </w:r>
                        <w:r w:rsidRPr="00973173">
                          <w:rPr>
                            <w:b/>
                            <w:color w:val="000000"/>
                            <w:kern w:val="24"/>
                            <w:sz w:val="18"/>
                            <w:szCs w:val="18"/>
                            <w:lang w:val="fr-CH"/>
                          </w:rPr>
                          <w:t>fréquence déterminée par échantillon</w:t>
                        </w:r>
                        <w:r w:rsidRPr="00973173">
                          <w:rPr>
                            <w:color w:val="000000"/>
                            <w:kern w:val="24"/>
                            <w:sz w:val="18"/>
                            <w:szCs w:val="18"/>
                            <w:lang w:val="fr-CH"/>
                          </w:rPr>
                          <w:t xml:space="preserve">. Calculer la vitesse </w:t>
                        </w:r>
                        <w:r w:rsidR="00682480">
                          <w:rPr>
                            <w:color w:val="000000"/>
                            <w:kern w:val="24"/>
                            <w:sz w:val="18"/>
                            <w:szCs w:val="18"/>
                            <w:lang w:val="fr-CH"/>
                          </w:rPr>
                          <w:br/>
                        </w:r>
                        <w:r w:rsidRPr="00973173">
                          <w:rPr>
                            <w:color w:val="000000"/>
                            <w:kern w:val="24"/>
                            <w:sz w:val="18"/>
                            <w:szCs w:val="18"/>
                            <w:lang w:val="fr-CH"/>
                          </w:rPr>
                          <w:t xml:space="preserve">du véhicule en faisant la moyenne mathématique </w:t>
                        </w:r>
                        <w:r w:rsidR="00682480">
                          <w:rPr>
                            <w:color w:val="000000"/>
                            <w:kern w:val="24"/>
                            <w:sz w:val="18"/>
                            <w:szCs w:val="18"/>
                            <w:lang w:val="fr-CH"/>
                          </w:rPr>
                          <w:br/>
                        </w:r>
                        <w:r w:rsidRPr="00973173">
                          <w:rPr>
                            <w:color w:val="000000"/>
                            <w:kern w:val="24"/>
                            <w:sz w:val="18"/>
                            <w:szCs w:val="18"/>
                            <w:lang w:val="fr-CH"/>
                          </w:rPr>
                          <w:t>des vitesses mesurées</w:t>
                        </w:r>
                      </w:p>
                    </w:txbxContent>
                  </v:textbox>
                </v:shape>
                <v:shape id="Flowchart: Process 258" o:spid="_x0000_s1030" type="#_x0000_t109" style="position:absolute;top:45494;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" fillcolor="window" strokecolor="windowText" strokeweight="1pt">
                  <v:textbox>
                    <w:txbxContent>
                      <w:p w:rsidR="00EB512D" w:rsidRPr="00973173" w:rsidRDefault="00EB512D" w:rsidP="00A5558E">
                        <w:pPr>
                          <w:pStyle w:val="NormalWeb"/>
                          <w:spacing w:line="200" w:lineRule="exact"/>
                          <w:jc w:val="center"/>
                          <w:textAlignment w:val="baseline"/>
                          <w:rPr>
                            <w:sz w:val="18"/>
                            <w:szCs w:val="18"/>
                            <w:lang w:val="fr-CH"/>
                          </w:rPr>
                        </w:pPr>
                        <w:r w:rsidRPr="00973173">
                          <w:rPr>
                            <w:color w:val="000000"/>
                            <w:kern w:val="24"/>
                            <w:sz w:val="18"/>
                            <w:szCs w:val="18"/>
                            <w:lang w:val="fr-CH"/>
                          </w:rPr>
                          <w:t>Noter la vitesse du véhicule et les données de fréquence pour chaque vitesse d’essai</w:t>
                        </w:r>
                      </w:p>
                    </w:txbxContent>
                  </v:textbox>
                </v:shape>
                <v:shape id="Flowchart: Process 260" o:spid="_x0000_s1031" type="#_x0000_t109" style="position:absolute;top:53588;width:31242;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" fillcolor="window" strokecolor="windowText" strokeweight="1pt">
                  <v:textbox>
                    <w:txbxContent>
                      <w:p w:rsidR="00EB512D" w:rsidRPr="00973173" w:rsidRDefault="00EB512D" w:rsidP="00A5558E">
                        <w:pPr>
                          <w:pStyle w:val="NormalWeb"/>
                          <w:spacing w:line="200" w:lineRule="exact"/>
                          <w:jc w:val="center"/>
                          <w:textAlignment w:val="baseline"/>
                          <w:rPr>
                            <w:sz w:val="18"/>
                            <w:szCs w:val="18"/>
                            <w:lang w:val="fr-CH"/>
                          </w:rPr>
                        </w:pPr>
                        <w:r w:rsidRPr="00973173">
                          <w:rPr>
                            <w:color w:val="000000"/>
                            <w:kern w:val="24"/>
                            <w:sz w:val="18"/>
                            <w:szCs w:val="18"/>
                            <w:lang w:val="fr-CH"/>
                          </w:rPr>
                          <w:t xml:space="preserve">Calculer le changement de fréquence selon l’équation 1 (voir le paragraphe 4.5.1), puis le noter dans le tableau </w:t>
                        </w:r>
                        <w:r w:rsidRPr="00682480">
                          <w:rPr>
                            <w:strike/>
                            <w:color w:val="000000"/>
                            <w:kern w:val="24"/>
                            <w:sz w:val="18"/>
                            <w:szCs w:val="18"/>
                            <w:lang w:val="fr-CH"/>
                          </w:rPr>
                          <w:t>4</w:t>
                        </w:r>
                        <w:r w:rsidRPr="00973173">
                          <w:rPr>
                            <w:color w:val="000000"/>
                            <w:kern w:val="24"/>
                            <w:sz w:val="18"/>
                            <w:szCs w:val="18"/>
                            <w:lang w:val="fr-CH"/>
                          </w:rPr>
                          <w:t xml:space="preserve"> </w:t>
                        </w:r>
                        <w:r w:rsidRPr="00973173">
                          <w:rPr>
                            <w:b/>
                            <w:color w:val="000000"/>
                            <w:kern w:val="24"/>
                            <w:sz w:val="18"/>
                            <w:szCs w:val="18"/>
                            <w:lang w:val="fr-CH"/>
                          </w:rPr>
                          <w:t>5</w:t>
                        </w:r>
                        <w:r w:rsidRPr="00973173">
                          <w:rPr>
                            <w:color w:val="000000"/>
                            <w:kern w:val="24"/>
                            <w:sz w:val="18"/>
                            <w:szCs w:val="18"/>
                            <w:lang w:val="fr-CH"/>
                          </w:rPr>
                          <w:t xml:space="preserve"> du paragraphe  4.5.1</w:t>
                        </w:r>
                      </w:p>
                    </w:txbxContent>
                  </v:textbox>
                </v:shape>
                <v:shapetype id="_x0000_t32" coordsize="21600,21600" o:spt="32" o:oned="t" path="m,l21600,21600e" filled="f">
                  <v:path arrowok="t" fillok="f" o:connecttype="none"/>
                  <o:lock v:ext="edit" shapetype="t"/>
                </v:shapetype>
                <v:shape id="直線矢印コネクタ 16" o:spid="_x0000_s1032" type="#_x0000_t32" style="position:absolute;left:15621;top:8941;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" strokecolor="windowText" strokeweight="2.25pt">
                  <v:stroke endarrow="block"/>
                </v:shape>
                <v:shape id="直線矢印コネクタ 17" o:spid="_x0000_s1033" type="#_x0000_t32" style="position:absolute;left:15621;top:28620;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" strokecolor="windowText" strokeweight="2.25pt">
                  <v:stroke endarrow="block"/>
                </v:shape>
                <v:shape id="直線矢印コネクタ 18" o:spid="_x0000_s1034" type="#_x0000_t32" style="position:absolute;left:15621;top:42786;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" strokecolor="windowText" strokeweight="2.25pt">
                  <v:stroke endarrow="block"/>
                </v:shape>
                <v:shape id="直線矢印コネクタ 19" o:spid="_x0000_s1035" type="#_x0000_t32" style="position:absolute;left:15621;top:50637;width:0;height: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" strokecolor="windowText" strokeweight="2.25pt">
                  <v:stroke endarrow="block"/>
                </v:shape>
                <v:shape id="Flowchart: Process 254" o:spid="_x0000_s1036" type="#_x0000_t109" style="position:absolute;top:11779;width:31242;height:7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" fillcolor="window" strokecolor="windowText" strokeweight="1pt">
                  <v:textbox>
                    <w:txbxContent>
                      <w:p w:rsidR="00EB512D" w:rsidRPr="00973173" w:rsidRDefault="00EB512D" w:rsidP="00015C52">
                        <w:pPr>
                          <w:pStyle w:val="NormalWeb"/>
                          <w:spacing w:line="200" w:lineRule="exact"/>
                          <w:jc w:val="center"/>
                          <w:textAlignment w:val="baseline"/>
                          <w:rPr>
                            <w:sz w:val="18"/>
                            <w:szCs w:val="18"/>
                            <w:lang w:val="fr-CH"/>
                          </w:rPr>
                        </w:pPr>
                        <w:r w:rsidRPr="00973173">
                          <w:rPr>
                            <w:color w:val="000000"/>
                            <w:kern w:val="24"/>
                            <w:sz w:val="18"/>
                            <w:szCs w:val="18"/>
                            <w:lang w:val="fr-CH"/>
                          </w:rPr>
                          <w:t xml:space="preserve">Utiliser les données du microphone gauche </w:t>
                        </w:r>
                        <w:r w:rsidRPr="00973173">
                          <w:rPr>
                            <w:b/>
                            <w:strike/>
                            <w:color w:val="000000"/>
                            <w:kern w:val="24"/>
                            <w:sz w:val="18"/>
                            <w:szCs w:val="18"/>
                            <w:lang w:val="fr-CH"/>
                          </w:rPr>
                          <w:t>ou</w:t>
                        </w:r>
                        <w:r w:rsidRPr="00973173">
                          <w:rPr>
                            <w:color w:val="000000"/>
                            <w:kern w:val="24"/>
                            <w:sz w:val="18"/>
                            <w:szCs w:val="18"/>
                            <w:lang w:val="fr-CH"/>
                          </w:rPr>
                          <w:t xml:space="preserve"> </w:t>
                        </w:r>
                        <w:r w:rsidRPr="00973173">
                          <w:rPr>
                            <w:b/>
                            <w:color w:val="000000"/>
                            <w:kern w:val="24"/>
                            <w:sz w:val="18"/>
                            <w:szCs w:val="18"/>
                            <w:lang w:val="fr-CH"/>
                          </w:rPr>
                          <w:t>et du microphone</w:t>
                        </w:r>
                        <w:r w:rsidRPr="00973173">
                          <w:rPr>
                            <w:color w:val="000000"/>
                            <w:kern w:val="24"/>
                            <w:sz w:val="18"/>
                            <w:szCs w:val="18"/>
                            <w:lang w:val="fr-CH"/>
                          </w:rPr>
                          <w:t xml:space="preserve"> droit pour une analyse complémentaire </w:t>
                        </w:r>
                        <w:r w:rsidRPr="00973173">
                          <w:rPr>
                            <w:b/>
                            <w:strike/>
                            <w:color w:val="000000"/>
                            <w:kern w:val="24"/>
                            <w:sz w:val="18"/>
                            <w:szCs w:val="18"/>
                            <w:lang w:val="fr-CH"/>
                          </w:rPr>
                          <w:t>portant sur le microphone indiquant le niveau de pression acoustique moyen le plus faible</w:t>
                        </w:r>
                        <w:r w:rsidRPr="00973173">
                          <w:rPr>
                            <w:b/>
                            <w:bCs/>
                            <w:color w:val="000000"/>
                            <w:kern w:val="24"/>
                            <w:sz w:val="18"/>
                            <w:szCs w:val="18"/>
                            <w:lang w:val="fr-CH"/>
                          </w:rPr>
                          <w:t>.</w:t>
                        </w:r>
                        <w:r w:rsidRPr="00973173">
                          <w:rPr>
                            <w:color w:val="000000"/>
                            <w:kern w:val="24"/>
                            <w:sz w:val="18"/>
                            <w:szCs w:val="18"/>
                            <w:lang w:val="fr-CH"/>
                          </w:rPr>
                          <w:t xml:space="preserve"> </w:t>
                        </w:r>
                      </w:p>
                    </w:txbxContent>
                  </v:textbox>
                </v:shape>
                <v:shape id="直線矢印コネクタ 16" o:spid="_x0000_s1037" type="#_x0000_t32" style="position:absolute;left:15621;top:19023;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" strokecolor="windowText" strokeweight="2.25pt">
                  <v:stroke endarrow="block"/>
                </v:shape>
              </v:group>
            </w:pict>
          </mc:Fallback>
        </mc:AlternateContent>
      </w: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392527" w:rsidRPr="00C2368C" w:rsidRDefault="00392527" w:rsidP="00604E3A">
      <w:pPr>
        <w:pStyle w:val="SingleTxtG"/>
      </w:pPr>
    </w:p>
    <w:p w:rsidR="0010684D" w:rsidRPr="00C2368C" w:rsidRDefault="00604E3A" w:rsidP="0010684D">
      <w:pPr>
        <w:pStyle w:val="SingleTxtG"/>
      </w:pPr>
      <w:r w:rsidRPr="00C2368C">
        <w:br w:type="page"/>
      </w:r>
      <w:r w:rsidR="0010684D" w:rsidRPr="00C2368C">
        <w:rPr>
          <w:i/>
        </w:rPr>
        <w:lastRenderedPageBreak/>
        <w:t>Appendice de l’annexe 3, Figure 7c</w:t>
      </w:r>
      <w:r w:rsidR="0010684D" w:rsidRPr="00C2368C">
        <w:rPr>
          <w:iCs/>
        </w:rPr>
        <w:t>, modifier comme suit :</w:t>
      </w:r>
    </w:p>
    <w:p w:rsidR="0010684D" w:rsidRPr="00C2368C" w:rsidRDefault="004C52C9" w:rsidP="0010684D">
      <w:pPr>
        <w:pStyle w:val="Titre1"/>
      </w:pPr>
      <w:r w:rsidRPr="00C2368C">
        <w:t>« </w:t>
      </w:r>
      <w:r w:rsidR="0010684D" w:rsidRPr="00C2368C">
        <w:t>Figure 7c</w:t>
      </w:r>
      <w:r w:rsidR="0010684D" w:rsidRPr="00C2368C">
        <w:br/>
        <w:t>Procédure d’essai pour la mesure du changement de fréquence − méthodes B, C, D et E</w:t>
      </w: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9677C5" w:rsidP="0010684D">
      <w:pPr>
        <w:kinsoku/>
        <w:overflowPunct/>
        <w:autoSpaceDE/>
        <w:autoSpaceDN/>
        <w:adjustRightInd/>
        <w:snapToGrid/>
        <w:spacing w:line="240" w:lineRule="auto"/>
        <w:ind w:left="1134"/>
        <w:rPr>
          <w:rFonts w:eastAsia="Times New Roman"/>
        </w:rPr>
      </w:pPr>
      <w:r w:rsidRPr="00C2368C">
        <w:rPr>
          <w:noProof/>
          <w:lang w:eastAsia="fr-CH"/>
        </w:rPr>
        <mc:AlternateContent>
          <mc:Choice Requires="wpg">
            <w:drawing>
              <wp:anchor distT="0" distB="0" distL="114300" distR="114300" simplePos="0" relativeHeight="251663872" behindDoc="0" locked="0" layoutInCell="1" allowOverlap="1" wp14:anchorId="291A7771" wp14:editId="7764F713">
                <wp:simplePos x="0" y="0"/>
                <wp:positionH relativeFrom="column">
                  <wp:posOffset>1895475</wp:posOffset>
                </wp:positionH>
                <wp:positionV relativeFrom="paragraph">
                  <wp:posOffset>56515</wp:posOffset>
                </wp:positionV>
                <wp:extent cx="3124226" cy="3984613"/>
                <wp:effectExtent l="0" t="0" r="19050" b="16510"/>
                <wp:wrapNone/>
                <wp:docPr id="64" name="Gruppieren 7"/>
                <wp:cNvGraphicFramePr/>
                <a:graphic xmlns:a="http://schemas.openxmlformats.org/drawingml/2006/main">
                  <a:graphicData uri="http://schemas.microsoft.com/office/word/2010/wordprocessingGroup">
                    <wpg:wgp>
                      <wpg:cNvGrpSpPr/>
                      <wpg:grpSpPr>
                        <a:xfrm>
                          <a:off x="0" y="0"/>
                          <a:ext cx="3124226" cy="3984613"/>
                          <a:chOff x="0" y="0"/>
                          <a:chExt cx="3124226" cy="3984613"/>
                        </a:xfrm>
                      </wpg:grpSpPr>
                      <wps:wsp>
                        <wps:cNvPr id="65"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rsidR="00EB512D" w:rsidRPr="002D5070" w:rsidRDefault="00EB512D" w:rsidP="00B27DD9">
                              <w:pPr>
                                <w:pStyle w:val="NormalWeb"/>
                                <w:spacing w:line="200" w:lineRule="exact"/>
                                <w:jc w:val="center"/>
                                <w:textAlignment w:val="baseline"/>
                                <w:rPr>
                                  <w:sz w:val="18"/>
                                  <w:szCs w:val="18"/>
                                  <w:lang w:val="fr-CH"/>
                                </w:rPr>
                              </w:pPr>
                              <w:r w:rsidRPr="002D5070">
                                <w:rPr>
                                  <w:color w:val="000000"/>
                                  <w:kern w:val="24"/>
                                  <w:sz w:val="18"/>
                                  <w:szCs w:val="18"/>
                                  <w:lang w:val="fr-CH"/>
                                </w:rPr>
                                <w:t>Prendre une mesure à chaque vitesse spécifiée au 4.3.2, 4.3.3 ou 4.3.4, selon la méthode choisie.</w:t>
                              </w:r>
                              <w:r w:rsidR="00AB3A41">
                                <w:rPr>
                                  <w:color w:val="000000"/>
                                  <w:kern w:val="24"/>
                                  <w:sz w:val="18"/>
                                  <w:szCs w:val="18"/>
                                  <w:lang w:val="fr-CH"/>
                                </w:rPr>
                                <w:br/>
                              </w:r>
                              <w:r w:rsidRPr="002D5070">
                                <w:rPr>
                                  <w:color w:val="000000"/>
                                  <w:kern w:val="24"/>
                                  <w:sz w:val="18"/>
                                  <w:szCs w:val="18"/>
                                  <w:lang w:val="fr-CH"/>
                                </w:rPr>
                                <w:t xml:space="preserve">Enregistrer cinq secondes de données </w:t>
                              </w:r>
                              <w:r w:rsidR="00AB3A41">
                                <w:rPr>
                                  <w:color w:val="000000"/>
                                  <w:kern w:val="24"/>
                                  <w:sz w:val="18"/>
                                  <w:szCs w:val="18"/>
                                  <w:lang w:val="fr-CH"/>
                                </w:rPr>
                                <w:br/>
                              </w:r>
                              <w:r w:rsidRPr="002D5070">
                                <w:rPr>
                                  <w:color w:val="000000"/>
                                  <w:kern w:val="24"/>
                                  <w:sz w:val="18"/>
                                  <w:szCs w:val="18"/>
                                  <w:lang w:val="fr-CH"/>
                                </w:rPr>
                                <w:t>pour chaque mesure (4.4.2)</w:t>
                              </w:r>
                            </w:p>
                          </w:txbxContent>
                        </wps:txbx>
                        <wps:bodyPr vert="horz" wrap="square" lIns="91440" tIns="45720" rIns="91440" bIns="45720" numCol="1" anchor="ctr" anchorCtr="0" compatLnSpc="1">
                          <a:prstTxWarp prst="textNoShape">
                            <a:avLst/>
                          </a:prstTxWarp>
                        </wps:bodyPr>
                      </wps:wsp>
                      <wps:wsp>
                        <wps:cNvPr id="66" name="Flowchart: Process 274"/>
                        <wps:cNvSpPr>
                          <a:spLocks noChangeArrowheads="1"/>
                        </wps:cNvSpPr>
                        <wps:spPr bwMode="auto">
                          <a:xfrm>
                            <a:off x="1" y="1872260"/>
                            <a:ext cx="3124225" cy="582073"/>
                          </a:xfrm>
                          <a:prstGeom prst="flowChartProcess">
                            <a:avLst/>
                          </a:prstGeom>
                          <a:solidFill>
                            <a:sysClr val="window" lastClr="FFFFFF"/>
                          </a:solidFill>
                          <a:ln w="12700">
                            <a:solidFill>
                              <a:sysClr val="windowText" lastClr="000000"/>
                            </a:solidFill>
                            <a:miter lim="800000"/>
                            <a:headEnd/>
                            <a:tailEnd/>
                          </a:ln>
                        </wps:spPr>
                        <wps:txbx>
                          <w:txbxContent>
                            <w:p w:rsidR="00EB512D" w:rsidRPr="00486D80" w:rsidRDefault="00EB512D" w:rsidP="007F1017">
                              <w:pPr>
                                <w:pStyle w:val="NormalWeb"/>
                                <w:spacing w:line="180" w:lineRule="exact"/>
                                <w:jc w:val="center"/>
                                <w:textAlignment w:val="baseline"/>
                                <w:rPr>
                                  <w:color w:val="000000"/>
                                  <w:kern w:val="24"/>
                                  <w:sz w:val="18"/>
                                  <w:szCs w:val="18"/>
                                  <w:lang w:val="fr-CH"/>
                                </w:rPr>
                              </w:pPr>
                              <w:r w:rsidRPr="00486D80">
                                <w:rPr>
                                  <w:color w:val="000000"/>
                                  <w:kern w:val="24"/>
                                  <w:sz w:val="18"/>
                                  <w:szCs w:val="18"/>
                                  <w:lang w:val="fr-CH"/>
                                </w:rPr>
                                <w:t xml:space="preserve">Utiliser une fenêtre </w:t>
                              </w:r>
                              <w:proofErr w:type="spellStart"/>
                              <w:r w:rsidRPr="00486D80">
                                <w:rPr>
                                  <w:color w:val="000000"/>
                                  <w:kern w:val="24"/>
                                  <w:sz w:val="18"/>
                                  <w:szCs w:val="18"/>
                                  <w:lang w:val="fr-CH"/>
                                </w:rPr>
                                <w:t>Hanning</w:t>
                              </w:r>
                              <w:proofErr w:type="spellEnd"/>
                              <w:r w:rsidRPr="00486D80">
                                <w:rPr>
                                  <w:color w:val="000000"/>
                                  <w:kern w:val="24"/>
                                  <w:sz w:val="18"/>
                                  <w:szCs w:val="18"/>
                                  <w:lang w:val="fr-CH"/>
                                </w:rPr>
                                <w:t xml:space="preserve"> et un recouvrement </w:t>
                              </w:r>
                              <w:r w:rsidR="00AB3A41">
                                <w:rPr>
                                  <w:color w:val="000000"/>
                                  <w:kern w:val="24"/>
                                  <w:sz w:val="18"/>
                                  <w:szCs w:val="18"/>
                                  <w:lang w:val="fr-CH"/>
                                </w:rPr>
                                <w:br/>
                              </w:r>
                              <w:r w:rsidRPr="00486D80">
                                <w:rPr>
                                  <w:color w:val="000000"/>
                                  <w:kern w:val="24"/>
                                  <w:sz w:val="18"/>
                                  <w:szCs w:val="18"/>
                                  <w:lang w:val="fr-CH"/>
                                </w:rPr>
                                <w:t xml:space="preserve">de 66,6 % au moins pour calculer un spectre de puissance </w:t>
                              </w:r>
                              <w:r w:rsidRPr="00486D80">
                                <w:rPr>
                                  <w:color w:val="000000"/>
                                  <w:kern w:val="24"/>
                                  <w:sz w:val="18"/>
                                  <w:szCs w:val="18"/>
                                  <w:lang w:val="fr-CH"/>
                                </w:rPr>
                                <w:br/>
                                <w:t xml:space="preserve">selon les paramètres de l’analyseur </w:t>
                              </w:r>
                            </w:p>
                            <w:p w:rsidR="00EB512D" w:rsidRPr="00486D80" w:rsidRDefault="00EB512D" w:rsidP="007F1017">
                              <w:pPr>
                                <w:pStyle w:val="NormalWeb"/>
                                <w:spacing w:line="180" w:lineRule="exact"/>
                                <w:jc w:val="center"/>
                                <w:textAlignment w:val="baseline"/>
                                <w:rPr>
                                  <w:sz w:val="18"/>
                                  <w:szCs w:val="18"/>
                                </w:rPr>
                              </w:pPr>
                              <w:r w:rsidRPr="00486D80">
                                <w:rPr>
                                  <w:color w:val="000000"/>
                                  <w:kern w:val="24"/>
                                  <w:sz w:val="18"/>
                                  <w:szCs w:val="18"/>
                                </w:rPr>
                                <w:t>(</w:t>
                              </w:r>
                              <w:proofErr w:type="spellStart"/>
                              <w:r w:rsidRPr="00486D80">
                                <w:rPr>
                                  <w:color w:val="000000"/>
                                  <w:kern w:val="24"/>
                                  <w:sz w:val="18"/>
                                  <w:szCs w:val="18"/>
                                </w:rPr>
                                <w:t>voir</w:t>
                              </w:r>
                              <w:proofErr w:type="spellEnd"/>
                              <w:r w:rsidRPr="00486D80">
                                <w:rPr>
                                  <w:color w:val="000000"/>
                                  <w:kern w:val="24"/>
                                  <w:sz w:val="18"/>
                                  <w:szCs w:val="18"/>
                                </w:rPr>
                                <w:t xml:space="preserve"> le 4.2)</w:t>
                              </w:r>
                            </w:p>
                          </w:txbxContent>
                        </wps:txbx>
                        <wps:bodyPr vert="horz" wrap="square" lIns="91440" tIns="45720" rIns="91440" bIns="45720" numCol="1" anchor="ctr" anchorCtr="0" compatLnSpc="1">
                          <a:prstTxWarp prst="textNoShape">
                            <a:avLst/>
                          </a:prstTxWarp>
                        </wps:bodyPr>
                      </wps:wsp>
                      <wps:wsp>
                        <wps:cNvPr id="67"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rsidR="00EB512D" w:rsidRPr="00486D80" w:rsidRDefault="00EB512D" w:rsidP="007F1017">
                              <w:pPr>
                                <w:pStyle w:val="NormalWeb"/>
                                <w:spacing w:line="200" w:lineRule="exact"/>
                                <w:jc w:val="center"/>
                                <w:textAlignment w:val="baseline"/>
                                <w:rPr>
                                  <w:sz w:val="18"/>
                                  <w:szCs w:val="18"/>
                                  <w:lang w:val="fr-CH"/>
                                </w:rPr>
                              </w:pPr>
                              <w:r w:rsidRPr="00486D80">
                                <w:rPr>
                                  <w:color w:val="000000"/>
                                  <w:kern w:val="24"/>
                                  <w:sz w:val="18"/>
                                  <w:szCs w:val="18"/>
                                  <w:lang w:val="fr-CH"/>
                                </w:rPr>
                                <w:t>Noter la vitesse du véhicule et les données de fréquence pour chaque vitesse d’essai</w:t>
                              </w:r>
                            </w:p>
                          </w:txbxContent>
                        </wps:txbx>
                        <wps:bodyPr vert="horz" wrap="square" lIns="91440" tIns="45720" rIns="91440" bIns="45720" numCol="1" anchor="ctr" anchorCtr="0" compatLnSpc="1">
                          <a:prstTxWarp prst="textNoShape">
                            <a:avLst/>
                          </a:prstTxWarp>
                        </wps:bodyPr>
                      </wps:wsp>
                      <wps:wsp>
                        <wps:cNvPr id="68"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rsidR="00EB512D" w:rsidRPr="00486D80" w:rsidRDefault="00EB512D" w:rsidP="00903749">
                              <w:pPr>
                                <w:pStyle w:val="NormalWeb"/>
                                <w:spacing w:line="200" w:lineRule="exact"/>
                                <w:jc w:val="center"/>
                                <w:rPr>
                                  <w:sz w:val="18"/>
                                  <w:szCs w:val="18"/>
                                  <w:lang w:val="fr-CH"/>
                                </w:rPr>
                              </w:pPr>
                              <w:r w:rsidRPr="00486D80">
                                <w:rPr>
                                  <w:sz w:val="18"/>
                                  <w:szCs w:val="18"/>
                                  <w:lang w:val="fr-CH"/>
                                </w:rPr>
                                <w:t xml:space="preserve">Calculer le changement de fréquence selon l’équation 1 </w:t>
                              </w:r>
                              <w:r w:rsidRPr="00486D80">
                                <w:rPr>
                                  <w:sz w:val="18"/>
                                  <w:szCs w:val="18"/>
                                  <w:lang w:val="fr-CH"/>
                                </w:rPr>
                                <w:br/>
                                <w:t xml:space="preserve">(voir le 4.5.1), puis le noter dans le tableau </w:t>
                              </w:r>
                              <w:r w:rsidRPr="002E448C">
                                <w:rPr>
                                  <w:strike/>
                                  <w:sz w:val="18"/>
                                  <w:szCs w:val="18"/>
                                  <w:lang w:val="fr-CH"/>
                                </w:rPr>
                                <w:t>4</w:t>
                              </w:r>
                              <w:r w:rsidRPr="00486D80">
                                <w:rPr>
                                  <w:sz w:val="18"/>
                                  <w:szCs w:val="18"/>
                                  <w:lang w:val="fr-CH"/>
                                </w:rPr>
                                <w:t xml:space="preserve"> </w:t>
                              </w:r>
                              <w:r w:rsidRPr="00486D80">
                                <w:rPr>
                                  <w:b/>
                                  <w:sz w:val="18"/>
                                  <w:szCs w:val="18"/>
                                  <w:lang w:val="fr-CH"/>
                                </w:rPr>
                                <w:t>5</w:t>
                              </w:r>
                              <w:r w:rsidRPr="00486D80">
                                <w:rPr>
                                  <w:sz w:val="18"/>
                                  <w:szCs w:val="18"/>
                                  <w:lang w:val="fr-CH"/>
                                </w:rPr>
                                <w:t xml:space="preserve"> du 4.5.1</w:t>
                              </w:r>
                            </w:p>
                          </w:txbxContent>
                        </wps:txbx>
                        <wps:bodyPr vert="horz" wrap="square" lIns="91440" tIns="45720" rIns="91440" bIns="45720" numCol="1" anchor="ctr" anchorCtr="0" compatLnSpc="1">
                          <a:prstTxWarp prst="textNoShape">
                            <a:avLst/>
                          </a:prstTxWarp>
                        </wps:bodyPr>
                      </wps:wsp>
                      <wps:wsp>
                        <wps:cNvPr id="69" name="直線矢印コネクタ 15"/>
                        <wps:cNvCnPr>
                          <a:stCxn id="4294967295" idx="2"/>
                          <a:endCxn id="4294967295" idx="0"/>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70" name="直線矢印コネクタ 16"/>
                        <wps:cNvCnPr>
                          <a:stCxn id="4294967295" idx="2"/>
                          <a:endCxn id="4294967295" idx="0"/>
                        </wps:cNvCnPr>
                        <wps:spPr>
                          <a:xfrm>
                            <a:off x="1562114" y="2454333"/>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71" name="直線矢印コネクタ 17"/>
                        <wps:cNvCnPr>
                          <a:stCxn id="4294967295" idx="2"/>
                          <a:endCxn id="4294967295" idx="0"/>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7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rsidR="00EB512D" w:rsidRPr="002D5070" w:rsidRDefault="00EB512D" w:rsidP="00D851C6">
                              <w:pPr>
                                <w:pStyle w:val="NormalWeb"/>
                                <w:spacing w:before="2" w:line="196" w:lineRule="exact"/>
                                <w:jc w:val="center"/>
                                <w:textAlignment w:val="baseline"/>
                                <w:rPr>
                                  <w:sz w:val="18"/>
                                  <w:szCs w:val="18"/>
                                  <w:lang w:val="fr-CH"/>
                                </w:rPr>
                              </w:pPr>
                              <w:r w:rsidRPr="002D5070">
                                <w:rPr>
                                  <w:color w:val="000000"/>
                                  <w:kern w:val="24"/>
                                  <w:sz w:val="18"/>
                                  <w:szCs w:val="18"/>
                                  <w:lang w:val="fr-CH"/>
                                </w:rPr>
                                <w:t xml:space="preserve">Utiliser les données du microphone gauche </w:t>
                              </w:r>
                              <w:r w:rsidR="00AB3A41">
                                <w:rPr>
                                  <w:color w:val="000000"/>
                                  <w:kern w:val="24"/>
                                  <w:sz w:val="18"/>
                                  <w:szCs w:val="18"/>
                                  <w:lang w:val="fr-CH"/>
                                </w:rPr>
                                <w:br/>
                              </w:r>
                              <w:r w:rsidRPr="002D5070">
                                <w:rPr>
                                  <w:b/>
                                  <w:strike/>
                                  <w:color w:val="000000"/>
                                  <w:kern w:val="24"/>
                                  <w:sz w:val="18"/>
                                  <w:szCs w:val="18"/>
                                  <w:lang w:val="fr-CH"/>
                                </w:rPr>
                                <w:t>ou</w:t>
                              </w:r>
                              <w:r w:rsidRPr="002D5070">
                                <w:rPr>
                                  <w:color w:val="000000"/>
                                  <w:kern w:val="24"/>
                                  <w:sz w:val="18"/>
                                  <w:szCs w:val="18"/>
                                  <w:lang w:val="fr-CH"/>
                                </w:rPr>
                                <w:t xml:space="preserve"> </w:t>
                              </w:r>
                              <w:r w:rsidRPr="002D5070">
                                <w:rPr>
                                  <w:b/>
                                  <w:color w:val="000000"/>
                                  <w:kern w:val="24"/>
                                  <w:sz w:val="18"/>
                                  <w:szCs w:val="18"/>
                                  <w:lang w:val="fr-CH"/>
                                </w:rPr>
                                <w:t>et du microphone</w:t>
                              </w:r>
                              <w:r w:rsidRPr="002D5070">
                                <w:rPr>
                                  <w:color w:val="000000"/>
                                  <w:kern w:val="24"/>
                                  <w:sz w:val="18"/>
                                  <w:szCs w:val="18"/>
                                  <w:lang w:val="fr-CH"/>
                                </w:rPr>
                                <w:t xml:space="preserve"> droit pour une analyse complémentaire </w:t>
                              </w:r>
                              <w:r w:rsidRPr="002D5070">
                                <w:rPr>
                                  <w:b/>
                                  <w:strike/>
                                  <w:color w:val="000000"/>
                                  <w:kern w:val="24"/>
                                  <w:sz w:val="18"/>
                                  <w:szCs w:val="18"/>
                                  <w:lang w:val="fr-CH"/>
                                </w:rPr>
                                <w:t>portant sur le microphone indiquant le niveau de pression acoustique le plus faible</w:t>
                              </w:r>
                            </w:p>
                          </w:txbxContent>
                        </wps:txbx>
                        <wps:bodyPr vert="horz" wrap="square" lIns="0" tIns="36000" rIns="0" bIns="0" numCol="1" anchor="t" anchorCtr="0" compatLnSpc="1">
                          <a:prstTxWarp prst="textNoShape">
                            <a:avLst/>
                          </a:prstTxWarp>
                        </wps:bodyPr>
                      </wps:wsp>
                      <wps:wsp>
                        <wps:cNvPr id="73" name="直線矢印コネクタ 15"/>
                        <wps:cNvCnPr>
                          <a:stCxn id="4294967295" idx="2"/>
                          <a:endCxn id="4294967295" idx="0"/>
                        </wps:cNvCnPr>
                        <wps:spPr>
                          <a:xfrm>
                            <a:off x="1562113" y="1656230"/>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w:pict>
              <v:group w14:anchorId="291A7771" id="Gruppieren 7" o:spid="_x0000_s1038" style="position:absolute;left:0;text-align:left;margin-left:149.25pt;margin-top:4.45pt;width:246pt;height:313.75pt;z-index:251663872"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">
                <v:shape id="Flowchart: Process 271" o:spid="_x0000_s1039"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" fillcolor="window" strokecolor="windowText" strokeweight="1pt">
                  <v:textbox>
                    <w:txbxContent>
                      <w:p w:rsidR="00EB512D" w:rsidRPr="002D5070" w:rsidRDefault="00EB512D" w:rsidP="00B27DD9">
                        <w:pPr>
                          <w:pStyle w:val="NormalWeb"/>
                          <w:spacing w:line="200" w:lineRule="exact"/>
                          <w:jc w:val="center"/>
                          <w:textAlignment w:val="baseline"/>
                          <w:rPr>
                            <w:sz w:val="18"/>
                            <w:szCs w:val="18"/>
                            <w:lang w:val="fr-CH"/>
                          </w:rPr>
                        </w:pPr>
                        <w:r w:rsidRPr="002D5070">
                          <w:rPr>
                            <w:color w:val="000000"/>
                            <w:kern w:val="24"/>
                            <w:sz w:val="18"/>
                            <w:szCs w:val="18"/>
                            <w:lang w:val="fr-CH"/>
                          </w:rPr>
                          <w:t>Prendre une mesure à chaque vitesse spécifiée au 4.3.2, 4.3.3 ou 4.3.4, selon la méthode choisie.</w:t>
                        </w:r>
                        <w:r w:rsidR="00AB3A41">
                          <w:rPr>
                            <w:color w:val="000000"/>
                            <w:kern w:val="24"/>
                            <w:sz w:val="18"/>
                            <w:szCs w:val="18"/>
                            <w:lang w:val="fr-CH"/>
                          </w:rPr>
                          <w:br/>
                        </w:r>
                        <w:r w:rsidRPr="002D5070">
                          <w:rPr>
                            <w:color w:val="000000"/>
                            <w:kern w:val="24"/>
                            <w:sz w:val="18"/>
                            <w:szCs w:val="18"/>
                            <w:lang w:val="fr-CH"/>
                          </w:rPr>
                          <w:t xml:space="preserve">Enregistrer cinq secondes de données </w:t>
                        </w:r>
                        <w:r w:rsidR="00AB3A41">
                          <w:rPr>
                            <w:color w:val="000000"/>
                            <w:kern w:val="24"/>
                            <w:sz w:val="18"/>
                            <w:szCs w:val="18"/>
                            <w:lang w:val="fr-CH"/>
                          </w:rPr>
                          <w:br/>
                        </w:r>
                        <w:r w:rsidRPr="002D5070">
                          <w:rPr>
                            <w:color w:val="000000"/>
                            <w:kern w:val="24"/>
                            <w:sz w:val="18"/>
                            <w:szCs w:val="18"/>
                            <w:lang w:val="fr-CH"/>
                          </w:rPr>
                          <w:t>pour chaque mesure (4.4.2)</w:t>
                        </w:r>
                      </w:p>
                    </w:txbxContent>
                  </v:textbox>
                </v:shape>
                <v:shape id="Flowchart: Process 274" o:spid="_x0000_s1040" type="#_x0000_t109" style="position:absolute;top:18722;width:3124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" fillcolor="window" strokecolor="windowText" strokeweight="1pt">
                  <v:textbox>
                    <w:txbxContent>
                      <w:p w:rsidR="00EB512D" w:rsidRPr="00486D80" w:rsidRDefault="00EB512D" w:rsidP="007F1017">
                        <w:pPr>
                          <w:pStyle w:val="NormalWeb"/>
                          <w:spacing w:line="180" w:lineRule="exact"/>
                          <w:jc w:val="center"/>
                          <w:textAlignment w:val="baseline"/>
                          <w:rPr>
                            <w:color w:val="000000"/>
                            <w:kern w:val="24"/>
                            <w:sz w:val="18"/>
                            <w:szCs w:val="18"/>
                            <w:lang w:val="fr-CH"/>
                          </w:rPr>
                        </w:pPr>
                        <w:r w:rsidRPr="00486D80">
                          <w:rPr>
                            <w:color w:val="000000"/>
                            <w:kern w:val="24"/>
                            <w:sz w:val="18"/>
                            <w:szCs w:val="18"/>
                            <w:lang w:val="fr-CH"/>
                          </w:rPr>
                          <w:t xml:space="preserve">Utiliser une fenêtre </w:t>
                        </w:r>
                        <w:proofErr w:type="spellStart"/>
                        <w:r w:rsidRPr="00486D80">
                          <w:rPr>
                            <w:color w:val="000000"/>
                            <w:kern w:val="24"/>
                            <w:sz w:val="18"/>
                            <w:szCs w:val="18"/>
                            <w:lang w:val="fr-CH"/>
                          </w:rPr>
                          <w:t>Hanning</w:t>
                        </w:r>
                        <w:proofErr w:type="spellEnd"/>
                        <w:r w:rsidRPr="00486D80">
                          <w:rPr>
                            <w:color w:val="000000"/>
                            <w:kern w:val="24"/>
                            <w:sz w:val="18"/>
                            <w:szCs w:val="18"/>
                            <w:lang w:val="fr-CH"/>
                          </w:rPr>
                          <w:t xml:space="preserve"> et un recouvrement </w:t>
                        </w:r>
                        <w:r w:rsidR="00AB3A41">
                          <w:rPr>
                            <w:color w:val="000000"/>
                            <w:kern w:val="24"/>
                            <w:sz w:val="18"/>
                            <w:szCs w:val="18"/>
                            <w:lang w:val="fr-CH"/>
                          </w:rPr>
                          <w:br/>
                        </w:r>
                        <w:r w:rsidRPr="00486D80">
                          <w:rPr>
                            <w:color w:val="000000"/>
                            <w:kern w:val="24"/>
                            <w:sz w:val="18"/>
                            <w:szCs w:val="18"/>
                            <w:lang w:val="fr-CH"/>
                          </w:rPr>
                          <w:t xml:space="preserve">de 66,6 % au moins pour calculer un spectre de puissance </w:t>
                        </w:r>
                        <w:r w:rsidRPr="00486D80">
                          <w:rPr>
                            <w:color w:val="000000"/>
                            <w:kern w:val="24"/>
                            <w:sz w:val="18"/>
                            <w:szCs w:val="18"/>
                            <w:lang w:val="fr-CH"/>
                          </w:rPr>
                          <w:br/>
                          <w:t xml:space="preserve">selon les paramètres de l’analyseur </w:t>
                        </w:r>
                      </w:p>
                      <w:p w:rsidR="00EB512D" w:rsidRPr="00486D80" w:rsidRDefault="00EB512D" w:rsidP="007F1017">
                        <w:pPr>
                          <w:pStyle w:val="NormalWeb"/>
                          <w:spacing w:line="180" w:lineRule="exact"/>
                          <w:jc w:val="center"/>
                          <w:textAlignment w:val="baseline"/>
                          <w:rPr>
                            <w:sz w:val="18"/>
                            <w:szCs w:val="18"/>
                          </w:rPr>
                        </w:pPr>
                        <w:r w:rsidRPr="00486D80">
                          <w:rPr>
                            <w:color w:val="000000"/>
                            <w:kern w:val="24"/>
                            <w:sz w:val="18"/>
                            <w:szCs w:val="18"/>
                          </w:rPr>
                          <w:t>(</w:t>
                        </w:r>
                        <w:proofErr w:type="spellStart"/>
                        <w:r w:rsidRPr="00486D80">
                          <w:rPr>
                            <w:color w:val="000000"/>
                            <w:kern w:val="24"/>
                            <w:sz w:val="18"/>
                            <w:szCs w:val="18"/>
                          </w:rPr>
                          <w:t>voir</w:t>
                        </w:r>
                        <w:proofErr w:type="spellEnd"/>
                        <w:r w:rsidRPr="00486D80">
                          <w:rPr>
                            <w:color w:val="000000"/>
                            <w:kern w:val="24"/>
                            <w:sz w:val="18"/>
                            <w:szCs w:val="18"/>
                          </w:rPr>
                          <w:t xml:space="preserve"> le 4.2)</w:t>
                        </w:r>
                      </w:p>
                    </w:txbxContent>
                  </v:textbox>
                </v:shape>
                <v:shape id="Flowchart: Process 277" o:spid="_x0000_s1041" type="#_x0000_t109" style="position:absolute;top:26541;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" fillcolor="window" strokecolor="windowText" strokeweight="1pt">
                  <v:textbox>
                    <w:txbxContent>
                      <w:p w:rsidR="00EB512D" w:rsidRPr="00486D80" w:rsidRDefault="00EB512D" w:rsidP="007F1017">
                        <w:pPr>
                          <w:pStyle w:val="NormalWeb"/>
                          <w:spacing w:line="200" w:lineRule="exact"/>
                          <w:jc w:val="center"/>
                          <w:textAlignment w:val="baseline"/>
                          <w:rPr>
                            <w:sz w:val="18"/>
                            <w:szCs w:val="18"/>
                            <w:lang w:val="fr-CH"/>
                          </w:rPr>
                        </w:pPr>
                        <w:r w:rsidRPr="00486D80">
                          <w:rPr>
                            <w:color w:val="000000"/>
                            <w:kern w:val="24"/>
                            <w:sz w:val="18"/>
                            <w:szCs w:val="18"/>
                            <w:lang w:val="fr-CH"/>
                          </w:rPr>
                          <w:t>Noter la vitesse du véhicule et les données de fréquence pour chaque vitesse d’essai</w:t>
                        </w:r>
                      </w:p>
                    </w:txbxContent>
                  </v:textbox>
                </v:shape>
                <v:shape id="Flowchart: Process 278" o:spid="_x0000_s1042"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" fillcolor="window" strokecolor="windowText" strokeweight="1pt">
                  <v:textbox>
                    <w:txbxContent>
                      <w:p w:rsidR="00EB512D" w:rsidRPr="00486D80" w:rsidRDefault="00EB512D" w:rsidP="00903749">
                        <w:pPr>
                          <w:pStyle w:val="NormalWeb"/>
                          <w:spacing w:line="200" w:lineRule="exact"/>
                          <w:jc w:val="center"/>
                          <w:rPr>
                            <w:sz w:val="18"/>
                            <w:szCs w:val="18"/>
                            <w:lang w:val="fr-CH"/>
                          </w:rPr>
                        </w:pPr>
                        <w:r w:rsidRPr="00486D80">
                          <w:rPr>
                            <w:sz w:val="18"/>
                            <w:szCs w:val="18"/>
                            <w:lang w:val="fr-CH"/>
                          </w:rPr>
                          <w:t xml:space="preserve">Calculer le changement de fréquence selon l’équation 1 </w:t>
                        </w:r>
                        <w:r w:rsidRPr="00486D80">
                          <w:rPr>
                            <w:sz w:val="18"/>
                            <w:szCs w:val="18"/>
                            <w:lang w:val="fr-CH"/>
                          </w:rPr>
                          <w:br/>
                          <w:t xml:space="preserve">(voir le 4.5.1), puis le noter dans le tableau </w:t>
                        </w:r>
                        <w:r w:rsidRPr="002E448C">
                          <w:rPr>
                            <w:strike/>
                            <w:sz w:val="18"/>
                            <w:szCs w:val="18"/>
                            <w:lang w:val="fr-CH"/>
                          </w:rPr>
                          <w:t>4</w:t>
                        </w:r>
                        <w:r w:rsidRPr="00486D80">
                          <w:rPr>
                            <w:sz w:val="18"/>
                            <w:szCs w:val="18"/>
                            <w:lang w:val="fr-CH"/>
                          </w:rPr>
                          <w:t xml:space="preserve"> </w:t>
                        </w:r>
                        <w:r w:rsidRPr="00486D80">
                          <w:rPr>
                            <w:b/>
                            <w:sz w:val="18"/>
                            <w:szCs w:val="18"/>
                            <w:lang w:val="fr-CH"/>
                          </w:rPr>
                          <w:t>5</w:t>
                        </w:r>
                        <w:r w:rsidRPr="00486D80">
                          <w:rPr>
                            <w:sz w:val="18"/>
                            <w:szCs w:val="18"/>
                            <w:lang w:val="fr-CH"/>
                          </w:rPr>
                          <w:t xml:space="preserve"> du 4.5.1</w:t>
                        </w:r>
                      </w:p>
                    </w:txbxContent>
                  </v:textbox>
                </v:shape>
                <v:shape id="直線矢印コネクタ 15" o:spid="_x0000_s1043"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" strokecolor="windowText" strokeweight="2.25pt">
                  <v:stroke endarrow="block"/>
                </v:shape>
                <v:shape id="直線矢印コネクタ 16" o:spid="_x0000_s1044" type="#_x0000_t32" style="position:absolute;left:15621;top:24543;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" strokecolor="windowText" strokeweight="2.25pt">
                  <v:stroke endarrow="block"/>
                </v:shape>
                <v:shape id="直線矢印コネクタ 17" o:spid="_x0000_s1045" type="#_x0000_t32" style="position:absolute;left:15621;top:316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" strokecolor="windowText" strokeweight="2.25pt">
                  <v:stroke endarrow="block"/>
                </v:shape>
                <v:shape id="Flowchart: Process 272" o:spid="_x0000_s1046" type="#_x0000_t109" style="position:absolute;top:10685;width:31242;height: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" fillcolor="window" strokecolor="windowText" strokeweight="1pt">
                  <v:textbox inset="0,1mm,0,0">
                    <w:txbxContent>
                      <w:p w:rsidR="00EB512D" w:rsidRPr="002D5070" w:rsidRDefault="00EB512D" w:rsidP="00D851C6">
                        <w:pPr>
                          <w:pStyle w:val="NormalWeb"/>
                          <w:spacing w:before="2" w:line="196" w:lineRule="exact"/>
                          <w:jc w:val="center"/>
                          <w:textAlignment w:val="baseline"/>
                          <w:rPr>
                            <w:sz w:val="18"/>
                            <w:szCs w:val="18"/>
                            <w:lang w:val="fr-CH"/>
                          </w:rPr>
                        </w:pPr>
                        <w:r w:rsidRPr="002D5070">
                          <w:rPr>
                            <w:color w:val="000000"/>
                            <w:kern w:val="24"/>
                            <w:sz w:val="18"/>
                            <w:szCs w:val="18"/>
                            <w:lang w:val="fr-CH"/>
                          </w:rPr>
                          <w:t xml:space="preserve">Utiliser les données du microphone gauche </w:t>
                        </w:r>
                        <w:r w:rsidR="00AB3A41">
                          <w:rPr>
                            <w:color w:val="000000"/>
                            <w:kern w:val="24"/>
                            <w:sz w:val="18"/>
                            <w:szCs w:val="18"/>
                            <w:lang w:val="fr-CH"/>
                          </w:rPr>
                          <w:br/>
                        </w:r>
                        <w:r w:rsidRPr="002D5070">
                          <w:rPr>
                            <w:b/>
                            <w:strike/>
                            <w:color w:val="000000"/>
                            <w:kern w:val="24"/>
                            <w:sz w:val="18"/>
                            <w:szCs w:val="18"/>
                            <w:lang w:val="fr-CH"/>
                          </w:rPr>
                          <w:t>ou</w:t>
                        </w:r>
                        <w:r w:rsidRPr="002D5070">
                          <w:rPr>
                            <w:color w:val="000000"/>
                            <w:kern w:val="24"/>
                            <w:sz w:val="18"/>
                            <w:szCs w:val="18"/>
                            <w:lang w:val="fr-CH"/>
                          </w:rPr>
                          <w:t xml:space="preserve"> </w:t>
                        </w:r>
                        <w:r w:rsidRPr="002D5070">
                          <w:rPr>
                            <w:b/>
                            <w:color w:val="000000"/>
                            <w:kern w:val="24"/>
                            <w:sz w:val="18"/>
                            <w:szCs w:val="18"/>
                            <w:lang w:val="fr-CH"/>
                          </w:rPr>
                          <w:t>et du microphone</w:t>
                        </w:r>
                        <w:r w:rsidRPr="002D5070">
                          <w:rPr>
                            <w:color w:val="000000"/>
                            <w:kern w:val="24"/>
                            <w:sz w:val="18"/>
                            <w:szCs w:val="18"/>
                            <w:lang w:val="fr-CH"/>
                          </w:rPr>
                          <w:t xml:space="preserve"> droit pour une analyse complémentaire </w:t>
                        </w:r>
                        <w:r w:rsidRPr="002D5070">
                          <w:rPr>
                            <w:b/>
                            <w:strike/>
                            <w:color w:val="000000"/>
                            <w:kern w:val="24"/>
                            <w:sz w:val="18"/>
                            <w:szCs w:val="18"/>
                            <w:lang w:val="fr-CH"/>
                          </w:rPr>
                          <w:t>portant sur le microphone indiquant le niveau de pression acoustique le plus faible</w:t>
                        </w:r>
                      </w:p>
                    </w:txbxContent>
                  </v:textbox>
                </v:shape>
                <v:shape id="直線矢印コネクタ 15" o:spid="_x0000_s1047" type="#_x0000_t32" style="position:absolute;left:15621;top:1656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" strokecolor="windowText" strokeweight="2.25pt">
                  <v:stroke endarrow="block"/>
                </v:shape>
              </v:group>
            </w:pict>
          </mc:Fallback>
        </mc:AlternateContent>
      </w: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line="240" w:lineRule="auto"/>
        <w:ind w:left="1134"/>
        <w:rPr>
          <w:rFonts w:eastAsia="Times New Roman"/>
        </w:rPr>
      </w:pPr>
    </w:p>
    <w:p w:rsidR="0010684D" w:rsidRPr="00C2368C" w:rsidRDefault="0010684D" w:rsidP="0010684D">
      <w:pPr>
        <w:kinsoku/>
        <w:overflowPunct/>
        <w:autoSpaceDE/>
        <w:autoSpaceDN/>
        <w:adjustRightInd/>
        <w:snapToGrid/>
        <w:spacing w:after="120"/>
        <w:ind w:left="1134" w:right="1134"/>
        <w:jc w:val="both"/>
        <w:rPr>
          <w:rFonts w:eastAsia="Times New Roman"/>
          <w:iCs/>
        </w:rPr>
      </w:pPr>
    </w:p>
    <w:p w:rsidR="0010684D" w:rsidRPr="00C2368C" w:rsidRDefault="0010684D" w:rsidP="0010684D">
      <w:pPr>
        <w:kinsoku/>
        <w:overflowPunct/>
        <w:autoSpaceDE/>
        <w:autoSpaceDN/>
        <w:adjustRightInd/>
        <w:snapToGrid/>
        <w:spacing w:after="120"/>
        <w:ind w:left="1134" w:right="1134"/>
        <w:jc w:val="both"/>
        <w:rPr>
          <w:rFonts w:eastAsia="Times New Roman"/>
          <w:i/>
        </w:rPr>
      </w:pPr>
    </w:p>
    <w:p w:rsidR="0010684D" w:rsidRPr="00C2368C" w:rsidRDefault="0010684D" w:rsidP="0010684D">
      <w:pPr>
        <w:kinsoku/>
        <w:overflowPunct/>
        <w:autoSpaceDE/>
        <w:autoSpaceDN/>
        <w:adjustRightInd/>
        <w:snapToGrid/>
        <w:spacing w:after="120"/>
        <w:ind w:left="1134" w:right="1134"/>
        <w:jc w:val="both"/>
        <w:rPr>
          <w:rFonts w:eastAsia="Times New Roman"/>
          <w:i/>
        </w:rPr>
      </w:pPr>
    </w:p>
    <w:p w:rsidR="0010684D" w:rsidRPr="00C2368C" w:rsidRDefault="0010684D" w:rsidP="0010684D">
      <w:pPr>
        <w:kinsoku/>
        <w:overflowPunct/>
        <w:autoSpaceDE/>
        <w:autoSpaceDN/>
        <w:adjustRightInd/>
        <w:snapToGrid/>
        <w:spacing w:after="120"/>
        <w:ind w:left="1134" w:right="1134"/>
        <w:jc w:val="both"/>
        <w:rPr>
          <w:rFonts w:eastAsia="Times New Roman"/>
          <w:i/>
        </w:rPr>
      </w:pPr>
    </w:p>
    <w:p w:rsidR="0010684D" w:rsidRPr="00C2368C" w:rsidRDefault="0010684D" w:rsidP="0010684D">
      <w:pPr>
        <w:kinsoku/>
        <w:overflowPunct/>
        <w:autoSpaceDE/>
        <w:autoSpaceDN/>
        <w:adjustRightInd/>
        <w:snapToGrid/>
        <w:spacing w:after="120"/>
        <w:ind w:left="1134" w:right="1134"/>
        <w:jc w:val="both"/>
        <w:rPr>
          <w:rFonts w:eastAsia="Times New Roman"/>
          <w:i/>
        </w:rPr>
      </w:pPr>
    </w:p>
    <w:p w:rsidR="0010684D" w:rsidRPr="00C2368C" w:rsidRDefault="0010684D" w:rsidP="0010684D">
      <w:pPr>
        <w:kinsoku/>
        <w:overflowPunct/>
        <w:autoSpaceDE/>
        <w:autoSpaceDN/>
        <w:adjustRightInd/>
        <w:snapToGrid/>
        <w:spacing w:after="120"/>
        <w:ind w:left="1134" w:right="1134"/>
        <w:jc w:val="both"/>
        <w:rPr>
          <w:rFonts w:eastAsia="Times New Roman"/>
          <w:i/>
        </w:rPr>
      </w:pPr>
    </w:p>
    <w:p w:rsidR="0010684D" w:rsidRPr="00C2368C" w:rsidRDefault="0010684D" w:rsidP="0010684D">
      <w:pPr>
        <w:kinsoku/>
        <w:overflowPunct/>
        <w:autoSpaceDE/>
        <w:autoSpaceDN/>
        <w:adjustRightInd/>
        <w:snapToGrid/>
        <w:spacing w:after="120"/>
        <w:ind w:left="1134" w:right="1134"/>
        <w:jc w:val="both"/>
        <w:rPr>
          <w:rFonts w:eastAsia="Times New Roman"/>
          <w:i/>
        </w:rPr>
      </w:pPr>
    </w:p>
    <w:p w:rsidR="0010684D" w:rsidRPr="00C2368C" w:rsidRDefault="004C52C9" w:rsidP="0010684D">
      <w:pPr>
        <w:kinsoku/>
        <w:overflowPunct/>
        <w:autoSpaceDE/>
        <w:autoSpaceDN/>
        <w:adjustRightInd/>
        <w:snapToGrid/>
        <w:spacing w:after="120"/>
        <w:ind w:left="1134" w:right="1134"/>
        <w:jc w:val="right"/>
        <w:rPr>
          <w:rFonts w:eastAsia="Times New Roman"/>
        </w:rPr>
      </w:pPr>
      <w:r w:rsidRPr="00C2368C">
        <w:rPr>
          <w:rFonts w:eastAsia="Times New Roman"/>
        </w:rPr>
        <w:t> »</w:t>
      </w:r>
      <w:r w:rsidR="007462E8" w:rsidRPr="00C2368C">
        <w:rPr>
          <w:rFonts w:eastAsia="Times New Roman"/>
        </w:rPr>
        <w:t>.</w:t>
      </w:r>
    </w:p>
    <w:p w:rsidR="00291774" w:rsidRPr="00C2368C" w:rsidRDefault="0010684D" w:rsidP="007462E8">
      <w:pPr>
        <w:keepNext/>
        <w:keepLines/>
        <w:tabs>
          <w:tab w:val="right" w:pos="851"/>
        </w:tabs>
        <w:kinsoku/>
        <w:overflowPunct/>
        <w:autoSpaceDE/>
        <w:autoSpaceDN/>
        <w:adjustRightInd/>
        <w:snapToGrid/>
        <w:spacing w:after="240" w:line="300" w:lineRule="exact"/>
        <w:ind w:left="1134" w:right="1134" w:hanging="1134"/>
        <w:rPr>
          <w:rFonts w:eastAsia="Times New Roman"/>
          <w:b/>
          <w:sz w:val="28"/>
        </w:rPr>
      </w:pPr>
      <w:r w:rsidRPr="00C2368C">
        <w:br w:type="page"/>
      </w:r>
      <w:r w:rsidR="00291774" w:rsidRPr="00C2368C">
        <w:rPr>
          <w:rFonts w:eastAsia="Times New Roman"/>
          <w:b/>
          <w:sz w:val="28"/>
        </w:rPr>
        <w:lastRenderedPageBreak/>
        <w:t>Annexe III</w:t>
      </w:r>
    </w:p>
    <w:p w:rsidR="00291774" w:rsidRPr="00C2368C" w:rsidRDefault="00291774" w:rsidP="00291774">
      <w:pPr>
        <w:keepNext/>
        <w:keepLines/>
        <w:tabs>
          <w:tab w:val="right" w:pos="851"/>
        </w:tabs>
        <w:kinsoku/>
        <w:overflowPunct/>
        <w:autoSpaceDE/>
        <w:autoSpaceDN/>
        <w:adjustRightInd/>
        <w:snapToGrid/>
        <w:spacing w:before="360" w:after="240" w:line="300" w:lineRule="exact"/>
        <w:ind w:left="1134" w:right="1020" w:hanging="1134"/>
        <w:rPr>
          <w:rFonts w:eastAsia="Times New Roman"/>
          <w:b/>
          <w:sz w:val="28"/>
          <w:szCs w:val="28"/>
        </w:rPr>
      </w:pPr>
      <w:r w:rsidRPr="00C2368C">
        <w:rPr>
          <w:rFonts w:eastAsia="Times New Roman"/>
          <w:b/>
          <w:sz w:val="28"/>
          <w:szCs w:val="28"/>
        </w:rPr>
        <w:tab/>
      </w:r>
      <w:r w:rsidRPr="00C2368C">
        <w:rPr>
          <w:rFonts w:eastAsia="Times New Roman"/>
          <w:b/>
          <w:sz w:val="28"/>
          <w:szCs w:val="28"/>
        </w:rPr>
        <w:tab/>
        <w:t>Amendements au document ECE/TRANS/WP.29/GRB/2019/5 adoptés (sur la base du document GRB-69-11-Rev.1)</w:t>
      </w:r>
    </w:p>
    <w:p w:rsidR="00291774" w:rsidRPr="00C2368C" w:rsidRDefault="00291774" w:rsidP="002B15D2">
      <w:pPr>
        <w:pStyle w:val="SingleTxtG"/>
        <w:rPr>
          <w:iCs/>
        </w:rPr>
      </w:pPr>
      <w:r w:rsidRPr="00C2368C">
        <w:rPr>
          <w:i/>
        </w:rPr>
        <w:t>Paragraphe 2.10 (nouveau)</w:t>
      </w:r>
      <w:r w:rsidRPr="00C2368C">
        <w:t xml:space="preserve">, </w:t>
      </w:r>
      <w:r w:rsidRPr="00C2368C">
        <w:rPr>
          <w:iCs/>
        </w:rPr>
        <w:t>supprimer</w:t>
      </w:r>
      <w:r w:rsidR="002B15D2" w:rsidRPr="00C2368C">
        <w:rPr>
          <w:iCs/>
        </w:rPr>
        <w:t xml:space="preserve"> « </w:t>
      </w:r>
      <w:r w:rsidRPr="00C2368C">
        <w:rPr>
          <w:iCs/>
        </w:rPr>
        <w:t>structure</w:t>
      </w:r>
      <w:r w:rsidR="002B15D2" w:rsidRPr="00C2368C">
        <w:rPr>
          <w:iCs/>
        </w:rPr>
        <w:t> »</w:t>
      </w:r>
      <w:r w:rsidRPr="00C2368C">
        <w:rPr>
          <w:iCs/>
        </w:rPr>
        <w:t>.</w:t>
      </w:r>
    </w:p>
    <w:p w:rsidR="00291774" w:rsidRPr="00C2368C" w:rsidRDefault="00291774" w:rsidP="002B15D2">
      <w:pPr>
        <w:pStyle w:val="SingleTxtG"/>
        <w:rPr>
          <w:rFonts w:eastAsia="Times New Roman"/>
        </w:rPr>
      </w:pPr>
      <w:r w:rsidRPr="00C2368C">
        <w:rPr>
          <w:rFonts w:eastAsia="Times New Roman"/>
          <w:i/>
          <w:iCs/>
        </w:rPr>
        <w:t>Paragraphe 2.11 (nouveau)</w:t>
      </w:r>
      <w:r w:rsidRPr="00C2368C">
        <w:rPr>
          <w:rFonts w:eastAsia="Times New Roman"/>
          <w:iCs/>
        </w:rPr>
        <w:t>,</w:t>
      </w:r>
      <w:r w:rsidRPr="00C2368C">
        <w:rPr>
          <w:rFonts w:eastAsia="Times New Roman"/>
        </w:rPr>
        <w:t xml:space="preserve"> supprimer.</w:t>
      </w:r>
    </w:p>
    <w:p w:rsidR="00291774" w:rsidRPr="00C2368C" w:rsidRDefault="00291774" w:rsidP="002B15D2">
      <w:pPr>
        <w:pStyle w:val="SingleTxtG"/>
        <w:rPr>
          <w:rFonts w:eastAsia="Times New Roman"/>
        </w:rPr>
      </w:pPr>
      <w:r w:rsidRPr="00C2368C">
        <w:rPr>
          <w:rFonts w:eastAsia="Times New Roman"/>
          <w:i/>
          <w:iCs/>
        </w:rPr>
        <w:t>Les paragraphes 2.12 à 2.44 (nouveau)</w:t>
      </w:r>
      <w:r w:rsidRPr="00C2368C">
        <w:rPr>
          <w:rFonts w:eastAsia="Times New Roman"/>
        </w:rPr>
        <w:t xml:space="preserve"> deviennent les paragraphes 2.11 à 2.43.</w:t>
      </w:r>
    </w:p>
    <w:p w:rsidR="00291774" w:rsidRPr="00C2368C" w:rsidRDefault="00291774" w:rsidP="002B15D2">
      <w:pPr>
        <w:pStyle w:val="SingleTxtG"/>
        <w:rPr>
          <w:rFonts w:eastAsia="Times New Roman"/>
          <w:snapToGrid w:val="0"/>
        </w:rPr>
      </w:pPr>
      <w:bookmarkStart w:id="1" w:name="_Hlk858889"/>
      <w:r w:rsidRPr="00C2368C">
        <w:rPr>
          <w:rFonts w:eastAsia="Times New Roman"/>
          <w:i/>
          <w:iCs/>
          <w:snapToGrid w:val="0"/>
        </w:rPr>
        <w:t>Le paragraphe 2.18.1 (nouveau)</w:t>
      </w:r>
      <w:r w:rsidRPr="00C2368C">
        <w:rPr>
          <w:rFonts w:eastAsia="Times New Roman"/>
          <w:snapToGrid w:val="0"/>
        </w:rPr>
        <w:t>, devient le paragraphe 2.17.1 et le paragraphe 3.1.10 est remplacé par les paragraphe 2.26.1.</w:t>
      </w:r>
    </w:p>
    <w:bookmarkEnd w:id="1"/>
    <w:p w:rsidR="00291774" w:rsidRPr="00C2368C" w:rsidRDefault="00291774" w:rsidP="002B15D2">
      <w:pPr>
        <w:pStyle w:val="SingleTxtG"/>
        <w:rPr>
          <w:rFonts w:eastAsia="Times New Roman"/>
          <w:snapToGrid w:val="0"/>
        </w:rPr>
      </w:pPr>
      <w:r w:rsidRPr="00C2368C">
        <w:rPr>
          <w:rFonts w:eastAsia="Times New Roman"/>
          <w:i/>
          <w:iCs/>
          <w:snapToGrid w:val="0"/>
        </w:rPr>
        <w:t>Le paragraphe 2.25.6 (nouveau)</w:t>
      </w:r>
      <w:r w:rsidRPr="00C2368C">
        <w:rPr>
          <w:rFonts w:eastAsia="Times New Roman"/>
          <w:snapToGrid w:val="0"/>
        </w:rPr>
        <w:t>, devient le paragraphe 2.24.6 et est modifié comme suit</w:t>
      </w:r>
      <w:r w:rsidR="00393C8E" w:rsidRPr="00C2368C">
        <w:rPr>
          <w:rFonts w:eastAsia="Times New Roman"/>
          <w:snapToGrid w:val="0"/>
        </w:rPr>
        <w:t> </w:t>
      </w:r>
      <w:r w:rsidRPr="00C2368C">
        <w:rPr>
          <w:rFonts w:eastAsia="Times New Roman"/>
          <w:snapToGrid w:val="0"/>
        </w:rPr>
        <w:t>:</w:t>
      </w:r>
    </w:p>
    <w:p w:rsidR="00291774" w:rsidRPr="00C2368C" w:rsidRDefault="00B76009" w:rsidP="00291774">
      <w:pPr>
        <w:suppressAutoHyphens w:val="0"/>
        <w:kinsoku/>
        <w:overflowPunct/>
        <w:autoSpaceDE/>
        <w:autoSpaceDN/>
        <w:adjustRightInd/>
        <w:snapToGrid/>
        <w:spacing w:after="120"/>
        <w:ind w:left="2268" w:right="1042" w:hanging="1134"/>
        <w:jc w:val="both"/>
        <w:rPr>
          <w:rFonts w:eastAsia="Times New Roman"/>
          <w:snapToGrid w:val="0"/>
        </w:rPr>
      </w:pPr>
      <w:r w:rsidRPr="00C2368C">
        <w:rPr>
          <w:rFonts w:eastAsia="Times New Roman"/>
          <w:snapToGrid w:val="0"/>
        </w:rPr>
        <w:t>« </w:t>
      </w:r>
      <w:r w:rsidR="00291774" w:rsidRPr="00C2368C">
        <w:rPr>
          <w:rFonts w:eastAsia="Times New Roman"/>
          <w:snapToGrid w:val="0"/>
        </w:rPr>
        <w:t>2.24.6</w:t>
      </w:r>
      <w:r w:rsidR="00291774" w:rsidRPr="00C2368C">
        <w:rPr>
          <w:rFonts w:eastAsia="Times New Roman"/>
          <w:snapToGrid w:val="0"/>
        </w:rPr>
        <w:tab/>
        <w:t xml:space="preserve">Éventuellement, la lettre </w:t>
      </w:r>
      <w:r w:rsidRPr="00C2368C">
        <w:rPr>
          <w:rFonts w:eastAsia="Times New Roman"/>
          <w:snapToGrid w:val="0"/>
        </w:rPr>
        <w:t>“</w:t>
      </w:r>
      <w:r w:rsidR="00291774" w:rsidRPr="00C2368C">
        <w:rPr>
          <w:rFonts w:eastAsia="Times New Roman"/>
          <w:snapToGrid w:val="0"/>
        </w:rPr>
        <w:t>P</w:t>
      </w:r>
      <w:r w:rsidRPr="00C2368C">
        <w:rPr>
          <w:rFonts w:eastAsia="Times New Roman"/>
          <w:snapToGrid w:val="0"/>
        </w:rPr>
        <w:t>”</w:t>
      </w:r>
      <w:r w:rsidR="00291774" w:rsidRPr="00C2368C">
        <w:rPr>
          <w:rFonts w:eastAsia="Times New Roman"/>
          <w:snapToGrid w:val="0"/>
        </w:rPr>
        <w:t xml:space="preserve"> devant l’indication de la grosseur nominale du boudin</w:t>
      </w:r>
      <w:r w:rsidRPr="00C2368C">
        <w:rPr>
          <w:rFonts w:eastAsia="Times New Roman"/>
          <w:snapToGrid w:val="0"/>
        </w:rPr>
        <w:t> </w:t>
      </w:r>
      <w:r w:rsidR="00291774" w:rsidRPr="00C2368C">
        <w:rPr>
          <w:rFonts w:eastAsia="Times New Roman"/>
          <w:snapToGrid w:val="0"/>
        </w:rPr>
        <w:t>;</w:t>
      </w:r>
      <w:r w:rsidRPr="00C2368C">
        <w:rPr>
          <w:rFonts w:eastAsia="Times New Roman"/>
          <w:snapToGrid w:val="0"/>
        </w:rPr>
        <w:t> ».</w:t>
      </w:r>
    </w:p>
    <w:p w:rsidR="00291774" w:rsidRPr="00C2368C" w:rsidRDefault="00291774" w:rsidP="002B15D2">
      <w:pPr>
        <w:pStyle w:val="SingleTxtG"/>
        <w:rPr>
          <w:rFonts w:eastAsia="Times New Roman"/>
          <w:snapToGrid w:val="0"/>
        </w:rPr>
      </w:pPr>
      <w:r w:rsidRPr="00C2368C">
        <w:rPr>
          <w:rFonts w:eastAsia="Times New Roman"/>
          <w:i/>
          <w:iCs/>
          <w:snapToGrid w:val="0"/>
        </w:rPr>
        <w:t>Le paragraphe 2.44 (nouveau)</w:t>
      </w:r>
      <w:r w:rsidRPr="00C2368C">
        <w:rPr>
          <w:rFonts w:eastAsia="Times New Roman"/>
          <w:iCs/>
          <w:snapToGrid w:val="0"/>
        </w:rPr>
        <w:t>,</w:t>
      </w:r>
      <w:r w:rsidRPr="00C2368C">
        <w:rPr>
          <w:rFonts w:eastAsia="Times New Roman"/>
          <w:snapToGrid w:val="0"/>
        </w:rPr>
        <w:t xml:space="preserve"> devient le paragraphe 2.43 et est modifié comme suit</w:t>
      </w:r>
      <w:r w:rsidR="00B76009" w:rsidRPr="00C2368C">
        <w:rPr>
          <w:rFonts w:eastAsia="Times New Roman"/>
          <w:snapToGrid w:val="0"/>
        </w:rPr>
        <w:t> </w:t>
      </w:r>
      <w:r w:rsidRPr="00C2368C">
        <w:rPr>
          <w:rFonts w:eastAsia="Times New Roman"/>
          <w:snapToGrid w:val="0"/>
        </w:rPr>
        <w:t>:</w:t>
      </w:r>
    </w:p>
    <w:p w:rsidR="00291774" w:rsidRPr="00C2368C" w:rsidRDefault="00B177AA" w:rsidP="00B177AA">
      <w:pPr>
        <w:pStyle w:val="SingleTxtG"/>
        <w:ind w:left="2268" w:hanging="1134"/>
        <w:rPr>
          <w:snapToGrid w:val="0"/>
        </w:rPr>
      </w:pPr>
      <w:r w:rsidRPr="00C2368C">
        <w:rPr>
          <w:snapToGrid w:val="0"/>
        </w:rPr>
        <w:t>« </w:t>
      </w:r>
      <w:r w:rsidR="00291774" w:rsidRPr="00C2368C">
        <w:rPr>
          <w:snapToGrid w:val="0"/>
        </w:rPr>
        <w:t>2.43</w:t>
      </w:r>
      <w:r w:rsidR="00291774" w:rsidRPr="00C2368C">
        <w:rPr>
          <w:snapToGrid w:val="0"/>
        </w:rPr>
        <w:tab/>
      </w:r>
      <w:r w:rsidR="007101E1" w:rsidRPr="00C2368C">
        <w:rPr>
          <w:snapToGrid w:val="0"/>
        </w:rPr>
        <w:t>“</w:t>
      </w:r>
      <w:r w:rsidR="00291774" w:rsidRPr="00C2368C">
        <w:rPr>
          <w:snapToGrid w:val="0"/>
        </w:rPr>
        <w:t>Hauteur de la partie comprimée</w:t>
      </w:r>
      <w:r w:rsidR="007101E1" w:rsidRPr="00C2368C">
        <w:rPr>
          <w:snapToGrid w:val="0"/>
        </w:rPr>
        <w:t>”</w:t>
      </w:r>
      <w:r w:rsidR="00291774" w:rsidRPr="00C2368C">
        <w:rPr>
          <w:snapToGrid w:val="0"/>
        </w:rPr>
        <w:t>,</w:t>
      </w:r>
      <w:r w:rsidR="00291774" w:rsidRPr="00C2368C">
        <w:t xml:space="preserve"> </w:t>
      </w:r>
      <w:r w:rsidR="00291774" w:rsidRPr="00C2368C">
        <w:rPr>
          <w:snapToGrid w:val="0"/>
        </w:rPr>
        <w:t>la différence entre le rayon du pneumatique comprimé, mesuré à partir du centre de la jante jusqu’à la surface du tambour, et la moitié du diamètre nominal de la jante, tel qu’il est défini au paragraphe 2.25 du présent Règlement.</w:t>
      </w:r>
      <w:r w:rsidR="007101E1" w:rsidRPr="00C2368C">
        <w:rPr>
          <w:snapToGrid w:val="0"/>
        </w:rPr>
        <w:t> »</w:t>
      </w:r>
      <w:r w:rsidR="00291774" w:rsidRPr="00C2368C">
        <w:rPr>
          <w:snapToGrid w:val="0"/>
        </w:rPr>
        <w:t>.</w:t>
      </w:r>
    </w:p>
    <w:p w:rsidR="00291774" w:rsidRPr="00C2368C" w:rsidRDefault="00291774" w:rsidP="002B15D2">
      <w:pPr>
        <w:pStyle w:val="SingleTxtG"/>
        <w:rPr>
          <w:rFonts w:eastAsia="Times New Roman"/>
          <w:snapToGrid w:val="0"/>
        </w:rPr>
      </w:pPr>
      <w:r w:rsidRPr="00C2368C">
        <w:rPr>
          <w:rFonts w:eastAsia="Times New Roman"/>
          <w:i/>
          <w:iCs/>
          <w:snapToGrid w:val="0"/>
        </w:rPr>
        <w:t>Paragraphe 3.1.5.1</w:t>
      </w:r>
      <w:r w:rsidRPr="00C2368C">
        <w:rPr>
          <w:rFonts w:eastAsia="Times New Roman"/>
          <w:iCs/>
          <w:snapToGrid w:val="0"/>
        </w:rPr>
        <w:t>,</w:t>
      </w:r>
      <w:r w:rsidRPr="00C2368C">
        <w:rPr>
          <w:rFonts w:eastAsia="Times New Roman"/>
          <w:snapToGrid w:val="0"/>
        </w:rPr>
        <w:t xml:space="preserve"> </w:t>
      </w:r>
      <w:r w:rsidR="004F2B9D" w:rsidRPr="00C2368C">
        <w:rPr>
          <w:rFonts w:eastAsia="Times New Roman"/>
          <w:snapToGrid w:val="0"/>
        </w:rPr>
        <w:t>modifier comme suit </w:t>
      </w:r>
      <w:r w:rsidRPr="00C2368C">
        <w:rPr>
          <w:rFonts w:eastAsia="Times New Roman"/>
          <w:snapToGrid w:val="0"/>
        </w:rPr>
        <w:t>:</w:t>
      </w:r>
    </w:p>
    <w:p w:rsidR="00291774" w:rsidRPr="00C2368C" w:rsidRDefault="004F2B9D" w:rsidP="0091610C">
      <w:pPr>
        <w:pStyle w:val="SingleTxtG"/>
        <w:ind w:left="2268" w:hanging="1134"/>
        <w:rPr>
          <w:snapToGrid w:val="0"/>
        </w:rPr>
      </w:pPr>
      <w:r w:rsidRPr="00C2368C">
        <w:rPr>
          <w:rFonts w:eastAsia="Times New Roman"/>
          <w:snapToGrid w:val="0"/>
        </w:rPr>
        <w:t>« 3.1.5.1</w:t>
      </w:r>
      <w:r w:rsidR="0091610C" w:rsidRPr="00C2368C">
        <w:rPr>
          <w:rFonts w:eastAsia="Times New Roman"/>
          <w:snapToGrid w:val="0"/>
        </w:rPr>
        <w:tab/>
      </w:r>
      <w:r w:rsidR="00291774" w:rsidRPr="00C2368C">
        <w:rPr>
          <w:snapToGrid w:val="0"/>
        </w:rPr>
        <w:tab/>
        <w:t>Sur les pneumatiques conçus pour</w:t>
      </w:r>
      <w:r w:rsidR="0091610C" w:rsidRPr="00C2368C">
        <w:rPr>
          <w:snapToGrid w:val="0"/>
        </w:rPr>
        <w:t xml:space="preserve"> des vitesses supérieures à 300 </w:t>
      </w:r>
      <w:r w:rsidR="00291774" w:rsidRPr="00C2368C">
        <w:rPr>
          <w:snapToGrid w:val="0"/>
        </w:rPr>
        <w:t xml:space="preserve">km/h, outre ce qui est déjà prévu au paragraphe 2.25.3.4, un code de service composé du code de vitesse </w:t>
      </w:r>
      <w:r w:rsidR="0091610C" w:rsidRPr="00C2368C">
        <w:rPr>
          <w:snapToGrid w:val="0"/>
        </w:rPr>
        <w:t>“Y”</w:t>
      </w:r>
      <w:r w:rsidR="00291774" w:rsidRPr="00C2368C">
        <w:rPr>
          <w:snapToGrid w:val="0"/>
        </w:rPr>
        <w:t xml:space="preserve"> et d’un indice de capacité de charge correspondant. Le code de service doit figurer entre parenthèses, par exemple </w:t>
      </w:r>
      <w:r w:rsidR="002E448C">
        <w:rPr>
          <w:snapToGrid w:val="0"/>
        </w:rPr>
        <w:t>“</w:t>
      </w:r>
      <w:r w:rsidR="00291774" w:rsidRPr="00C2368C">
        <w:rPr>
          <w:snapToGrid w:val="0"/>
        </w:rPr>
        <w:t>(95Y)</w:t>
      </w:r>
      <w:r w:rsidR="002E448C">
        <w:rPr>
          <w:snapToGrid w:val="0"/>
        </w:rPr>
        <w:t>”</w:t>
      </w:r>
      <w:r w:rsidR="0091610C" w:rsidRPr="00C2368C">
        <w:rPr>
          <w:snapToGrid w:val="0"/>
        </w:rPr>
        <w:t>. »</w:t>
      </w:r>
      <w:r w:rsidR="00291774" w:rsidRPr="00C2368C">
        <w:rPr>
          <w:snapToGrid w:val="0"/>
        </w:rPr>
        <w:t>.</w:t>
      </w:r>
    </w:p>
    <w:p w:rsidR="00291774" w:rsidRPr="00C2368C" w:rsidRDefault="00291774" w:rsidP="002B15D2">
      <w:pPr>
        <w:pStyle w:val="SingleTxtG"/>
        <w:rPr>
          <w:rFonts w:eastAsia="Times New Roman"/>
          <w:snapToGrid w:val="0"/>
        </w:rPr>
      </w:pPr>
      <w:r w:rsidRPr="00C2368C">
        <w:rPr>
          <w:rFonts w:eastAsia="Times New Roman"/>
          <w:i/>
          <w:iCs/>
          <w:snapToGrid w:val="0"/>
        </w:rPr>
        <w:t>Le paragraphe 3.1.11 (ancien)</w:t>
      </w:r>
      <w:r w:rsidRPr="00C2368C">
        <w:rPr>
          <w:rFonts w:eastAsia="Times New Roman"/>
          <w:snapToGrid w:val="0"/>
        </w:rPr>
        <w:t xml:space="preserve"> devient le paragraphe 3.1.10.</w:t>
      </w:r>
    </w:p>
    <w:p w:rsidR="00291774" w:rsidRPr="00C2368C" w:rsidRDefault="00291774" w:rsidP="002B15D2">
      <w:pPr>
        <w:pStyle w:val="SingleTxtG"/>
        <w:rPr>
          <w:rFonts w:eastAsia="Times New Roman"/>
          <w:snapToGrid w:val="0"/>
        </w:rPr>
      </w:pPr>
      <w:r w:rsidRPr="00C2368C">
        <w:rPr>
          <w:rFonts w:eastAsia="Times New Roman"/>
          <w:i/>
          <w:iCs/>
          <w:snapToGrid w:val="0"/>
        </w:rPr>
        <w:t>Paragraphe 3.1.11 (nouveau)</w:t>
      </w:r>
      <w:r w:rsidRPr="00C2368C">
        <w:rPr>
          <w:rFonts w:eastAsia="Times New Roman"/>
          <w:snapToGrid w:val="0"/>
        </w:rPr>
        <w:t>, remplacer 2.25.7 par 2.24.7 et remplacer 2.25.4 par 2.24.4.</w:t>
      </w:r>
    </w:p>
    <w:p w:rsidR="00291774" w:rsidRPr="00C2368C" w:rsidRDefault="00291774" w:rsidP="002B15D2">
      <w:pPr>
        <w:pStyle w:val="SingleTxtG"/>
        <w:rPr>
          <w:rFonts w:eastAsia="Times New Roman"/>
          <w:snapToGrid w:val="0"/>
        </w:rPr>
      </w:pPr>
      <w:r w:rsidRPr="00C2368C">
        <w:rPr>
          <w:rFonts w:eastAsia="Times New Roman"/>
          <w:i/>
          <w:iCs/>
          <w:snapToGrid w:val="0"/>
        </w:rPr>
        <w:t>Paragraphe 3.4.1</w:t>
      </w:r>
      <w:r w:rsidRPr="00C2368C">
        <w:rPr>
          <w:rFonts w:eastAsia="Times New Roman"/>
          <w:iCs/>
          <w:snapToGrid w:val="0"/>
        </w:rPr>
        <w:t>,</w:t>
      </w:r>
      <w:r w:rsidRPr="00C2368C">
        <w:rPr>
          <w:rFonts w:eastAsia="Times New Roman"/>
          <w:i/>
          <w:iCs/>
          <w:snapToGrid w:val="0"/>
        </w:rPr>
        <w:t xml:space="preserve"> </w:t>
      </w:r>
      <w:r w:rsidRPr="00C2368C">
        <w:rPr>
          <w:rFonts w:eastAsia="Times New Roman"/>
          <w:snapToGrid w:val="0"/>
        </w:rPr>
        <w:t>remplacer 3.1.10 par 2.26.1.</w:t>
      </w:r>
    </w:p>
    <w:p w:rsidR="00291774" w:rsidRPr="00C2368C" w:rsidRDefault="00291774" w:rsidP="002B15D2">
      <w:pPr>
        <w:pStyle w:val="SingleTxtG"/>
        <w:rPr>
          <w:rFonts w:eastAsia="Times New Roman"/>
          <w:snapToGrid w:val="0"/>
        </w:rPr>
      </w:pPr>
      <w:r w:rsidRPr="00C2368C">
        <w:rPr>
          <w:rFonts w:eastAsia="Times New Roman"/>
          <w:i/>
          <w:iCs/>
          <w:snapToGrid w:val="0"/>
        </w:rPr>
        <w:t>Paragraphe 4.1.14</w:t>
      </w:r>
      <w:r w:rsidRPr="00C2368C">
        <w:rPr>
          <w:rFonts w:eastAsia="Times New Roman"/>
          <w:snapToGrid w:val="0"/>
        </w:rPr>
        <w:t>, modifier comme suit</w:t>
      </w:r>
      <w:r w:rsidR="00F821CB" w:rsidRPr="00C2368C">
        <w:rPr>
          <w:rFonts w:eastAsia="Times New Roman"/>
          <w:snapToGrid w:val="0"/>
        </w:rPr>
        <w:t> </w:t>
      </w:r>
      <w:r w:rsidRPr="00C2368C">
        <w:rPr>
          <w:rFonts w:eastAsia="Times New Roman"/>
          <w:snapToGrid w:val="0"/>
        </w:rPr>
        <w:t>:</w:t>
      </w:r>
    </w:p>
    <w:p w:rsidR="00291774" w:rsidRPr="00C2368C" w:rsidRDefault="00F821CB" w:rsidP="00291774">
      <w:pPr>
        <w:suppressAutoHyphens w:val="0"/>
        <w:kinsoku/>
        <w:overflowPunct/>
        <w:autoSpaceDE/>
        <w:autoSpaceDN/>
        <w:adjustRightInd/>
        <w:snapToGrid/>
        <w:spacing w:after="120"/>
        <w:ind w:left="2268" w:right="1042" w:hanging="1134"/>
        <w:jc w:val="both"/>
        <w:rPr>
          <w:rFonts w:eastAsia="Times New Roman"/>
          <w:snapToGrid w:val="0"/>
        </w:rPr>
      </w:pPr>
      <w:r w:rsidRPr="00C2368C">
        <w:rPr>
          <w:rFonts w:eastAsia="Times New Roman"/>
          <w:snapToGrid w:val="0"/>
        </w:rPr>
        <w:t>« </w:t>
      </w:r>
      <w:r w:rsidR="00291774" w:rsidRPr="00C2368C">
        <w:rPr>
          <w:rFonts w:eastAsia="Times New Roman"/>
          <w:snapToGrid w:val="0"/>
        </w:rPr>
        <w:t>4.1.14</w:t>
      </w:r>
      <w:r w:rsidR="00291774" w:rsidRPr="00C2368C">
        <w:rPr>
          <w:rFonts w:eastAsia="Times New Roman"/>
          <w:snapToGrid w:val="0"/>
        </w:rPr>
        <w:tab/>
        <w:t>Le facteur X mentionné au paragraphe 2.27 ci-dessus.</w:t>
      </w:r>
      <w:r w:rsidRPr="00C2368C">
        <w:rPr>
          <w:rFonts w:eastAsia="Times New Roman"/>
          <w:snapToGrid w:val="0"/>
        </w:rPr>
        <w:t> ».</w:t>
      </w:r>
    </w:p>
    <w:p w:rsidR="00291774" w:rsidRPr="00C2368C" w:rsidRDefault="00291774" w:rsidP="00B177AA">
      <w:pPr>
        <w:pStyle w:val="SingleTxtG"/>
        <w:rPr>
          <w:rFonts w:eastAsia="Times New Roman"/>
          <w:snapToGrid w:val="0"/>
        </w:rPr>
      </w:pPr>
      <w:r w:rsidRPr="00C2368C">
        <w:rPr>
          <w:rFonts w:eastAsia="Times New Roman"/>
          <w:i/>
          <w:iCs/>
          <w:snapToGrid w:val="0"/>
        </w:rPr>
        <w:t>Paragraphe 6.1.1.3</w:t>
      </w:r>
      <w:r w:rsidRPr="00C2368C">
        <w:rPr>
          <w:rFonts w:eastAsia="Times New Roman"/>
          <w:iCs/>
          <w:snapToGrid w:val="0"/>
        </w:rPr>
        <w:t>,</w:t>
      </w:r>
      <w:r w:rsidRPr="00C2368C">
        <w:rPr>
          <w:rFonts w:eastAsia="Times New Roman"/>
          <w:i/>
          <w:iCs/>
          <w:snapToGrid w:val="0"/>
        </w:rPr>
        <w:t xml:space="preserve"> </w:t>
      </w:r>
      <w:r w:rsidRPr="00C2368C">
        <w:rPr>
          <w:rFonts w:eastAsia="Times New Roman"/>
          <w:snapToGrid w:val="0"/>
        </w:rPr>
        <w:t>remplacer 3.1.10 par 2.26.1.</w:t>
      </w:r>
    </w:p>
    <w:p w:rsidR="00291774" w:rsidRPr="00C2368C" w:rsidRDefault="00291774" w:rsidP="00B177AA">
      <w:pPr>
        <w:pStyle w:val="SingleTxtG"/>
        <w:rPr>
          <w:rFonts w:eastAsia="Times New Roman"/>
          <w:snapToGrid w:val="0"/>
        </w:rPr>
      </w:pPr>
      <w:r w:rsidRPr="00C2368C">
        <w:rPr>
          <w:rFonts w:eastAsia="Times New Roman"/>
          <w:i/>
          <w:iCs/>
          <w:snapToGrid w:val="0"/>
        </w:rPr>
        <w:t>Paragraphe 6.1.2.3</w:t>
      </w:r>
      <w:r w:rsidRPr="00C2368C">
        <w:rPr>
          <w:rFonts w:eastAsia="Times New Roman"/>
          <w:iCs/>
          <w:snapToGrid w:val="0"/>
        </w:rPr>
        <w:t>,</w:t>
      </w:r>
      <w:r w:rsidRPr="00C2368C">
        <w:rPr>
          <w:rFonts w:eastAsia="Times New Roman"/>
          <w:i/>
          <w:iCs/>
          <w:snapToGrid w:val="0"/>
        </w:rPr>
        <w:t xml:space="preserve"> </w:t>
      </w:r>
      <w:r w:rsidRPr="00C2368C">
        <w:rPr>
          <w:rFonts w:eastAsia="Times New Roman"/>
          <w:snapToGrid w:val="0"/>
        </w:rPr>
        <w:t>remplacer 3.1.10 par 2.26.1.</w:t>
      </w:r>
    </w:p>
    <w:p w:rsidR="00291774" w:rsidRPr="00C2368C" w:rsidRDefault="00291774" w:rsidP="00B177AA">
      <w:pPr>
        <w:pStyle w:val="SingleTxtG"/>
        <w:rPr>
          <w:rFonts w:eastAsia="Times New Roman"/>
          <w:snapToGrid w:val="0"/>
        </w:rPr>
      </w:pPr>
      <w:r w:rsidRPr="00C2368C">
        <w:rPr>
          <w:rFonts w:eastAsia="Times New Roman"/>
          <w:i/>
          <w:iCs/>
          <w:snapToGrid w:val="0"/>
        </w:rPr>
        <w:t>Paragraphe 6.1.4.2.4</w:t>
      </w:r>
      <w:r w:rsidRPr="00C2368C">
        <w:rPr>
          <w:rFonts w:eastAsia="Times New Roman"/>
          <w:iCs/>
          <w:snapToGrid w:val="0"/>
        </w:rPr>
        <w:t>,</w:t>
      </w:r>
      <w:r w:rsidRPr="00C2368C">
        <w:rPr>
          <w:rFonts w:eastAsia="Times New Roman"/>
          <w:i/>
          <w:iCs/>
          <w:snapToGrid w:val="0"/>
        </w:rPr>
        <w:t xml:space="preserve"> </w:t>
      </w:r>
      <w:r w:rsidRPr="00C2368C">
        <w:rPr>
          <w:rFonts w:eastAsia="Times New Roman"/>
          <w:snapToGrid w:val="0"/>
        </w:rPr>
        <w:t>remplacer 3.1.10 par 2.26.1.</w:t>
      </w:r>
    </w:p>
    <w:p w:rsidR="00291774" w:rsidRPr="00C2368C" w:rsidRDefault="00291774" w:rsidP="00B177AA">
      <w:pPr>
        <w:pStyle w:val="SingleTxtG"/>
        <w:rPr>
          <w:rFonts w:eastAsia="Times New Roman"/>
          <w:snapToGrid w:val="0"/>
        </w:rPr>
      </w:pPr>
      <w:r w:rsidRPr="00C2368C">
        <w:rPr>
          <w:rFonts w:eastAsia="Times New Roman"/>
          <w:i/>
          <w:iCs/>
          <w:snapToGrid w:val="0"/>
        </w:rPr>
        <w:t>Paragraphe 6.1.5.1</w:t>
      </w:r>
      <w:r w:rsidRPr="00C2368C">
        <w:rPr>
          <w:rFonts w:eastAsia="Times New Roman"/>
          <w:iCs/>
          <w:snapToGrid w:val="0"/>
        </w:rPr>
        <w:t>,</w:t>
      </w:r>
      <w:r w:rsidRPr="00C2368C">
        <w:rPr>
          <w:rFonts w:eastAsia="Times New Roman"/>
          <w:i/>
          <w:iCs/>
          <w:snapToGrid w:val="0"/>
        </w:rPr>
        <w:t xml:space="preserve"> </w:t>
      </w:r>
      <w:r w:rsidRPr="00C2368C">
        <w:rPr>
          <w:rFonts w:eastAsia="Times New Roman"/>
          <w:snapToGrid w:val="0"/>
        </w:rPr>
        <w:t>remplacer 3.1.10 par 2.26.1.</w:t>
      </w:r>
    </w:p>
    <w:p w:rsidR="00291774" w:rsidRPr="00C2368C" w:rsidRDefault="00291774" w:rsidP="00291774">
      <w:pPr>
        <w:suppressAutoHyphens w:val="0"/>
        <w:kinsoku/>
        <w:overflowPunct/>
        <w:autoSpaceDE/>
        <w:autoSpaceDN/>
        <w:adjustRightInd/>
        <w:snapToGrid/>
        <w:spacing w:after="120"/>
        <w:ind w:left="2268" w:right="1042" w:hanging="1134"/>
        <w:jc w:val="both"/>
        <w:rPr>
          <w:rFonts w:eastAsia="Times New Roman"/>
          <w:i/>
          <w:iCs/>
          <w:snapToGrid w:val="0"/>
        </w:rPr>
      </w:pPr>
      <w:r w:rsidRPr="00C2368C">
        <w:rPr>
          <w:rFonts w:eastAsia="Times New Roman"/>
          <w:i/>
          <w:iCs/>
          <w:snapToGrid w:val="0"/>
        </w:rPr>
        <w:t>Annexe 3,</w:t>
      </w:r>
    </w:p>
    <w:p w:rsidR="00291774" w:rsidRPr="00C2368C" w:rsidRDefault="00291774" w:rsidP="00B177AA">
      <w:pPr>
        <w:pStyle w:val="SingleTxtG"/>
        <w:rPr>
          <w:rFonts w:eastAsia="Times New Roman"/>
          <w:snapToGrid w:val="0"/>
        </w:rPr>
      </w:pPr>
      <w:r w:rsidRPr="00C2368C">
        <w:rPr>
          <w:rFonts w:eastAsia="Times New Roman"/>
          <w:i/>
          <w:iCs/>
          <w:snapToGrid w:val="0"/>
        </w:rPr>
        <w:t>Paragraphe 2</w:t>
      </w:r>
      <w:r w:rsidRPr="00C2368C">
        <w:rPr>
          <w:rFonts w:eastAsia="Times New Roman"/>
          <w:iCs/>
          <w:snapToGrid w:val="0"/>
        </w:rPr>
        <w:t>,</w:t>
      </w:r>
      <w:r w:rsidRPr="00C2368C">
        <w:rPr>
          <w:rFonts w:eastAsia="Times New Roman"/>
          <w:snapToGrid w:val="0"/>
        </w:rPr>
        <w:t xml:space="preserve"> remplacer 2.25.3 par 2.24.3.</w:t>
      </w:r>
    </w:p>
    <w:p w:rsidR="00291774" w:rsidRPr="00C2368C" w:rsidRDefault="00291774" w:rsidP="00B177AA">
      <w:pPr>
        <w:pStyle w:val="SingleTxtG"/>
        <w:rPr>
          <w:rFonts w:eastAsia="Times New Roman"/>
          <w:snapToGrid w:val="0"/>
        </w:rPr>
      </w:pPr>
      <w:r w:rsidRPr="00C2368C">
        <w:rPr>
          <w:rFonts w:eastAsia="Times New Roman"/>
          <w:i/>
          <w:iCs/>
          <w:snapToGrid w:val="0"/>
        </w:rPr>
        <w:t>Paragraphe 3</w:t>
      </w:r>
      <w:r w:rsidRPr="00C2368C">
        <w:rPr>
          <w:rFonts w:eastAsia="Times New Roman"/>
          <w:iCs/>
          <w:snapToGrid w:val="0"/>
        </w:rPr>
        <w:t>,</w:t>
      </w:r>
      <w:r w:rsidRPr="00C2368C">
        <w:rPr>
          <w:rFonts w:eastAsia="Times New Roman"/>
          <w:snapToGrid w:val="0"/>
        </w:rPr>
        <w:t xml:space="preserve"> modifier comme suit</w:t>
      </w:r>
      <w:r w:rsidR="002221E2" w:rsidRPr="00C2368C">
        <w:rPr>
          <w:rFonts w:eastAsia="Times New Roman"/>
          <w:snapToGrid w:val="0"/>
        </w:rPr>
        <w:t> </w:t>
      </w:r>
      <w:r w:rsidRPr="00C2368C">
        <w:rPr>
          <w:rFonts w:eastAsia="Times New Roman"/>
          <w:snapToGrid w:val="0"/>
        </w:rPr>
        <w:t>:</w:t>
      </w:r>
    </w:p>
    <w:p w:rsidR="00F9573C" w:rsidRPr="00C2368C" w:rsidRDefault="002221E2" w:rsidP="002221E2">
      <w:pPr>
        <w:pStyle w:val="SingleTxtG"/>
        <w:ind w:left="2268" w:hanging="1134"/>
      </w:pPr>
      <w:r w:rsidRPr="00C2368C">
        <w:rPr>
          <w:rFonts w:eastAsia="Times New Roman"/>
          <w:snapToGrid w:val="0"/>
        </w:rPr>
        <w:t>« </w:t>
      </w:r>
      <w:r w:rsidR="00291774" w:rsidRPr="00C2368C">
        <w:rPr>
          <w:rFonts w:eastAsia="Times New Roman"/>
          <w:snapToGrid w:val="0"/>
        </w:rPr>
        <w:t>3.</w:t>
      </w:r>
      <w:r w:rsidR="00291774" w:rsidRPr="00C2368C">
        <w:rPr>
          <w:rFonts w:eastAsia="Times New Roman"/>
          <w:snapToGrid w:val="0"/>
        </w:rPr>
        <w:tab/>
      </w:r>
      <w:r w:rsidR="00291774" w:rsidRPr="00C2368C">
        <w:rPr>
          <w:snapToGrid w:val="0"/>
        </w:rPr>
        <w:t>Les</w:t>
      </w:r>
      <w:r w:rsidR="00291774" w:rsidRPr="00C2368C">
        <w:rPr>
          <w:rFonts w:eastAsia="Times New Roman"/>
          <w:snapToGrid w:val="0"/>
        </w:rPr>
        <w:t xml:space="preserve"> inscriptions constituant la désignation du pneumatique doivent être di</w:t>
      </w:r>
      <w:r w:rsidRPr="00C2368C">
        <w:rPr>
          <w:rFonts w:eastAsia="Times New Roman"/>
          <w:snapToGrid w:val="0"/>
        </w:rPr>
        <w:t>sposées comme suit </w:t>
      </w:r>
      <w:r w:rsidR="00291774" w:rsidRPr="00C2368C">
        <w:rPr>
          <w:rFonts w:eastAsia="Times New Roman"/>
          <w:snapToGrid w:val="0"/>
        </w:rPr>
        <w:t>:</w:t>
      </w:r>
    </w:p>
    <w:p w:rsidR="00291774" w:rsidRPr="00C2368C" w:rsidRDefault="00291774" w:rsidP="005979E9">
      <w:pPr>
        <w:pStyle w:val="SingleTxtG"/>
        <w:ind w:left="2835" w:hanging="567"/>
        <w:rPr>
          <w:snapToGrid w:val="0"/>
        </w:rPr>
      </w:pPr>
      <w:r w:rsidRPr="00C2368C">
        <w:rPr>
          <w:snapToGrid w:val="0"/>
        </w:rPr>
        <w:t>a)</w:t>
      </w:r>
      <w:r w:rsidRPr="00C2368C">
        <w:rPr>
          <w:snapToGrid w:val="0"/>
        </w:rPr>
        <w:tab/>
        <w:t>La désignation de la dimension doit apparaître sous forme groupée, comme indiqué dans les exemples suivants : 185/70</w:t>
      </w:r>
      <w:r w:rsidR="00B93535" w:rsidRPr="00C2368C">
        <w:rPr>
          <w:snapToGrid w:val="0"/>
        </w:rPr>
        <w:t> </w:t>
      </w:r>
      <w:r w:rsidRPr="00C2368C">
        <w:rPr>
          <w:snapToGrid w:val="0"/>
        </w:rPr>
        <w:t>R</w:t>
      </w:r>
      <w:r w:rsidR="00B93535" w:rsidRPr="00C2368C">
        <w:rPr>
          <w:snapToGrid w:val="0"/>
        </w:rPr>
        <w:t> </w:t>
      </w:r>
      <w:r w:rsidRPr="00C2368C">
        <w:rPr>
          <w:snapToGrid w:val="0"/>
        </w:rPr>
        <w:t>14, P185/70</w:t>
      </w:r>
      <w:r w:rsidR="00B93535" w:rsidRPr="00C2368C">
        <w:rPr>
          <w:snapToGrid w:val="0"/>
        </w:rPr>
        <w:t> </w:t>
      </w:r>
      <w:r w:rsidRPr="00C2368C">
        <w:rPr>
          <w:snapToGrid w:val="0"/>
        </w:rPr>
        <w:t>R</w:t>
      </w:r>
      <w:r w:rsidR="00B93535" w:rsidRPr="00C2368C">
        <w:rPr>
          <w:snapToGrid w:val="0"/>
        </w:rPr>
        <w:t> </w:t>
      </w:r>
      <w:r w:rsidRPr="00C2368C">
        <w:rPr>
          <w:snapToGrid w:val="0"/>
        </w:rPr>
        <w:t>14, T185/70</w:t>
      </w:r>
      <w:r w:rsidR="00B93535" w:rsidRPr="00C2368C">
        <w:rPr>
          <w:snapToGrid w:val="0"/>
        </w:rPr>
        <w:t> R </w:t>
      </w:r>
      <w:r w:rsidRPr="00C2368C">
        <w:rPr>
          <w:snapToGrid w:val="0"/>
        </w:rPr>
        <w:t>14 et 185-560</w:t>
      </w:r>
      <w:r w:rsidR="00B93535" w:rsidRPr="00C2368C">
        <w:rPr>
          <w:snapToGrid w:val="0"/>
        </w:rPr>
        <w:t> </w:t>
      </w:r>
      <w:r w:rsidRPr="00C2368C">
        <w:rPr>
          <w:snapToGrid w:val="0"/>
        </w:rPr>
        <w:t>R</w:t>
      </w:r>
      <w:r w:rsidR="00B93535" w:rsidRPr="00C2368C">
        <w:rPr>
          <w:snapToGrid w:val="0"/>
        </w:rPr>
        <w:t> </w:t>
      </w:r>
      <w:r w:rsidRPr="00C2368C">
        <w:rPr>
          <w:snapToGrid w:val="0"/>
        </w:rPr>
        <w:t>400A ou 185-560</w:t>
      </w:r>
      <w:r w:rsidR="00B93535" w:rsidRPr="00C2368C">
        <w:rPr>
          <w:snapToGrid w:val="0"/>
        </w:rPr>
        <w:t> </w:t>
      </w:r>
      <w:r w:rsidRPr="00C2368C">
        <w:rPr>
          <w:snapToGrid w:val="0"/>
        </w:rPr>
        <w:t>R</w:t>
      </w:r>
      <w:r w:rsidR="00B93535" w:rsidRPr="00C2368C">
        <w:rPr>
          <w:snapToGrid w:val="0"/>
        </w:rPr>
        <w:t> </w:t>
      </w:r>
      <w:r w:rsidRPr="00C2368C">
        <w:rPr>
          <w:snapToGrid w:val="0"/>
        </w:rPr>
        <w:t>400U</w:t>
      </w:r>
      <w:r w:rsidR="005979E9" w:rsidRPr="00C2368C">
        <w:rPr>
          <w:snapToGrid w:val="0"/>
        </w:rPr>
        <w:t> </w:t>
      </w:r>
      <w:r w:rsidRPr="00C2368C">
        <w:rPr>
          <w:snapToGrid w:val="0"/>
        </w:rPr>
        <w:t>;</w:t>
      </w:r>
    </w:p>
    <w:p w:rsidR="00291774" w:rsidRPr="00C2368C" w:rsidRDefault="00291774" w:rsidP="005979E9">
      <w:pPr>
        <w:pStyle w:val="SingleTxtG"/>
        <w:ind w:left="2835" w:hanging="567"/>
        <w:rPr>
          <w:snapToGrid w:val="0"/>
        </w:rPr>
      </w:pPr>
      <w:r w:rsidRPr="00C2368C">
        <w:rPr>
          <w:snapToGrid w:val="0"/>
        </w:rPr>
        <w:t>b)</w:t>
      </w:r>
      <w:r w:rsidRPr="00C2368C">
        <w:rPr>
          <w:snapToGrid w:val="0"/>
        </w:rPr>
        <w:tab/>
        <w:t>La description de service composée de l’indice de charge et du code de symbole de vitesse doit être placée juste après la désignation de la dimension du pneumatique telle qu’elle est définie au paragraphe 2.24 du présent Règlement</w:t>
      </w:r>
      <w:r w:rsidR="005979E9" w:rsidRPr="00C2368C">
        <w:rPr>
          <w:snapToGrid w:val="0"/>
        </w:rPr>
        <w:t> </w:t>
      </w:r>
      <w:r w:rsidRPr="00C2368C">
        <w:rPr>
          <w:snapToGrid w:val="0"/>
        </w:rPr>
        <w:t>;</w:t>
      </w:r>
    </w:p>
    <w:p w:rsidR="00291774" w:rsidRPr="00C2368C" w:rsidRDefault="00291774" w:rsidP="005979E9">
      <w:pPr>
        <w:pStyle w:val="SingleTxtG"/>
        <w:ind w:left="2835" w:hanging="567"/>
        <w:rPr>
          <w:rFonts w:eastAsia="Times New Roman"/>
          <w:snapToGrid w:val="0"/>
        </w:rPr>
      </w:pPr>
      <w:r w:rsidRPr="00C2368C">
        <w:rPr>
          <w:rFonts w:eastAsia="Times New Roman"/>
          <w:snapToGrid w:val="0"/>
        </w:rPr>
        <w:lastRenderedPageBreak/>
        <w:t>c)</w:t>
      </w:r>
      <w:r w:rsidRPr="00C2368C">
        <w:rPr>
          <w:rFonts w:eastAsia="Times New Roman"/>
          <w:snapToGrid w:val="0"/>
        </w:rPr>
        <w:tab/>
        <w:t>Les inscriptions</w:t>
      </w:r>
      <w:r w:rsidR="00122EB9" w:rsidRPr="00C2368C">
        <w:rPr>
          <w:rFonts w:eastAsia="Times New Roman"/>
          <w:snapToGrid w:val="0"/>
        </w:rPr>
        <w:t xml:space="preserve"> </w:t>
      </w:r>
      <w:r w:rsidR="00562E80" w:rsidRPr="00C2368C">
        <w:rPr>
          <w:rFonts w:eastAsia="Times New Roman"/>
          <w:snapToGrid w:val="0"/>
        </w:rPr>
        <w:t>“</w:t>
      </w:r>
      <w:r w:rsidRPr="00C2368C">
        <w:rPr>
          <w:rFonts w:eastAsia="Times New Roman"/>
          <w:snapToGrid w:val="0"/>
        </w:rPr>
        <w:t>TUBELESS</w:t>
      </w:r>
      <w:r w:rsidR="00562E80" w:rsidRPr="00C2368C">
        <w:rPr>
          <w:rFonts w:eastAsia="Times New Roman"/>
          <w:snapToGrid w:val="0"/>
        </w:rPr>
        <w:t>”</w:t>
      </w:r>
      <w:r w:rsidRPr="00C2368C">
        <w:rPr>
          <w:rFonts w:eastAsia="Times New Roman"/>
          <w:snapToGrid w:val="0"/>
        </w:rPr>
        <w:t xml:space="preserve">, </w:t>
      </w:r>
      <w:r w:rsidR="00562E80" w:rsidRPr="00C2368C">
        <w:rPr>
          <w:rFonts w:eastAsia="Times New Roman"/>
          <w:snapToGrid w:val="0"/>
        </w:rPr>
        <w:t>“</w:t>
      </w:r>
      <w:r w:rsidRPr="00C2368C">
        <w:rPr>
          <w:rFonts w:eastAsia="Times New Roman"/>
          <w:snapToGrid w:val="0"/>
        </w:rPr>
        <w:t>REINFORCED</w:t>
      </w:r>
      <w:r w:rsidR="00562E80" w:rsidRPr="00C2368C">
        <w:rPr>
          <w:rFonts w:eastAsia="Times New Roman"/>
          <w:snapToGrid w:val="0"/>
        </w:rPr>
        <w:t>”</w:t>
      </w:r>
      <w:r w:rsidRPr="00C2368C">
        <w:rPr>
          <w:rFonts w:eastAsia="Times New Roman"/>
          <w:snapToGrid w:val="0"/>
        </w:rPr>
        <w:t xml:space="preserve">, </w:t>
      </w:r>
      <w:r w:rsidR="00562E80" w:rsidRPr="00C2368C">
        <w:rPr>
          <w:rFonts w:eastAsia="Times New Roman"/>
          <w:snapToGrid w:val="0"/>
        </w:rPr>
        <w:t>“</w:t>
      </w:r>
      <w:r w:rsidRPr="00C2368C">
        <w:rPr>
          <w:rFonts w:eastAsia="Times New Roman"/>
          <w:snapToGrid w:val="0"/>
        </w:rPr>
        <w:t>M + S</w:t>
      </w:r>
      <w:r w:rsidR="00562E80" w:rsidRPr="00C2368C">
        <w:rPr>
          <w:rFonts w:eastAsia="Times New Roman"/>
          <w:snapToGrid w:val="0"/>
        </w:rPr>
        <w:t>”</w:t>
      </w:r>
      <w:r w:rsidRPr="00C2368C">
        <w:rPr>
          <w:rFonts w:eastAsia="Times New Roman"/>
          <w:snapToGrid w:val="0"/>
        </w:rPr>
        <w:t xml:space="preserve"> </w:t>
      </w:r>
      <w:r w:rsidR="001D7860">
        <w:rPr>
          <w:rFonts w:eastAsia="Times New Roman"/>
          <w:snapToGrid w:val="0"/>
        </w:rPr>
        <w:t>et</w:t>
      </w:r>
      <w:r w:rsidRPr="00C2368C">
        <w:rPr>
          <w:rFonts w:eastAsia="Times New Roman"/>
          <w:snapToGrid w:val="0"/>
        </w:rPr>
        <w:t xml:space="preserve"> </w:t>
      </w:r>
      <w:r w:rsidR="00562E80" w:rsidRPr="00C2368C">
        <w:rPr>
          <w:rFonts w:eastAsia="Times New Roman"/>
          <w:snapToGrid w:val="0"/>
        </w:rPr>
        <w:t>“ET”</w:t>
      </w:r>
      <w:r w:rsidRPr="00C2368C">
        <w:rPr>
          <w:rFonts w:eastAsia="Times New Roman"/>
          <w:b/>
          <w:snapToGrid w:val="0"/>
        </w:rPr>
        <w:br/>
      </w:r>
      <w:r w:rsidR="00562E80" w:rsidRPr="00C2368C">
        <w:rPr>
          <w:rFonts w:eastAsia="Times New Roman"/>
          <w:snapToGrid w:val="0"/>
        </w:rPr>
        <w:t>et</w:t>
      </w:r>
      <w:r w:rsidRPr="00C2368C">
        <w:rPr>
          <w:rFonts w:eastAsia="Times New Roman"/>
          <w:snapToGrid w:val="0"/>
        </w:rPr>
        <w:t xml:space="preserve"> </w:t>
      </w:r>
      <w:r w:rsidR="00562E80" w:rsidRPr="00C2368C">
        <w:rPr>
          <w:rFonts w:eastAsia="Times New Roman"/>
          <w:snapToGrid w:val="0"/>
        </w:rPr>
        <w:t>“</w:t>
      </w:r>
      <w:r w:rsidRPr="00C2368C">
        <w:rPr>
          <w:rFonts w:eastAsia="Times New Roman"/>
          <w:snapToGrid w:val="0"/>
        </w:rPr>
        <w:t>POR</w:t>
      </w:r>
      <w:r w:rsidR="00562E80" w:rsidRPr="00C2368C">
        <w:rPr>
          <w:rFonts w:eastAsia="Times New Roman"/>
          <w:snapToGrid w:val="0"/>
        </w:rPr>
        <w:t>”</w:t>
      </w:r>
      <w:r w:rsidRPr="00C2368C">
        <w:rPr>
          <w:rFonts w:eastAsia="Times New Roman"/>
          <w:snapToGrid w:val="0"/>
        </w:rPr>
        <w:t xml:space="preserve"> peuvent être placées à une certaine distance de la désignation</w:t>
      </w:r>
      <w:r w:rsidR="00562E80" w:rsidRPr="00C2368C">
        <w:rPr>
          <w:rFonts w:eastAsia="Times New Roman"/>
          <w:snapToGrid w:val="0"/>
        </w:rPr>
        <w:t xml:space="preserve"> </w:t>
      </w:r>
      <w:r w:rsidRPr="00C2368C">
        <w:rPr>
          <w:rFonts w:eastAsia="Times New Roman"/>
          <w:snapToGrid w:val="0"/>
        </w:rPr>
        <w:t>de la dimension.</w:t>
      </w:r>
      <w:r w:rsidR="00562E80" w:rsidRPr="00C2368C">
        <w:rPr>
          <w:rFonts w:eastAsia="Times New Roman"/>
          <w:snapToGrid w:val="0"/>
        </w:rPr>
        <w:t> »</w:t>
      </w:r>
      <w:r w:rsidRPr="00C2368C">
        <w:rPr>
          <w:rFonts w:eastAsia="Times New Roman"/>
          <w:snapToGrid w:val="0"/>
        </w:rPr>
        <w:t>.</w:t>
      </w:r>
    </w:p>
    <w:p w:rsidR="00291774" w:rsidRPr="00C2368C" w:rsidRDefault="00291774" w:rsidP="008871FA">
      <w:pPr>
        <w:pStyle w:val="SingleTxtG"/>
        <w:rPr>
          <w:i/>
          <w:snapToGrid w:val="0"/>
        </w:rPr>
      </w:pPr>
      <w:r w:rsidRPr="00C2368C">
        <w:rPr>
          <w:i/>
          <w:snapToGrid w:val="0"/>
        </w:rPr>
        <w:t>Annexe 7,</w:t>
      </w:r>
    </w:p>
    <w:p w:rsidR="00291774" w:rsidRPr="00C2368C" w:rsidRDefault="00291774" w:rsidP="008871FA">
      <w:pPr>
        <w:pStyle w:val="SingleTxtG"/>
        <w:rPr>
          <w:snapToGrid w:val="0"/>
        </w:rPr>
      </w:pPr>
      <w:r w:rsidRPr="00C2368C">
        <w:rPr>
          <w:i/>
          <w:iCs/>
          <w:snapToGrid w:val="0"/>
        </w:rPr>
        <w:t>Paragraphe 2.2.2</w:t>
      </w:r>
      <w:r w:rsidRPr="00C2368C">
        <w:rPr>
          <w:iCs/>
          <w:snapToGrid w:val="0"/>
        </w:rPr>
        <w:t>,</w:t>
      </w:r>
      <w:r w:rsidRPr="00C2368C">
        <w:rPr>
          <w:snapToGrid w:val="0"/>
        </w:rPr>
        <w:t xml:space="preserve"> remplacer 2.37.2 par 2.39.2.</w:t>
      </w:r>
    </w:p>
    <w:p w:rsidR="00291774" w:rsidRPr="00C2368C" w:rsidRDefault="00291774" w:rsidP="008871FA">
      <w:pPr>
        <w:pStyle w:val="SingleTxtG"/>
        <w:rPr>
          <w:snapToGrid w:val="0"/>
        </w:rPr>
      </w:pPr>
      <w:r w:rsidRPr="00C2368C">
        <w:rPr>
          <w:i/>
          <w:iCs/>
          <w:snapToGrid w:val="0"/>
        </w:rPr>
        <w:t>Paragraphe 2.2.3</w:t>
      </w:r>
      <w:r w:rsidRPr="00C2368C">
        <w:rPr>
          <w:iCs/>
          <w:snapToGrid w:val="0"/>
        </w:rPr>
        <w:t>,</w:t>
      </w:r>
      <w:r w:rsidRPr="00C2368C">
        <w:rPr>
          <w:snapToGrid w:val="0"/>
        </w:rPr>
        <w:t xml:space="preserve"> remplacer 2.37.3 par 2.39.3.</w:t>
      </w:r>
    </w:p>
    <w:p w:rsidR="00291774" w:rsidRPr="00C2368C" w:rsidRDefault="00291774" w:rsidP="008871FA">
      <w:pPr>
        <w:pStyle w:val="SingleTxtG"/>
        <w:rPr>
          <w:snapToGrid w:val="0"/>
        </w:rPr>
      </w:pPr>
      <w:r w:rsidRPr="00C2368C">
        <w:rPr>
          <w:i/>
          <w:iCs/>
          <w:snapToGrid w:val="0"/>
        </w:rPr>
        <w:t>Paragraphe 2.2.4</w:t>
      </w:r>
      <w:r w:rsidRPr="00C2368C">
        <w:rPr>
          <w:iCs/>
          <w:snapToGrid w:val="0"/>
        </w:rPr>
        <w:t>,</w:t>
      </w:r>
      <w:r w:rsidRPr="00C2368C">
        <w:rPr>
          <w:snapToGrid w:val="0"/>
        </w:rPr>
        <w:t xml:space="preserve"> remplacer 2.37.4 par 2.39.4.</w:t>
      </w:r>
    </w:p>
    <w:p w:rsidR="00291774" w:rsidRPr="00C2368C" w:rsidRDefault="00291774" w:rsidP="008871FA">
      <w:pPr>
        <w:pStyle w:val="SingleTxtG"/>
        <w:rPr>
          <w:snapToGrid w:val="0"/>
        </w:rPr>
      </w:pPr>
      <w:r w:rsidRPr="00C2368C">
        <w:rPr>
          <w:i/>
          <w:iCs/>
          <w:snapToGrid w:val="0"/>
        </w:rPr>
        <w:t>Paragraphe 2.5.2,</w:t>
      </w:r>
      <w:r w:rsidRPr="00C2368C">
        <w:rPr>
          <w:snapToGrid w:val="0"/>
        </w:rPr>
        <w:t xml:space="preserve"> remplacer 2.34.1 par 2.36.1.</w:t>
      </w:r>
    </w:p>
    <w:p w:rsidR="00291774" w:rsidRPr="00C2368C" w:rsidRDefault="00291774" w:rsidP="001D7860">
      <w:pPr>
        <w:keepNext/>
        <w:keepLines/>
        <w:tabs>
          <w:tab w:val="right" w:pos="851"/>
        </w:tabs>
        <w:kinsoku/>
        <w:overflowPunct/>
        <w:autoSpaceDE/>
        <w:autoSpaceDN/>
        <w:adjustRightInd/>
        <w:snapToGrid/>
        <w:spacing w:after="240" w:line="300" w:lineRule="exact"/>
        <w:ind w:left="1134" w:right="1134" w:hanging="1134"/>
        <w:rPr>
          <w:rFonts w:eastAsia="Times New Roman"/>
          <w:b/>
          <w:sz w:val="28"/>
        </w:rPr>
      </w:pPr>
      <w:r w:rsidRPr="00C2368C">
        <w:rPr>
          <w:rFonts w:eastAsia="Times New Roman"/>
          <w:snapToGrid w:val="0"/>
        </w:rPr>
        <w:br w:type="page"/>
      </w:r>
      <w:r w:rsidRPr="00C2368C">
        <w:rPr>
          <w:rFonts w:eastAsia="Times New Roman"/>
          <w:b/>
          <w:sz w:val="28"/>
        </w:rPr>
        <w:lastRenderedPageBreak/>
        <w:t>Annexe IV</w:t>
      </w:r>
    </w:p>
    <w:p w:rsidR="00291774" w:rsidRPr="00C2368C" w:rsidRDefault="00291774" w:rsidP="00181DF0">
      <w:pPr>
        <w:pStyle w:val="HChG"/>
      </w:pPr>
      <w:r w:rsidRPr="00C2368C">
        <w:tab/>
      </w:r>
      <w:r w:rsidRPr="00C2368C">
        <w:tab/>
      </w:r>
      <w:r w:rsidRPr="00C2368C">
        <w:rPr>
          <w:rFonts w:ascii="Times New Roman Gras" w:hAnsi="Times New Roman Gras"/>
          <w:spacing w:val="-2"/>
        </w:rPr>
        <w:t>Amendements au document ECE/TRANS/WP.29/GRB/2019/</w:t>
      </w:r>
      <w:r w:rsidRPr="00C2368C">
        <w:t>7 adoptés (sur la base du document GRB-69-24-Rev.1)</w:t>
      </w:r>
    </w:p>
    <w:p w:rsidR="00291774" w:rsidRPr="00C2368C" w:rsidRDefault="00291774" w:rsidP="00181DF0">
      <w:pPr>
        <w:pStyle w:val="SingleTxtG"/>
        <w:rPr>
          <w:iCs/>
        </w:rPr>
      </w:pPr>
      <w:r w:rsidRPr="00C2368C">
        <w:rPr>
          <w:i/>
        </w:rPr>
        <w:t>Ajouter un nouveau paragraphe 12</w:t>
      </w:r>
      <w:r w:rsidRPr="00C2368C">
        <w:t>,</w:t>
      </w:r>
      <w:r w:rsidRPr="00C2368C">
        <w:rPr>
          <w:iCs/>
        </w:rPr>
        <w:t xml:space="preserve"> ainsi conçu</w:t>
      </w:r>
      <w:r w:rsidR="00181DF0" w:rsidRPr="00C2368C">
        <w:rPr>
          <w:iCs/>
        </w:rPr>
        <w:t> </w:t>
      </w:r>
      <w:r w:rsidRPr="00C2368C">
        <w:rPr>
          <w:iCs/>
        </w:rPr>
        <w:t>:</w:t>
      </w:r>
    </w:p>
    <w:p w:rsidR="00291774" w:rsidRPr="00C2368C" w:rsidRDefault="00291774" w:rsidP="00181DF0">
      <w:pPr>
        <w:pStyle w:val="HChG"/>
        <w:ind w:left="2268"/>
        <w:rPr>
          <w:snapToGrid w:val="0"/>
        </w:rPr>
      </w:pPr>
      <w:r w:rsidRPr="00C2368C">
        <w:rPr>
          <w:snapToGrid w:val="0"/>
        </w:rPr>
        <w:t>“12.</w:t>
      </w:r>
      <w:r w:rsidRPr="00C2368C">
        <w:rPr>
          <w:snapToGrid w:val="0"/>
        </w:rPr>
        <w:tab/>
        <w:t>Dispositions transitoires</w:t>
      </w:r>
    </w:p>
    <w:p w:rsidR="00291774" w:rsidRPr="00C2368C" w:rsidRDefault="008C153F" w:rsidP="008C153F">
      <w:pPr>
        <w:pStyle w:val="SingleTxtG"/>
        <w:ind w:left="2268" w:hanging="1134"/>
        <w:rPr>
          <w:b/>
          <w:snapToGrid w:val="0"/>
        </w:rPr>
      </w:pPr>
      <w:r w:rsidRPr="00C2368C">
        <w:rPr>
          <w:b/>
          <w:snapToGrid w:val="0"/>
        </w:rPr>
        <w:t>12.1</w:t>
      </w:r>
      <w:r w:rsidR="00291774" w:rsidRPr="00C2368C">
        <w:rPr>
          <w:b/>
          <w:snapToGrid w:val="0"/>
        </w:rPr>
        <w:tab/>
        <w:t>À compter de la date officielle d’entrée en vigueur du complément 18 à la série originale d’amendements, aucune Partie contractante appliquant le présent Règlement ne devra refuser d’accorder ou d’accepter une homologation de type au titre du complément XX à la version originale de ce Règlement.</w:t>
      </w:r>
    </w:p>
    <w:p w:rsidR="00291774" w:rsidRPr="00C2368C" w:rsidRDefault="008C153F" w:rsidP="008C153F">
      <w:pPr>
        <w:pStyle w:val="SingleTxtG"/>
        <w:ind w:left="2268" w:hanging="1134"/>
        <w:rPr>
          <w:b/>
          <w:snapToGrid w:val="0"/>
        </w:rPr>
      </w:pPr>
      <w:r w:rsidRPr="00C2368C">
        <w:rPr>
          <w:b/>
          <w:snapToGrid w:val="0"/>
        </w:rPr>
        <w:t>12.2</w:t>
      </w:r>
      <w:r w:rsidR="00291774" w:rsidRPr="00C2368C">
        <w:rPr>
          <w:b/>
          <w:snapToGrid w:val="0"/>
        </w:rPr>
        <w:tab/>
      </w:r>
      <w:r w:rsidRPr="00C2368C">
        <w:rPr>
          <w:b/>
          <w:snapToGrid w:val="0"/>
        </w:rPr>
        <w:t>À</w:t>
      </w:r>
      <w:r w:rsidR="00291774" w:rsidRPr="00C2368C">
        <w:rPr>
          <w:b/>
          <w:snapToGrid w:val="0"/>
        </w:rPr>
        <w:t xml:space="preserve"> compter du 1</w:t>
      </w:r>
      <w:r w:rsidR="00291774" w:rsidRPr="00C2368C">
        <w:rPr>
          <w:b/>
          <w:snapToGrid w:val="0"/>
          <w:vertAlign w:val="superscript"/>
        </w:rPr>
        <w:t>er</w:t>
      </w:r>
      <w:r w:rsidRPr="00C2368C">
        <w:rPr>
          <w:b/>
          <w:snapToGrid w:val="0"/>
        </w:rPr>
        <w:t> </w:t>
      </w:r>
      <w:r w:rsidR="00291774" w:rsidRPr="00C2368C">
        <w:rPr>
          <w:b/>
          <w:snapToGrid w:val="0"/>
        </w:rPr>
        <w:t>septembre 2020, aucune Partie contractante appliquant le présent Règlement ne devra accorder d’homologation de type au titre de la version originale de ce Règlement si le pneumatique à homologuer ne satisfait pas aux prescriptions du complément 18.</w:t>
      </w:r>
    </w:p>
    <w:p w:rsidR="005374A8" w:rsidRPr="00C2368C" w:rsidRDefault="008C153F" w:rsidP="008C153F">
      <w:pPr>
        <w:pStyle w:val="SingleTxtG"/>
        <w:ind w:left="2268" w:hanging="1134"/>
        <w:rPr>
          <w:snapToGrid w:val="0"/>
        </w:rPr>
      </w:pPr>
      <w:r w:rsidRPr="00C2368C">
        <w:rPr>
          <w:b/>
          <w:snapToGrid w:val="0"/>
        </w:rPr>
        <w:t>12.3</w:t>
      </w:r>
      <w:r w:rsidR="00291774" w:rsidRPr="00C2368C">
        <w:rPr>
          <w:b/>
          <w:snapToGrid w:val="0"/>
        </w:rPr>
        <w:tab/>
        <w:t>Pour les pneumatiques homologués pour la première fois avant le 31</w:t>
      </w:r>
      <w:r w:rsidRPr="00C2368C">
        <w:rPr>
          <w:b/>
          <w:snapToGrid w:val="0"/>
        </w:rPr>
        <w:t> </w:t>
      </w:r>
      <w:r w:rsidR="00291774" w:rsidRPr="00C2368C">
        <w:rPr>
          <w:b/>
          <w:snapToGrid w:val="0"/>
        </w:rPr>
        <w:t>août 2020, les Parties contractantes appliquant le présent Règlement pourront continuer à accorder des extensions d’homologations de type sans tenir compte des dispositions du complément 18.</w:t>
      </w:r>
      <w:r w:rsidR="005374A8" w:rsidRPr="00C2368C">
        <w:rPr>
          <w:snapToGrid w:val="0"/>
        </w:rPr>
        <w:t> »</w:t>
      </w:r>
      <w:r w:rsidR="00291774" w:rsidRPr="00C2368C">
        <w:rPr>
          <w:snapToGrid w:val="0"/>
        </w:rPr>
        <w:t>.</w:t>
      </w:r>
    </w:p>
    <w:p w:rsidR="0054273A" w:rsidRPr="00C2368C" w:rsidRDefault="005374A8" w:rsidP="0054273A">
      <w:pPr>
        <w:pStyle w:val="HChG"/>
        <w:spacing w:before="0"/>
        <w:rPr>
          <w:snapToGrid w:val="0"/>
        </w:rPr>
      </w:pPr>
      <w:r w:rsidRPr="00C2368C">
        <w:rPr>
          <w:snapToGrid w:val="0"/>
        </w:rPr>
        <w:br w:type="page"/>
      </w:r>
      <w:r w:rsidR="0054273A" w:rsidRPr="00C2368C">
        <w:rPr>
          <w:snapToGrid w:val="0"/>
        </w:rPr>
        <w:lastRenderedPageBreak/>
        <w:t>Annexe V</w:t>
      </w:r>
    </w:p>
    <w:p w:rsidR="0054273A" w:rsidRPr="00C2368C" w:rsidRDefault="0054273A" w:rsidP="0054273A">
      <w:pPr>
        <w:pStyle w:val="HChG"/>
        <w:rPr>
          <w:snapToGrid w:val="0"/>
        </w:rPr>
      </w:pPr>
      <w:r w:rsidRPr="00C2368C">
        <w:rPr>
          <w:snapToGrid w:val="0"/>
        </w:rPr>
        <w:tab/>
      </w:r>
      <w:r w:rsidRPr="00C2368C">
        <w:rPr>
          <w:snapToGrid w:val="0"/>
        </w:rPr>
        <w:tab/>
        <w:t xml:space="preserve">Mandat du Groupe de travail informel de l’adhérence </w:t>
      </w:r>
      <w:r w:rsidRPr="00C2368C">
        <w:rPr>
          <w:snapToGrid w:val="0"/>
        </w:rPr>
        <w:br/>
        <w:t xml:space="preserve">sur sol mouillé des pneumatiques usés </w:t>
      </w:r>
    </w:p>
    <w:p w:rsidR="0054273A" w:rsidRPr="00C2368C" w:rsidRDefault="0054273A" w:rsidP="0054273A">
      <w:pPr>
        <w:pStyle w:val="H1G"/>
        <w:rPr>
          <w:snapToGrid w:val="0"/>
        </w:rPr>
      </w:pPr>
      <w:r w:rsidRPr="00C2368C">
        <w:rPr>
          <w:snapToGrid w:val="0"/>
        </w:rPr>
        <w:tab/>
        <w:t>A.</w:t>
      </w:r>
      <w:r w:rsidRPr="00C2368C">
        <w:rPr>
          <w:snapToGrid w:val="0"/>
        </w:rPr>
        <w:tab/>
        <w:t>Introduction</w:t>
      </w:r>
    </w:p>
    <w:p w:rsidR="0054273A" w:rsidRPr="00C2368C" w:rsidRDefault="00863FD4" w:rsidP="00863FD4">
      <w:pPr>
        <w:pStyle w:val="SingleTxtG"/>
        <w:rPr>
          <w:snapToGrid w:val="0"/>
        </w:rPr>
      </w:pPr>
      <w:r w:rsidRPr="00C2368C">
        <w:rPr>
          <w:snapToGrid w:val="0"/>
        </w:rPr>
        <w:t>1.</w:t>
      </w:r>
      <w:r w:rsidRPr="00C2368C">
        <w:rPr>
          <w:snapToGrid w:val="0"/>
        </w:rPr>
        <w:tab/>
      </w:r>
      <w:r w:rsidR="0054273A" w:rsidRPr="00C2368C">
        <w:rPr>
          <w:snapToGrid w:val="0"/>
        </w:rPr>
        <w:t xml:space="preserve">Lors de la soixante-neuvième session du GRB, il a été souligné que l’adhérence des pneumatiques usés sur sol mouillé décroît en fonction de l’usure, ce qui fait que les essais actuels (effectués sur des pneumatiques neufs) n’étaient pas représentatifs des cas les plus défavorables. Le processus d’adaptation des prescriptions applicables aux pneumatiques devait se poursuivre, notamment pour faire en sorte que les performances des pneumatiques soient aussi éprouvées, le cas échéant, lorsqu’ils sont usés et pour promouvoir l’idée que les pneumatiques devraient satisfaire aux prescriptions tout au long de leur vie et ne pas être remplacés prématurément. Le Règlement ONU </w:t>
      </w:r>
      <w:r w:rsidRPr="00C2368C">
        <w:rPr>
          <w:rFonts w:eastAsia="MS Mincho"/>
          <w:snapToGrid w:val="0"/>
          <w:szCs w:val="22"/>
        </w:rPr>
        <w:t>n</w:t>
      </w:r>
      <w:r w:rsidRPr="00C2368C">
        <w:rPr>
          <w:rFonts w:eastAsia="MS Mincho"/>
          <w:snapToGrid w:val="0"/>
          <w:szCs w:val="22"/>
          <w:vertAlign w:val="superscript"/>
        </w:rPr>
        <w:t>o</w:t>
      </w:r>
      <w:r w:rsidRPr="00C2368C">
        <w:rPr>
          <w:snapToGrid w:val="0"/>
        </w:rPr>
        <w:t> </w:t>
      </w:r>
      <w:r w:rsidR="0054273A" w:rsidRPr="00C2368C">
        <w:rPr>
          <w:snapToGrid w:val="0"/>
        </w:rPr>
        <w:t>117 contient des dispositions relatives au bruit des pneumatiques, à leur résistance au roulement et à leur adhérence sur sol mouillé, qui sont susceptibles d’être modifiées pour tenir compte de certaines autres prescriptions.</w:t>
      </w:r>
    </w:p>
    <w:p w:rsidR="0054273A" w:rsidRPr="00C2368C" w:rsidRDefault="00863FD4" w:rsidP="00863FD4">
      <w:pPr>
        <w:pStyle w:val="SingleTxtG"/>
        <w:rPr>
          <w:snapToGrid w:val="0"/>
        </w:rPr>
      </w:pPr>
      <w:r w:rsidRPr="00C2368C">
        <w:rPr>
          <w:snapToGrid w:val="0"/>
        </w:rPr>
        <w:t>2.</w:t>
      </w:r>
      <w:r w:rsidRPr="00C2368C">
        <w:rPr>
          <w:snapToGrid w:val="0"/>
        </w:rPr>
        <w:tab/>
      </w:r>
      <w:r w:rsidR="0054273A" w:rsidRPr="00C2368C">
        <w:rPr>
          <w:snapToGrid w:val="0"/>
        </w:rPr>
        <w:t>Il est proposé de créer dès 2019 un groupe de travail informel chargé d’élaborer des prescriptions applicables à l’adhérence sur sol mouillé des pneumatiques usés.</w:t>
      </w:r>
    </w:p>
    <w:p w:rsidR="0054273A" w:rsidRPr="00C2368C" w:rsidRDefault="00863FD4" w:rsidP="00863FD4">
      <w:pPr>
        <w:pStyle w:val="SingleTxtG"/>
        <w:rPr>
          <w:snapToGrid w:val="0"/>
        </w:rPr>
      </w:pPr>
      <w:r w:rsidRPr="00C2368C">
        <w:rPr>
          <w:snapToGrid w:val="0"/>
        </w:rPr>
        <w:t>3.</w:t>
      </w:r>
      <w:r w:rsidRPr="00C2368C">
        <w:rPr>
          <w:snapToGrid w:val="0"/>
        </w:rPr>
        <w:tab/>
      </w:r>
      <w:r w:rsidR="0054273A" w:rsidRPr="00C2368C">
        <w:rPr>
          <w:snapToGrid w:val="0"/>
        </w:rPr>
        <w:t xml:space="preserve">La présente proposition établit le mandat de ce groupe de travail informel. </w:t>
      </w:r>
    </w:p>
    <w:p w:rsidR="0054273A" w:rsidRPr="00C2368C" w:rsidRDefault="00863FD4" w:rsidP="00863FD4">
      <w:pPr>
        <w:pStyle w:val="SingleTxtG"/>
        <w:rPr>
          <w:snapToGrid w:val="0"/>
        </w:rPr>
      </w:pPr>
      <w:r w:rsidRPr="00C2368C">
        <w:rPr>
          <w:snapToGrid w:val="0"/>
        </w:rPr>
        <w:t>4.</w:t>
      </w:r>
      <w:r w:rsidRPr="00C2368C">
        <w:rPr>
          <w:snapToGrid w:val="0"/>
        </w:rPr>
        <w:tab/>
      </w:r>
      <w:r w:rsidR="0054273A" w:rsidRPr="00C2368C">
        <w:rPr>
          <w:snapToGrid w:val="0"/>
        </w:rPr>
        <w:t xml:space="preserve">Le but du groupe est de proposer un amendement au Règlement ONU </w:t>
      </w:r>
      <w:r w:rsidRPr="00C2368C">
        <w:rPr>
          <w:rFonts w:eastAsia="MS Mincho"/>
          <w:snapToGrid w:val="0"/>
          <w:szCs w:val="22"/>
        </w:rPr>
        <w:t>n</w:t>
      </w:r>
      <w:r w:rsidRPr="00C2368C">
        <w:rPr>
          <w:rFonts w:eastAsia="MS Mincho"/>
          <w:snapToGrid w:val="0"/>
          <w:szCs w:val="22"/>
          <w:vertAlign w:val="superscript"/>
        </w:rPr>
        <w:t>o</w:t>
      </w:r>
      <w:r w:rsidRPr="00C2368C">
        <w:rPr>
          <w:snapToGrid w:val="0"/>
        </w:rPr>
        <w:t> </w:t>
      </w:r>
      <w:r w:rsidR="0054273A" w:rsidRPr="00C2368C">
        <w:rPr>
          <w:snapToGrid w:val="0"/>
        </w:rPr>
        <w:t>117 dans le cadre de l’Accord de 1958.</w:t>
      </w:r>
    </w:p>
    <w:p w:rsidR="0054273A" w:rsidRPr="00C2368C" w:rsidRDefault="0054273A" w:rsidP="00863FD4">
      <w:pPr>
        <w:pStyle w:val="H1G"/>
        <w:rPr>
          <w:snapToGrid w:val="0"/>
        </w:rPr>
      </w:pPr>
      <w:r w:rsidRPr="00C2368C">
        <w:rPr>
          <w:snapToGrid w:val="0"/>
        </w:rPr>
        <w:tab/>
      </w:r>
      <w:r w:rsidR="00863FD4" w:rsidRPr="00C2368C">
        <w:rPr>
          <w:snapToGrid w:val="0"/>
        </w:rPr>
        <w:t>B.</w:t>
      </w:r>
      <w:r w:rsidRPr="00C2368C">
        <w:rPr>
          <w:snapToGrid w:val="0"/>
        </w:rPr>
        <w:tab/>
        <w:t>Objectifs</w:t>
      </w:r>
    </w:p>
    <w:p w:rsidR="0054273A" w:rsidRPr="00C2368C" w:rsidRDefault="0000780A" w:rsidP="00863FD4">
      <w:pPr>
        <w:pStyle w:val="SingleTxtG"/>
        <w:rPr>
          <w:snapToGrid w:val="0"/>
        </w:rPr>
      </w:pPr>
      <w:r w:rsidRPr="00C2368C">
        <w:rPr>
          <w:snapToGrid w:val="0"/>
        </w:rPr>
        <w:t>5.</w:t>
      </w:r>
      <w:r w:rsidRPr="00C2368C">
        <w:rPr>
          <w:snapToGrid w:val="0"/>
        </w:rPr>
        <w:tab/>
      </w:r>
      <w:r w:rsidR="0054273A" w:rsidRPr="00C2368C">
        <w:rPr>
          <w:snapToGrid w:val="0"/>
        </w:rPr>
        <w:t>L’objet et le domaine d’application reposent sur le document ECE/TRANS/WP.29/</w:t>
      </w:r>
      <w:r w:rsidR="00BA4C48">
        <w:rPr>
          <w:snapToGrid w:val="0"/>
        </w:rPr>
        <w:t xml:space="preserve"> </w:t>
      </w:r>
      <w:r w:rsidR="0054273A" w:rsidRPr="00C2368C">
        <w:rPr>
          <w:snapToGrid w:val="0"/>
        </w:rPr>
        <w:t>GRB/2019/6 et sur le document informel GRB-69-23 soumis par la France.</w:t>
      </w:r>
    </w:p>
    <w:p w:rsidR="0054273A" w:rsidRPr="00C2368C" w:rsidRDefault="0000780A" w:rsidP="00863FD4">
      <w:pPr>
        <w:pStyle w:val="SingleTxtG"/>
        <w:rPr>
          <w:snapToGrid w:val="0"/>
        </w:rPr>
      </w:pPr>
      <w:r w:rsidRPr="00C2368C">
        <w:rPr>
          <w:snapToGrid w:val="0"/>
        </w:rPr>
        <w:t>6.</w:t>
      </w:r>
      <w:r w:rsidRPr="00C2368C">
        <w:rPr>
          <w:snapToGrid w:val="0"/>
        </w:rPr>
        <w:tab/>
      </w:r>
      <w:r w:rsidR="0054273A" w:rsidRPr="00C2368C">
        <w:rPr>
          <w:snapToGrid w:val="0"/>
        </w:rPr>
        <w:t>Les futurs amendements au Règlement ONU n° 117 aux nouveaux pneumatiques de la classe C1.</w:t>
      </w:r>
    </w:p>
    <w:p w:rsidR="0054273A" w:rsidRPr="00C2368C" w:rsidRDefault="0000780A" w:rsidP="00863FD4">
      <w:pPr>
        <w:pStyle w:val="SingleTxtG"/>
        <w:rPr>
          <w:snapToGrid w:val="0"/>
        </w:rPr>
      </w:pPr>
      <w:r w:rsidRPr="00C2368C">
        <w:rPr>
          <w:snapToGrid w:val="0"/>
        </w:rPr>
        <w:t>7.</w:t>
      </w:r>
      <w:r w:rsidRPr="00C2368C">
        <w:rPr>
          <w:snapToGrid w:val="0"/>
        </w:rPr>
        <w:tab/>
      </w:r>
      <w:r w:rsidR="0054273A" w:rsidRPr="00C2368C">
        <w:rPr>
          <w:snapToGrid w:val="0"/>
        </w:rPr>
        <w:t>Le Groupe de travail informel de l’adhérence sur sol mouillé des pneumatiques usés devra :</w:t>
      </w:r>
    </w:p>
    <w:p w:rsidR="0054273A" w:rsidRPr="00C2368C" w:rsidRDefault="0054273A" w:rsidP="0000780A">
      <w:pPr>
        <w:pStyle w:val="Bullet1G"/>
        <w:rPr>
          <w:snapToGrid w:val="0"/>
        </w:rPr>
      </w:pPr>
      <w:r w:rsidRPr="00C2368C">
        <w:rPr>
          <w:snapToGrid w:val="0"/>
        </w:rPr>
        <w:t>Délimiter l</w:t>
      </w:r>
      <w:r w:rsidR="0000780A" w:rsidRPr="00C2368C">
        <w:rPr>
          <w:snapToGrid w:val="0"/>
        </w:rPr>
        <w:t>a portée et élaborer l’objectif ;</w:t>
      </w:r>
    </w:p>
    <w:p w:rsidR="0054273A" w:rsidRPr="00C2368C" w:rsidRDefault="0054273A" w:rsidP="0000780A">
      <w:pPr>
        <w:pStyle w:val="Bullet1G"/>
        <w:rPr>
          <w:snapToGrid w:val="0"/>
        </w:rPr>
      </w:pPr>
      <w:r w:rsidRPr="00C2368C">
        <w:rPr>
          <w:snapToGrid w:val="0"/>
        </w:rPr>
        <w:t>Évaluer une méthode de préparation d’un pneumatique en vue de sa mise à l’essai à l’état usé</w:t>
      </w:r>
      <w:r w:rsidR="0000780A" w:rsidRPr="00C2368C">
        <w:rPr>
          <w:snapToGrid w:val="0"/>
        </w:rPr>
        <w:t> ;</w:t>
      </w:r>
    </w:p>
    <w:p w:rsidR="0054273A" w:rsidRPr="00C2368C" w:rsidRDefault="0054273A" w:rsidP="0000780A">
      <w:pPr>
        <w:pStyle w:val="Bullet1G"/>
        <w:rPr>
          <w:snapToGrid w:val="0"/>
        </w:rPr>
      </w:pPr>
      <w:r w:rsidRPr="00C2368C">
        <w:rPr>
          <w:snapToGrid w:val="0"/>
        </w:rPr>
        <w:t>Définir les conditions d’essai</w:t>
      </w:r>
      <w:r w:rsidR="00C2368C">
        <w:rPr>
          <w:snapToGrid w:val="0"/>
        </w:rPr>
        <w:t> </w:t>
      </w:r>
      <w:r w:rsidR="0000780A" w:rsidRPr="00C2368C">
        <w:rPr>
          <w:snapToGrid w:val="0"/>
        </w:rPr>
        <w:t>;</w:t>
      </w:r>
    </w:p>
    <w:p w:rsidR="0054273A" w:rsidRPr="00C2368C" w:rsidRDefault="0054273A" w:rsidP="0000780A">
      <w:pPr>
        <w:pStyle w:val="Bullet1G"/>
        <w:rPr>
          <w:snapToGrid w:val="0"/>
        </w:rPr>
      </w:pPr>
      <w:r w:rsidRPr="00C2368C">
        <w:rPr>
          <w:snapToGrid w:val="0"/>
        </w:rPr>
        <w:t>Décrire les méthodes d’essai</w:t>
      </w:r>
      <w:r w:rsidR="00C2368C">
        <w:rPr>
          <w:snapToGrid w:val="0"/>
        </w:rPr>
        <w:t> </w:t>
      </w:r>
      <w:r w:rsidR="0000780A" w:rsidRPr="00C2368C">
        <w:rPr>
          <w:snapToGrid w:val="0"/>
        </w:rPr>
        <w:t>;</w:t>
      </w:r>
    </w:p>
    <w:p w:rsidR="0054273A" w:rsidRPr="00C2368C" w:rsidRDefault="0054273A" w:rsidP="0000780A">
      <w:pPr>
        <w:pStyle w:val="Bullet1G"/>
        <w:rPr>
          <w:snapToGrid w:val="0"/>
        </w:rPr>
      </w:pPr>
      <w:r w:rsidRPr="00C2368C">
        <w:rPr>
          <w:snapToGrid w:val="0"/>
        </w:rPr>
        <w:t>Défin</w:t>
      </w:r>
      <w:r w:rsidR="0000780A" w:rsidRPr="00C2368C">
        <w:rPr>
          <w:snapToGrid w:val="0"/>
        </w:rPr>
        <w:t>ir les seuils.</w:t>
      </w:r>
    </w:p>
    <w:p w:rsidR="0054273A" w:rsidRPr="00C2368C" w:rsidRDefault="0000780A" w:rsidP="0000780A">
      <w:pPr>
        <w:pStyle w:val="SingleTxtG"/>
        <w:rPr>
          <w:snapToGrid w:val="0"/>
        </w:rPr>
      </w:pPr>
      <w:r w:rsidRPr="00C2368C">
        <w:rPr>
          <w:snapToGrid w:val="0"/>
        </w:rPr>
        <w:t>8.</w:t>
      </w:r>
      <w:r w:rsidRPr="00C2368C">
        <w:rPr>
          <w:snapToGrid w:val="0"/>
        </w:rPr>
        <w:tab/>
      </w:r>
      <w:r w:rsidR="0054273A" w:rsidRPr="00C2368C">
        <w:rPr>
          <w:snapToGrid w:val="0"/>
        </w:rPr>
        <w:t>Le Groupe de travail informel travaillera dans le cadre de l’Accord de 1958 et rendra compte au GRB.</w:t>
      </w:r>
    </w:p>
    <w:p w:rsidR="0054273A" w:rsidRPr="00C2368C" w:rsidRDefault="0054273A" w:rsidP="0000780A">
      <w:pPr>
        <w:pStyle w:val="H1G"/>
        <w:rPr>
          <w:snapToGrid w:val="0"/>
        </w:rPr>
      </w:pPr>
      <w:r w:rsidRPr="00C2368C">
        <w:rPr>
          <w:snapToGrid w:val="0"/>
        </w:rPr>
        <w:tab/>
      </w:r>
      <w:r w:rsidR="0000780A" w:rsidRPr="00C2368C">
        <w:rPr>
          <w:snapToGrid w:val="0"/>
        </w:rPr>
        <w:t>C.</w:t>
      </w:r>
      <w:r w:rsidRPr="00C2368C">
        <w:rPr>
          <w:snapToGrid w:val="0"/>
        </w:rPr>
        <w:tab/>
        <w:t>Règlement intérieur</w:t>
      </w:r>
    </w:p>
    <w:p w:rsidR="0054273A" w:rsidRPr="00C2368C" w:rsidRDefault="0000780A" w:rsidP="0000780A">
      <w:pPr>
        <w:pStyle w:val="SingleTxtG"/>
        <w:rPr>
          <w:snapToGrid w:val="0"/>
        </w:rPr>
      </w:pPr>
      <w:r w:rsidRPr="00C2368C">
        <w:rPr>
          <w:snapToGrid w:val="0"/>
        </w:rPr>
        <w:t>9.</w:t>
      </w:r>
      <w:r w:rsidRPr="00C2368C">
        <w:rPr>
          <w:snapToGrid w:val="0"/>
        </w:rPr>
        <w:tab/>
      </w:r>
      <w:r w:rsidR="0054273A" w:rsidRPr="00C2368C">
        <w:rPr>
          <w:snapToGrid w:val="0"/>
        </w:rPr>
        <w:t>Le Groupe de travail informel de l’adhérence sur sol mouillé des pneumatiques usés sera ouvert à tous les participants au GRB.</w:t>
      </w:r>
    </w:p>
    <w:p w:rsidR="0054273A" w:rsidRPr="00C2368C" w:rsidRDefault="0000780A" w:rsidP="0000780A">
      <w:pPr>
        <w:pStyle w:val="SingleTxtG"/>
        <w:rPr>
          <w:snapToGrid w:val="0"/>
        </w:rPr>
      </w:pPr>
      <w:r w:rsidRPr="00C2368C">
        <w:rPr>
          <w:snapToGrid w:val="0"/>
        </w:rPr>
        <w:t>10.</w:t>
      </w:r>
      <w:r w:rsidRPr="00C2368C">
        <w:rPr>
          <w:snapToGrid w:val="0"/>
        </w:rPr>
        <w:tab/>
      </w:r>
      <w:r w:rsidR="0054273A" w:rsidRPr="00C2368C">
        <w:rPr>
          <w:snapToGrid w:val="0"/>
        </w:rPr>
        <w:t>Le groupe de travail informel sera présidé par la France. L’ETRTO en assurera le secrétariat.</w:t>
      </w:r>
    </w:p>
    <w:p w:rsidR="0054273A" w:rsidRPr="00C2368C" w:rsidRDefault="0000780A" w:rsidP="0000780A">
      <w:pPr>
        <w:pStyle w:val="SingleTxtG"/>
        <w:rPr>
          <w:snapToGrid w:val="0"/>
        </w:rPr>
      </w:pPr>
      <w:r w:rsidRPr="00C2368C">
        <w:rPr>
          <w:snapToGrid w:val="0"/>
        </w:rPr>
        <w:t>11.</w:t>
      </w:r>
      <w:r w:rsidRPr="00C2368C">
        <w:rPr>
          <w:snapToGrid w:val="0"/>
        </w:rPr>
        <w:tab/>
      </w:r>
      <w:r w:rsidR="0054273A" w:rsidRPr="00C2368C">
        <w:rPr>
          <w:snapToGrid w:val="0"/>
        </w:rPr>
        <w:t>La langue de travail sera l’anglais.</w:t>
      </w:r>
    </w:p>
    <w:p w:rsidR="0054273A" w:rsidRPr="00C2368C" w:rsidRDefault="002D391E" w:rsidP="002D391E">
      <w:pPr>
        <w:pStyle w:val="SingleTxtG"/>
        <w:rPr>
          <w:snapToGrid w:val="0"/>
        </w:rPr>
      </w:pPr>
      <w:r w:rsidRPr="00C2368C">
        <w:rPr>
          <w:snapToGrid w:val="0"/>
        </w:rPr>
        <w:lastRenderedPageBreak/>
        <w:t>12.</w:t>
      </w:r>
      <w:r w:rsidRPr="00C2368C">
        <w:rPr>
          <w:snapToGrid w:val="0"/>
        </w:rPr>
        <w:tab/>
      </w:r>
      <w:r w:rsidR="0054273A" w:rsidRPr="00C2368C">
        <w:rPr>
          <w:snapToGrid w:val="0"/>
        </w:rPr>
        <w:t xml:space="preserve">Tous les documents et/ou propositions devront être soumis au secrétariat du groupe de travail informel sous la forme d’un fichier électronique approprié au moins une semaine avant la tenue d’une réunion. </w:t>
      </w:r>
    </w:p>
    <w:p w:rsidR="0054273A" w:rsidRPr="00C2368C" w:rsidRDefault="002D391E" w:rsidP="002D391E">
      <w:pPr>
        <w:pStyle w:val="SingleTxtG"/>
        <w:rPr>
          <w:snapToGrid w:val="0"/>
        </w:rPr>
      </w:pPr>
      <w:r w:rsidRPr="00C2368C">
        <w:rPr>
          <w:snapToGrid w:val="0"/>
        </w:rPr>
        <w:t>13.</w:t>
      </w:r>
      <w:r w:rsidRPr="00C2368C">
        <w:rPr>
          <w:snapToGrid w:val="0"/>
        </w:rPr>
        <w:tab/>
      </w:r>
      <w:r w:rsidR="0054273A" w:rsidRPr="00C2368C">
        <w:rPr>
          <w:snapToGrid w:val="0"/>
        </w:rPr>
        <w:t>L’ordre du jour et les dernières versions des documents de travail seront diffusés à tous les membres du groupe de travail informel avant les réunions programmées.</w:t>
      </w:r>
    </w:p>
    <w:p w:rsidR="0054273A" w:rsidRPr="00C2368C" w:rsidRDefault="002D391E" w:rsidP="002D391E">
      <w:pPr>
        <w:pStyle w:val="SingleTxtG"/>
        <w:rPr>
          <w:snapToGrid w:val="0"/>
        </w:rPr>
      </w:pPr>
      <w:r w:rsidRPr="00C2368C">
        <w:rPr>
          <w:snapToGrid w:val="0"/>
        </w:rPr>
        <w:t>14.</w:t>
      </w:r>
      <w:r w:rsidRPr="00C2368C">
        <w:rPr>
          <w:snapToGrid w:val="0"/>
        </w:rPr>
        <w:tab/>
      </w:r>
      <w:r w:rsidR="0054273A" w:rsidRPr="00C2368C">
        <w:rPr>
          <w:snapToGrid w:val="0"/>
        </w:rPr>
        <w:t>Tous les documents du groupe de travail informel seront publiés sur une page spécifique du site Web de la CEE.</w:t>
      </w:r>
    </w:p>
    <w:p w:rsidR="0054273A" w:rsidRPr="00C2368C" w:rsidRDefault="0054273A" w:rsidP="002D391E">
      <w:pPr>
        <w:pStyle w:val="H1G"/>
        <w:rPr>
          <w:snapToGrid w:val="0"/>
        </w:rPr>
      </w:pPr>
      <w:r w:rsidRPr="00C2368C">
        <w:rPr>
          <w:snapToGrid w:val="0"/>
        </w:rPr>
        <w:tab/>
        <w:t>D.</w:t>
      </w:r>
      <w:r w:rsidRPr="00C2368C">
        <w:rPr>
          <w:snapToGrid w:val="0"/>
        </w:rPr>
        <w:tab/>
        <w:t xml:space="preserve">Calendrier </w:t>
      </w:r>
    </w:p>
    <w:p w:rsidR="0054273A" w:rsidRPr="00C2368C" w:rsidRDefault="002D391E" w:rsidP="002D391E">
      <w:pPr>
        <w:pStyle w:val="SingleTxtG"/>
        <w:rPr>
          <w:snapToGrid w:val="0"/>
        </w:rPr>
      </w:pPr>
      <w:r w:rsidRPr="00C2368C">
        <w:rPr>
          <w:snapToGrid w:val="0"/>
        </w:rPr>
        <w:t>15.</w:t>
      </w:r>
      <w:r w:rsidRPr="00C2368C">
        <w:rPr>
          <w:snapToGrid w:val="0"/>
        </w:rPr>
        <w:tab/>
      </w:r>
      <w:r w:rsidR="0054273A" w:rsidRPr="00C2368C">
        <w:rPr>
          <w:snapToGrid w:val="0"/>
        </w:rPr>
        <w:t>Le groupe de travail informel a pour but de présenter au GRB un document de travail pour adoption à sa soixante-treizième session, en janvier 2021, après lui avoir soumis préalablement un rapport intérimaire mentionnant les résul</w:t>
      </w:r>
      <w:r w:rsidR="00012123">
        <w:rPr>
          <w:snapToGrid w:val="0"/>
        </w:rPr>
        <w:t xml:space="preserve">tats déjà obtenus à sa soixante </w:t>
      </w:r>
      <w:r w:rsidR="0054273A" w:rsidRPr="00C2368C">
        <w:rPr>
          <w:snapToGrid w:val="0"/>
        </w:rPr>
        <w:t>et</w:t>
      </w:r>
      <w:r w:rsidR="00012123">
        <w:rPr>
          <w:snapToGrid w:val="0"/>
        </w:rPr>
        <w:t xml:space="preserve"> </w:t>
      </w:r>
      <w:r w:rsidR="0054273A" w:rsidRPr="00C2368C">
        <w:rPr>
          <w:snapToGrid w:val="0"/>
        </w:rPr>
        <w:t xml:space="preserve">onzième session en janvier 2020 et une proposition détaillée à sa soixante-deuxième session en septembre 2020. </w:t>
      </w:r>
    </w:p>
    <w:p w:rsidR="009861D0" w:rsidRPr="00C2368C" w:rsidRDefault="002D391E" w:rsidP="0054273A">
      <w:pPr>
        <w:pStyle w:val="SingleTxtG"/>
        <w:rPr>
          <w:snapToGrid w:val="0"/>
        </w:rPr>
      </w:pPr>
      <w:r w:rsidRPr="00C2368C">
        <w:rPr>
          <w:snapToGrid w:val="0"/>
        </w:rPr>
        <w:t>16.</w:t>
      </w:r>
      <w:r w:rsidRPr="00C2368C">
        <w:rPr>
          <w:snapToGrid w:val="0"/>
        </w:rPr>
        <w:tab/>
      </w:r>
      <w:r w:rsidR="0054273A" w:rsidRPr="00C2368C">
        <w:rPr>
          <w:snapToGrid w:val="0"/>
        </w:rPr>
        <w:t xml:space="preserve">La première réunion du groupe de travail informel devrait se tenir en avril 2019. Le lieu et </w:t>
      </w:r>
      <w:r w:rsidR="00012123">
        <w:rPr>
          <w:snapToGrid w:val="0"/>
        </w:rPr>
        <w:t xml:space="preserve">la </w:t>
      </w:r>
      <w:r w:rsidR="0054273A" w:rsidRPr="00C2368C">
        <w:rPr>
          <w:snapToGrid w:val="0"/>
        </w:rPr>
        <w:t>date exacte restent à déterminer.</w:t>
      </w:r>
    </w:p>
    <w:p w:rsidR="009861D0" w:rsidRPr="00C2368C" w:rsidRDefault="009861D0" w:rsidP="009861D0">
      <w:pPr>
        <w:pStyle w:val="HChG"/>
        <w:spacing w:before="0"/>
      </w:pPr>
      <w:r w:rsidRPr="00C2368C">
        <w:rPr>
          <w:snapToGrid w:val="0"/>
        </w:rPr>
        <w:br w:type="page"/>
      </w:r>
      <w:r w:rsidRPr="00C2368C">
        <w:lastRenderedPageBreak/>
        <w:t>Annexe VI</w:t>
      </w:r>
    </w:p>
    <w:p w:rsidR="009861D0" w:rsidRPr="00C2368C" w:rsidRDefault="009861D0" w:rsidP="009861D0">
      <w:pPr>
        <w:pStyle w:val="HChG"/>
      </w:pPr>
      <w:r w:rsidRPr="00C2368C">
        <w:tab/>
      </w:r>
      <w:r w:rsidRPr="00C2368C">
        <w:tab/>
        <w:t>Groupes informels du GRB</w:t>
      </w:r>
    </w:p>
    <w:tbl>
      <w:tblPr>
        <w:tblW w:w="8504" w:type="dxa"/>
        <w:tblInd w:w="1134" w:type="dxa"/>
        <w:tblLayout w:type="fixed"/>
        <w:tblCellMar>
          <w:left w:w="0" w:type="dxa"/>
          <w:right w:w="0" w:type="dxa"/>
        </w:tblCellMar>
        <w:tblLook w:val="01E0" w:firstRow="1" w:lastRow="1" w:firstColumn="1" w:lastColumn="1" w:noHBand="0" w:noVBand="0"/>
      </w:tblPr>
      <w:tblGrid>
        <w:gridCol w:w="1418"/>
        <w:gridCol w:w="2751"/>
        <w:gridCol w:w="2777"/>
        <w:gridCol w:w="1558"/>
      </w:tblGrid>
      <w:tr w:rsidR="008F15F9" w:rsidRPr="00C2368C" w:rsidTr="0003769B">
        <w:trPr>
          <w:tblHeader/>
        </w:trPr>
        <w:tc>
          <w:tcPr>
            <w:tcW w:w="1418" w:type="dxa"/>
            <w:tcBorders>
              <w:top w:val="single" w:sz="4" w:space="0" w:color="auto"/>
              <w:bottom w:val="single" w:sz="12" w:space="0" w:color="auto"/>
            </w:tcBorders>
            <w:shd w:val="clear" w:color="auto" w:fill="auto"/>
            <w:vAlign w:val="bottom"/>
          </w:tcPr>
          <w:p w:rsidR="009861D0" w:rsidRPr="00C2368C" w:rsidRDefault="009861D0" w:rsidP="008F15F9">
            <w:pPr>
              <w:spacing w:before="80" w:after="80" w:line="200" w:lineRule="exact"/>
              <w:ind w:right="113"/>
              <w:rPr>
                <w:i/>
                <w:sz w:val="16"/>
                <w:highlight w:val="cyan"/>
              </w:rPr>
            </w:pPr>
            <w:r w:rsidRPr="00C2368C">
              <w:rPr>
                <w:i/>
                <w:sz w:val="16"/>
              </w:rPr>
              <w:t>Groupe informel</w:t>
            </w:r>
          </w:p>
        </w:tc>
        <w:tc>
          <w:tcPr>
            <w:tcW w:w="2751" w:type="dxa"/>
            <w:tcBorders>
              <w:top w:val="single" w:sz="4" w:space="0" w:color="auto"/>
              <w:bottom w:val="single" w:sz="12" w:space="0" w:color="auto"/>
            </w:tcBorders>
            <w:shd w:val="clear" w:color="auto" w:fill="auto"/>
            <w:vAlign w:val="bottom"/>
          </w:tcPr>
          <w:p w:rsidR="009861D0" w:rsidRPr="00C2368C" w:rsidRDefault="009861D0" w:rsidP="008F15F9">
            <w:pPr>
              <w:spacing w:before="80" w:after="80" w:line="200" w:lineRule="exact"/>
              <w:ind w:right="113"/>
              <w:rPr>
                <w:i/>
                <w:sz w:val="16"/>
              </w:rPr>
            </w:pPr>
            <w:r w:rsidRPr="00C2368C">
              <w:rPr>
                <w:i/>
                <w:sz w:val="16"/>
              </w:rPr>
              <w:t xml:space="preserve">Président(s) et Coprésident(s) </w:t>
            </w:r>
          </w:p>
        </w:tc>
        <w:tc>
          <w:tcPr>
            <w:tcW w:w="2777" w:type="dxa"/>
            <w:tcBorders>
              <w:top w:val="single" w:sz="4" w:space="0" w:color="auto"/>
              <w:bottom w:val="single" w:sz="12" w:space="0" w:color="auto"/>
            </w:tcBorders>
            <w:shd w:val="clear" w:color="auto" w:fill="auto"/>
            <w:vAlign w:val="bottom"/>
          </w:tcPr>
          <w:p w:rsidR="009861D0" w:rsidRPr="00C2368C" w:rsidRDefault="009861D0" w:rsidP="008F15F9">
            <w:pPr>
              <w:spacing w:before="80" w:after="80" w:line="200" w:lineRule="exact"/>
              <w:ind w:right="113"/>
              <w:rPr>
                <w:i/>
                <w:sz w:val="16"/>
              </w:rPr>
            </w:pPr>
            <w:r w:rsidRPr="00C2368C">
              <w:rPr>
                <w:i/>
                <w:sz w:val="16"/>
              </w:rPr>
              <w:t>Secrétaire</w:t>
            </w:r>
          </w:p>
        </w:tc>
        <w:tc>
          <w:tcPr>
            <w:tcW w:w="1558" w:type="dxa"/>
            <w:tcBorders>
              <w:top w:val="single" w:sz="4" w:space="0" w:color="auto"/>
              <w:bottom w:val="single" w:sz="12" w:space="0" w:color="auto"/>
            </w:tcBorders>
            <w:shd w:val="clear" w:color="auto" w:fill="auto"/>
            <w:vAlign w:val="bottom"/>
          </w:tcPr>
          <w:p w:rsidR="009861D0" w:rsidRPr="00C2368C" w:rsidRDefault="009861D0" w:rsidP="008F15F9">
            <w:pPr>
              <w:spacing w:before="80" w:after="80" w:line="200" w:lineRule="exact"/>
              <w:ind w:right="113"/>
              <w:rPr>
                <w:i/>
                <w:iCs/>
                <w:sz w:val="16"/>
              </w:rPr>
            </w:pPr>
            <w:r w:rsidRPr="00C2368C">
              <w:rPr>
                <w:i/>
                <w:iCs/>
                <w:sz w:val="16"/>
              </w:rPr>
              <w:t xml:space="preserve">Date d’expiration </w:t>
            </w:r>
            <w:r w:rsidR="0003769B" w:rsidRPr="00C2368C">
              <w:rPr>
                <w:i/>
                <w:iCs/>
                <w:sz w:val="16"/>
              </w:rPr>
              <w:br/>
            </w:r>
            <w:r w:rsidRPr="00C2368C">
              <w:rPr>
                <w:i/>
                <w:iCs/>
                <w:sz w:val="16"/>
              </w:rPr>
              <w:t>du mandat</w:t>
            </w:r>
          </w:p>
        </w:tc>
      </w:tr>
      <w:tr w:rsidR="008F15F9" w:rsidRPr="00C2368C" w:rsidTr="0003769B">
        <w:trPr>
          <w:trHeight w:hRule="exact" w:val="113"/>
        </w:trPr>
        <w:tc>
          <w:tcPr>
            <w:tcW w:w="1418" w:type="dxa"/>
            <w:tcBorders>
              <w:top w:val="single" w:sz="12" w:space="0" w:color="auto"/>
            </w:tcBorders>
            <w:shd w:val="clear" w:color="auto" w:fill="auto"/>
          </w:tcPr>
          <w:p w:rsidR="008F15F9" w:rsidRPr="00C2368C" w:rsidRDefault="008F15F9" w:rsidP="008F15F9">
            <w:pPr>
              <w:spacing w:before="40" w:after="120"/>
              <w:ind w:right="113"/>
            </w:pPr>
          </w:p>
        </w:tc>
        <w:tc>
          <w:tcPr>
            <w:tcW w:w="2751" w:type="dxa"/>
            <w:tcBorders>
              <w:top w:val="single" w:sz="12" w:space="0" w:color="auto"/>
            </w:tcBorders>
            <w:shd w:val="clear" w:color="auto" w:fill="auto"/>
          </w:tcPr>
          <w:p w:rsidR="008F15F9" w:rsidRPr="00C2368C" w:rsidRDefault="008F15F9" w:rsidP="008F15F9">
            <w:pPr>
              <w:spacing w:before="40" w:after="120"/>
              <w:ind w:right="113"/>
            </w:pPr>
          </w:p>
        </w:tc>
        <w:tc>
          <w:tcPr>
            <w:tcW w:w="2777" w:type="dxa"/>
            <w:tcBorders>
              <w:top w:val="single" w:sz="12" w:space="0" w:color="auto"/>
            </w:tcBorders>
            <w:shd w:val="clear" w:color="auto" w:fill="auto"/>
          </w:tcPr>
          <w:p w:rsidR="008F15F9" w:rsidRPr="00C2368C" w:rsidRDefault="008F15F9" w:rsidP="008F15F9">
            <w:pPr>
              <w:spacing w:before="40" w:after="120"/>
              <w:ind w:right="113"/>
            </w:pPr>
          </w:p>
        </w:tc>
        <w:tc>
          <w:tcPr>
            <w:tcW w:w="1558" w:type="dxa"/>
            <w:tcBorders>
              <w:top w:val="single" w:sz="12" w:space="0" w:color="auto"/>
            </w:tcBorders>
            <w:shd w:val="clear" w:color="auto" w:fill="auto"/>
          </w:tcPr>
          <w:p w:rsidR="008F15F9" w:rsidRPr="00C2368C" w:rsidRDefault="008F15F9" w:rsidP="008F15F9">
            <w:pPr>
              <w:spacing w:before="40" w:after="120"/>
              <w:ind w:right="113"/>
              <w:rPr>
                <w:iCs/>
              </w:rPr>
            </w:pPr>
          </w:p>
        </w:tc>
      </w:tr>
      <w:tr w:rsidR="008F15F9" w:rsidRPr="00C2368C" w:rsidTr="0003769B">
        <w:tc>
          <w:tcPr>
            <w:tcW w:w="1418" w:type="dxa"/>
            <w:shd w:val="clear" w:color="auto" w:fill="auto"/>
            <w:tcMar>
              <w:top w:w="0" w:type="dxa"/>
              <w:bottom w:w="0" w:type="dxa"/>
            </w:tcMar>
          </w:tcPr>
          <w:p w:rsidR="009861D0" w:rsidRPr="00C2368C" w:rsidRDefault="009861D0" w:rsidP="008F15F9">
            <w:pPr>
              <w:spacing w:before="40" w:after="120"/>
              <w:ind w:right="113"/>
              <w:rPr>
                <w:szCs w:val="18"/>
              </w:rPr>
            </w:pPr>
            <w:r w:rsidRPr="00C2368C">
              <w:rPr>
                <w:szCs w:val="18"/>
              </w:rPr>
              <w:t xml:space="preserve">Groupe informel chargé d’élaborer </w:t>
            </w:r>
            <w:r w:rsidR="0003769B" w:rsidRPr="00C2368C">
              <w:rPr>
                <w:szCs w:val="18"/>
              </w:rPr>
              <w:br/>
            </w:r>
            <w:r w:rsidRPr="00C2368C">
              <w:rPr>
                <w:szCs w:val="18"/>
              </w:rPr>
              <w:t xml:space="preserve">un RTM sur </w:t>
            </w:r>
            <w:r w:rsidR="0003769B" w:rsidRPr="00C2368C">
              <w:rPr>
                <w:szCs w:val="18"/>
              </w:rPr>
              <w:br/>
            </w:r>
            <w:r w:rsidRPr="00C2368C">
              <w:rPr>
                <w:szCs w:val="18"/>
              </w:rPr>
              <w:t xml:space="preserve">les véhicules </w:t>
            </w:r>
            <w:r w:rsidR="0003769B" w:rsidRPr="00C2368C">
              <w:rPr>
                <w:szCs w:val="18"/>
              </w:rPr>
              <w:br/>
            </w:r>
            <w:r w:rsidRPr="00C2368C">
              <w:rPr>
                <w:szCs w:val="18"/>
              </w:rPr>
              <w:t>à moteur silencieux</w:t>
            </w:r>
          </w:p>
        </w:tc>
        <w:tc>
          <w:tcPr>
            <w:tcW w:w="2751" w:type="dxa"/>
            <w:shd w:val="clear" w:color="auto" w:fill="auto"/>
            <w:tcMar>
              <w:top w:w="0" w:type="dxa"/>
              <w:bottom w:w="0" w:type="dxa"/>
            </w:tcMar>
          </w:tcPr>
          <w:p w:rsidR="009861D0" w:rsidRPr="00C2368C" w:rsidRDefault="009861D0" w:rsidP="008F15F9">
            <w:pPr>
              <w:spacing w:before="40" w:after="120"/>
              <w:ind w:right="113"/>
              <w:rPr>
                <w:szCs w:val="18"/>
              </w:rPr>
            </w:pPr>
            <w:r w:rsidRPr="00C2368C">
              <w:rPr>
                <w:szCs w:val="18"/>
              </w:rPr>
              <w:t>M.</w:t>
            </w:r>
            <w:r w:rsidR="003A4586" w:rsidRPr="00C2368C">
              <w:rPr>
                <w:szCs w:val="18"/>
              </w:rPr>
              <w:t> </w:t>
            </w:r>
            <w:proofErr w:type="spellStart"/>
            <w:r w:rsidRPr="00C2368C">
              <w:rPr>
                <w:szCs w:val="18"/>
              </w:rPr>
              <w:t>Ezana</w:t>
            </w:r>
            <w:proofErr w:type="spellEnd"/>
            <w:r w:rsidRPr="00C2368C">
              <w:rPr>
                <w:szCs w:val="18"/>
              </w:rPr>
              <w:t xml:space="preserve"> </w:t>
            </w:r>
            <w:proofErr w:type="spellStart"/>
            <w:r w:rsidRPr="00C2368C">
              <w:rPr>
                <w:szCs w:val="18"/>
              </w:rPr>
              <w:t>Wondimneh</w:t>
            </w:r>
            <w:proofErr w:type="spellEnd"/>
            <w:r w:rsidRPr="00C2368C">
              <w:rPr>
                <w:szCs w:val="18"/>
              </w:rPr>
              <w:t xml:space="preserve"> </w:t>
            </w:r>
            <w:r w:rsidR="00FF5DCF" w:rsidRPr="00C2368C">
              <w:rPr>
                <w:szCs w:val="18"/>
              </w:rPr>
              <w:br/>
            </w:r>
            <w:r w:rsidRPr="00C2368C">
              <w:rPr>
                <w:szCs w:val="18"/>
              </w:rPr>
              <w:t>(États</w:t>
            </w:r>
            <w:r w:rsidR="003A4586" w:rsidRPr="00C2368C">
              <w:rPr>
                <w:szCs w:val="18"/>
              </w:rPr>
              <w:noBreakHyphen/>
            </w:r>
            <w:r w:rsidRPr="00C2368C">
              <w:rPr>
                <w:szCs w:val="18"/>
              </w:rPr>
              <w:t>Unis d’Amérique)</w:t>
            </w:r>
            <w:r w:rsidRPr="00C2368C">
              <w:rPr>
                <w:szCs w:val="18"/>
              </w:rPr>
              <w:br/>
              <w:t>Tél</w:t>
            </w:r>
            <w:r w:rsidR="00012123">
              <w:rPr>
                <w:szCs w:val="18"/>
              </w:rPr>
              <w:t>.</w:t>
            </w:r>
            <w:r w:rsidR="003A4586" w:rsidRPr="00C2368C">
              <w:rPr>
                <w:szCs w:val="18"/>
              </w:rPr>
              <w:t> </w:t>
            </w:r>
            <w:r w:rsidRPr="00C2368C">
              <w:rPr>
                <w:szCs w:val="18"/>
              </w:rPr>
              <w:t>: +1</w:t>
            </w:r>
            <w:r w:rsidR="003A4586" w:rsidRPr="00C2368C">
              <w:rPr>
                <w:szCs w:val="18"/>
              </w:rPr>
              <w:t> </w:t>
            </w:r>
            <w:r w:rsidRPr="00C2368C">
              <w:rPr>
                <w:szCs w:val="18"/>
              </w:rPr>
              <w:t>202</w:t>
            </w:r>
            <w:r w:rsidR="003A4586" w:rsidRPr="00C2368C">
              <w:rPr>
                <w:szCs w:val="18"/>
              </w:rPr>
              <w:t> </w:t>
            </w:r>
            <w:r w:rsidRPr="00C2368C">
              <w:rPr>
                <w:szCs w:val="18"/>
              </w:rPr>
              <w:t>366</w:t>
            </w:r>
            <w:r w:rsidR="003A4586" w:rsidRPr="00C2368C">
              <w:rPr>
                <w:szCs w:val="18"/>
              </w:rPr>
              <w:t> </w:t>
            </w:r>
            <w:r w:rsidRPr="00C2368C">
              <w:rPr>
                <w:szCs w:val="18"/>
              </w:rPr>
              <w:t>21</w:t>
            </w:r>
            <w:r w:rsidR="003A4586" w:rsidRPr="00C2368C">
              <w:rPr>
                <w:szCs w:val="18"/>
              </w:rPr>
              <w:t> </w:t>
            </w:r>
            <w:r w:rsidRPr="00C2368C">
              <w:rPr>
                <w:szCs w:val="18"/>
              </w:rPr>
              <w:t>17</w:t>
            </w:r>
            <w:r w:rsidRPr="00C2368C">
              <w:rPr>
                <w:szCs w:val="18"/>
              </w:rPr>
              <w:br/>
              <w:t>Courriel</w:t>
            </w:r>
            <w:r w:rsidR="003A4586" w:rsidRPr="00C2368C">
              <w:rPr>
                <w:szCs w:val="18"/>
              </w:rPr>
              <w:t> </w:t>
            </w:r>
            <w:r w:rsidRPr="00C2368C">
              <w:rPr>
                <w:szCs w:val="18"/>
              </w:rPr>
              <w:t>: Ezana.wondimneh@dot.gov</w:t>
            </w:r>
          </w:p>
          <w:p w:rsidR="009861D0" w:rsidRPr="00C2368C" w:rsidRDefault="009861D0" w:rsidP="00A60006">
            <w:pPr>
              <w:spacing w:before="40" w:after="120"/>
              <w:ind w:right="113"/>
              <w:rPr>
                <w:szCs w:val="18"/>
                <w:lang w:eastAsia="ja-JP"/>
              </w:rPr>
            </w:pPr>
            <w:r w:rsidRPr="00C2368C">
              <w:rPr>
                <w:szCs w:val="18"/>
                <w:lang w:eastAsia="ja-JP"/>
              </w:rPr>
              <w:t>M.</w:t>
            </w:r>
            <w:r w:rsidR="003A4586" w:rsidRPr="00C2368C">
              <w:rPr>
                <w:szCs w:val="18"/>
                <w:lang w:eastAsia="ja-JP"/>
              </w:rPr>
              <w:t> </w:t>
            </w:r>
            <w:proofErr w:type="spellStart"/>
            <w:r w:rsidRPr="00C2368C">
              <w:rPr>
                <w:szCs w:val="18"/>
                <w:lang w:eastAsia="ja-JP"/>
              </w:rPr>
              <w:t>Ichiro</w:t>
            </w:r>
            <w:proofErr w:type="spellEnd"/>
            <w:r w:rsidRPr="00C2368C">
              <w:rPr>
                <w:szCs w:val="18"/>
                <w:lang w:eastAsia="ja-JP"/>
              </w:rPr>
              <w:t xml:space="preserve"> Sakamoto (Japon)</w:t>
            </w:r>
            <w:r w:rsidR="00A60006" w:rsidRPr="00C2368C">
              <w:rPr>
                <w:szCs w:val="18"/>
                <w:lang w:eastAsia="ja-JP"/>
              </w:rPr>
              <w:br/>
            </w:r>
            <w:r w:rsidRPr="00C2368C">
              <w:rPr>
                <w:szCs w:val="18"/>
                <w:lang w:eastAsia="ja-JP"/>
              </w:rPr>
              <w:t>Tél</w:t>
            </w:r>
            <w:r w:rsidR="00926F6D">
              <w:rPr>
                <w:szCs w:val="18"/>
                <w:lang w:eastAsia="ja-JP"/>
              </w:rPr>
              <w:t>.</w:t>
            </w:r>
            <w:r w:rsidR="003A4586" w:rsidRPr="00C2368C">
              <w:rPr>
                <w:szCs w:val="18"/>
                <w:lang w:eastAsia="ja-JP"/>
              </w:rPr>
              <w:t> </w:t>
            </w:r>
            <w:r w:rsidRPr="00C2368C">
              <w:rPr>
                <w:szCs w:val="18"/>
                <w:lang w:eastAsia="ja-JP"/>
              </w:rPr>
              <w:t>:</w:t>
            </w:r>
            <w:r w:rsidRPr="00C2368C">
              <w:rPr>
                <w:szCs w:val="18"/>
              </w:rPr>
              <w:t xml:space="preserve"> +81</w:t>
            </w:r>
            <w:r w:rsidR="003A4586" w:rsidRPr="00C2368C">
              <w:rPr>
                <w:szCs w:val="18"/>
              </w:rPr>
              <w:t> 422 </w:t>
            </w:r>
            <w:r w:rsidRPr="00C2368C">
              <w:rPr>
                <w:szCs w:val="18"/>
              </w:rPr>
              <w:t>41</w:t>
            </w:r>
            <w:r w:rsidR="003A4586" w:rsidRPr="00C2368C">
              <w:rPr>
                <w:szCs w:val="18"/>
              </w:rPr>
              <w:t> </w:t>
            </w:r>
            <w:r w:rsidRPr="00C2368C">
              <w:rPr>
                <w:szCs w:val="18"/>
              </w:rPr>
              <w:t>66</w:t>
            </w:r>
            <w:r w:rsidR="003A4586" w:rsidRPr="00C2368C">
              <w:rPr>
                <w:szCs w:val="18"/>
              </w:rPr>
              <w:t> </w:t>
            </w:r>
            <w:r w:rsidRPr="00C2368C">
              <w:rPr>
                <w:szCs w:val="18"/>
              </w:rPr>
              <w:t>18</w:t>
            </w:r>
            <w:r w:rsidR="00A60006" w:rsidRPr="00C2368C">
              <w:rPr>
                <w:szCs w:val="18"/>
              </w:rPr>
              <w:br/>
            </w:r>
            <w:r w:rsidR="00BC4D26" w:rsidRPr="00C2368C">
              <w:rPr>
                <w:szCs w:val="18"/>
              </w:rPr>
              <w:t>Fax :+81 422 76 86 04</w:t>
            </w:r>
            <w:r w:rsidR="00BC4D26" w:rsidRPr="00C2368C">
              <w:rPr>
                <w:szCs w:val="18"/>
              </w:rPr>
              <w:br/>
              <w:t xml:space="preserve">Courriel : </w:t>
            </w:r>
            <w:r w:rsidR="00BC4D26" w:rsidRPr="00C2368C">
              <w:rPr>
                <w:szCs w:val="18"/>
                <w:lang w:eastAsia="ja-JP"/>
              </w:rPr>
              <w:t>i-saka@ntsel.go.jp</w:t>
            </w:r>
          </w:p>
        </w:tc>
        <w:tc>
          <w:tcPr>
            <w:tcW w:w="2777" w:type="dxa"/>
            <w:shd w:val="clear" w:color="auto" w:fill="auto"/>
            <w:tcMar>
              <w:top w:w="0" w:type="dxa"/>
              <w:bottom w:w="0" w:type="dxa"/>
            </w:tcMar>
          </w:tcPr>
          <w:p w:rsidR="009861D0" w:rsidRPr="00C2368C" w:rsidRDefault="009861D0" w:rsidP="00BC4D26">
            <w:pPr>
              <w:spacing w:before="40" w:after="120"/>
              <w:ind w:right="113"/>
              <w:rPr>
                <w:szCs w:val="18"/>
              </w:rPr>
            </w:pPr>
            <w:r w:rsidRPr="00C2368C">
              <w:rPr>
                <w:szCs w:val="18"/>
              </w:rPr>
              <w:t>M.</w:t>
            </w:r>
            <w:r w:rsidR="003E6287" w:rsidRPr="00C2368C">
              <w:rPr>
                <w:szCs w:val="18"/>
              </w:rPr>
              <w:t> </w:t>
            </w:r>
            <w:r w:rsidRPr="00C2368C">
              <w:rPr>
                <w:szCs w:val="18"/>
              </w:rPr>
              <w:t xml:space="preserve">Andreas </w:t>
            </w:r>
            <w:proofErr w:type="spellStart"/>
            <w:r w:rsidRPr="00C2368C">
              <w:rPr>
                <w:szCs w:val="18"/>
              </w:rPr>
              <w:t>Vosinis</w:t>
            </w:r>
            <w:proofErr w:type="spellEnd"/>
            <w:r w:rsidRPr="00C2368C">
              <w:rPr>
                <w:szCs w:val="18"/>
              </w:rPr>
              <w:t xml:space="preserve"> (DG Croissance, Commission Européenne)</w:t>
            </w:r>
            <w:r w:rsidRPr="00C2368C">
              <w:rPr>
                <w:szCs w:val="18"/>
              </w:rPr>
              <w:br/>
              <w:t>Tél</w:t>
            </w:r>
            <w:r w:rsidR="00012123">
              <w:rPr>
                <w:szCs w:val="18"/>
              </w:rPr>
              <w:t>.</w:t>
            </w:r>
            <w:r w:rsidR="00CD1851" w:rsidRPr="00C2368C">
              <w:rPr>
                <w:szCs w:val="18"/>
              </w:rPr>
              <w:t> </w:t>
            </w:r>
            <w:r w:rsidRPr="00C2368C">
              <w:rPr>
                <w:szCs w:val="18"/>
              </w:rPr>
              <w:t>:+ 32 2 2992116</w:t>
            </w:r>
            <w:r w:rsidR="00BC4D26" w:rsidRPr="00C2368C">
              <w:rPr>
                <w:szCs w:val="18"/>
              </w:rPr>
              <w:br/>
            </w:r>
            <w:r w:rsidRPr="00C2368C">
              <w:rPr>
                <w:szCs w:val="18"/>
              </w:rPr>
              <w:t>Courriel</w:t>
            </w:r>
            <w:r w:rsidR="003E6287" w:rsidRPr="00C2368C">
              <w:rPr>
                <w:szCs w:val="18"/>
              </w:rPr>
              <w:t> </w:t>
            </w:r>
            <w:r w:rsidRPr="00C2368C">
              <w:rPr>
                <w:szCs w:val="18"/>
              </w:rPr>
              <w:t>: andreas.vosinis@ec.europa.eu</w:t>
            </w:r>
          </w:p>
        </w:tc>
        <w:tc>
          <w:tcPr>
            <w:tcW w:w="1558" w:type="dxa"/>
            <w:shd w:val="clear" w:color="auto" w:fill="auto"/>
          </w:tcPr>
          <w:p w:rsidR="009861D0" w:rsidRPr="00C2368C" w:rsidRDefault="009861D0" w:rsidP="008F15F9">
            <w:pPr>
              <w:spacing w:before="40" w:after="120"/>
              <w:ind w:right="113"/>
              <w:rPr>
                <w:szCs w:val="18"/>
              </w:rPr>
            </w:pPr>
            <w:r w:rsidRPr="00C2368C">
              <w:rPr>
                <w:szCs w:val="18"/>
              </w:rPr>
              <w:t>Décembre 2018</w:t>
            </w:r>
          </w:p>
        </w:tc>
      </w:tr>
      <w:tr w:rsidR="008F15F9" w:rsidRPr="00C2368C" w:rsidTr="0003769B">
        <w:tc>
          <w:tcPr>
            <w:tcW w:w="1418" w:type="dxa"/>
            <w:shd w:val="clear" w:color="auto" w:fill="auto"/>
            <w:tcMar>
              <w:top w:w="0" w:type="dxa"/>
              <w:bottom w:w="0" w:type="dxa"/>
            </w:tcMar>
          </w:tcPr>
          <w:p w:rsidR="009861D0" w:rsidRPr="00C2368C" w:rsidRDefault="009861D0" w:rsidP="008F15F9">
            <w:pPr>
              <w:spacing w:before="40" w:after="120"/>
              <w:ind w:right="113"/>
              <w:rPr>
                <w:szCs w:val="18"/>
              </w:rPr>
            </w:pPr>
            <w:r w:rsidRPr="00C2368C">
              <w:rPr>
                <w:szCs w:val="18"/>
              </w:rPr>
              <w:t xml:space="preserve">Prescriptions supplémentaires concernant </w:t>
            </w:r>
            <w:r w:rsidR="0003769B" w:rsidRPr="00C2368C">
              <w:rPr>
                <w:szCs w:val="18"/>
              </w:rPr>
              <w:br/>
            </w:r>
            <w:r w:rsidRPr="00C2368C">
              <w:rPr>
                <w:szCs w:val="18"/>
              </w:rPr>
              <w:t xml:space="preserve">la mesure </w:t>
            </w:r>
            <w:r w:rsidR="0003769B" w:rsidRPr="00C2368C">
              <w:rPr>
                <w:szCs w:val="18"/>
              </w:rPr>
              <w:br/>
            </w:r>
            <w:r w:rsidRPr="00C2368C">
              <w:rPr>
                <w:szCs w:val="18"/>
              </w:rPr>
              <w:t xml:space="preserve">des émissions sonores </w:t>
            </w:r>
          </w:p>
        </w:tc>
        <w:tc>
          <w:tcPr>
            <w:tcW w:w="2751" w:type="dxa"/>
            <w:shd w:val="clear" w:color="auto" w:fill="auto"/>
            <w:tcMar>
              <w:top w:w="0" w:type="dxa"/>
              <w:bottom w:w="0" w:type="dxa"/>
            </w:tcMar>
          </w:tcPr>
          <w:p w:rsidR="009861D0" w:rsidRPr="00C2368C" w:rsidRDefault="009861D0" w:rsidP="00A60006">
            <w:pPr>
              <w:spacing w:before="40" w:after="120"/>
              <w:ind w:right="113"/>
              <w:rPr>
                <w:szCs w:val="18"/>
              </w:rPr>
            </w:pPr>
            <w:r w:rsidRPr="00C2368C">
              <w:rPr>
                <w:szCs w:val="18"/>
              </w:rPr>
              <w:t>M.</w:t>
            </w:r>
            <w:r w:rsidR="003A4586" w:rsidRPr="00C2368C">
              <w:rPr>
                <w:szCs w:val="18"/>
              </w:rPr>
              <w:t> </w:t>
            </w:r>
            <w:r w:rsidRPr="00C2368C">
              <w:rPr>
                <w:szCs w:val="18"/>
              </w:rPr>
              <w:t xml:space="preserve">Bernd </w:t>
            </w:r>
            <w:proofErr w:type="spellStart"/>
            <w:r w:rsidRPr="00C2368C">
              <w:rPr>
                <w:szCs w:val="18"/>
              </w:rPr>
              <w:t>Schüttler</w:t>
            </w:r>
            <w:proofErr w:type="spellEnd"/>
            <w:r w:rsidRPr="00C2368C">
              <w:rPr>
                <w:szCs w:val="18"/>
              </w:rPr>
              <w:t xml:space="preserve"> (Allemagne)</w:t>
            </w:r>
            <w:r w:rsidR="00A60006" w:rsidRPr="00C2368C">
              <w:rPr>
                <w:szCs w:val="18"/>
              </w:rPr>
              <w:br/>
            </w:r>
            <w:r w:rsidRPr="00C2368C">
              <w:rPr>
                <w:szCs w:val="18"/>
              </w:rPr>
              <w:t>Tél</w:t>
            </w:r>
            <w:r w:rsidR="00926F6D">
              <w:rPr>
                <w:szCs w:val="18"/>
              </w:rPr>
              <w:t>.</w:t>
            </w:r>
            <w:r w:rsidR="003A4586" w:rsidRPr="00C2368C">
              <w:rPr>
                <w:szCs w:val="18"/>
              </w:rPr>
              <w:t> : +49 228 99300 </w:t>
            </w:r>
            <w:r w:rsidRPr="00C2368C">
              <w:rPr>
                <w:szCs w:val="18"/>
              </w:rPr>
              <w:t>4372</w:t>
            </w:r>
            <w:r w:rsidR="00A60006" w:rsidRPr="00C2368C">
              <w:rPr>
                <w:szCs w:val="18"/>
              </w:rPr>
              <w:br/>
            </w:r>
            <w:r w:rsidRPr="00C2368C">
              <w:rPr>
                <w:szCs w:val="18"/>
              </w:rPr>
              <w:t>Fax</w:t>
            </w:r>
            <w:r w:rsidR="003A4586" w:rsidRPr="00C2368C">
              <w:rPr>
                <w:szCs w:val="18"/>
              </w:rPr>
              <w:t> </w:t>
            </w:r>
            <w:r w:rsidRPr="00C2368C">
              <w:rPr>
                <w:szCs w:val="18"/>
              </w:rPr>
              <w:t>: +49</w:t>
            </w:r>
            <w:r w:rsidR="003A4586" w:rsidRPr="00C2368C">
              <w:rPr>
                <w:szCs w:val="18"/>
              </w:rPr>
              <w:t> </w:t>
            </w:r>
            <w:r w:rsidRPr="00C2368C">
              <w:rPr>
                <w:szCs w:val="18"/>
              </w:rPr>
              <w:t>228 99300807</w:t>
            </w:r>
            <w:r w:rsidR="003A4586" w:rsidRPr="00C2368C">
              <w:rPr>
                <w:szCs w:val="18"/>
              </w:rPr>
              <w:t> </w:t>
            </w:r>
            <w:r w:rsidRPr="00C2368C">
              <w:rPr>
                <w:szCs w:val="18"/>
              </w:rPr>
              <w:t>4372</w:t>
            </w:r>
            <w:r w:rsidR="00A60006" w:rsidRPr="00C2368C">
              <w:rPr>
                <w:szCs w:val="18"/>
              </w:rPr>
              <w:br/>
            </w:r>
            <w:r w:rsidRPr="00C2368C">
              <w:rPr>
                <w:szCs w:val="18"/>
              </w:rPr>
              <w:t>Courriel</w:t>
            </w:r>
            <w:r w:rsidR="003A4586" w:rsidRPr="00C2368C">
              <w:rPr>
                <w:szCs w:val="18"/>
              </w:rPr>
              <w:t> </w:t>
            </w:r>
            <w:r w:rsidRPr="00C2368C">
              <w:rPr>
                <w:szCs w:val="18"/>
              </w:rPr>
              <w:t>: bernd.schuettler@bmvi.bund.de</w:t>
            </w:r>
          </w:p>
        </w:tc>
        <w:tc>
          <w:tcPr>
            <w:tcW w:w="2777" w:type="dxa"/>
            <w:shd w:val="clear" w:color="auto" w:fill="auto"/>
            <w:tcMar>
              <w:top w:w="0" w:type="dxa"/>
              <w:bottom w:w="0" w:type="dxa"/>
            </w:tcMar>
          </w:tcPr>
          <w:p w:rsidR="009861D0" w:rsidRPr="00C2368C" w:rsidRDefault="003E6287" w:rsidP="00A60006">
            <w:pPr>
              <w:spacing w:before="40" w:after="120"/>
              <w:ind w:right="113"/>
              <w:rPr>
                <w:szCs w:val="18"/>
              </w:rPr>
            </w:pPr>
            <w:r w:rsidRPr="00C2368C">
              <w:rPr>
                <w:szCs w:val="18"/>
              </w:rPr>
              <w:t>M</w:t>
            </w:r>
            <w:r w:rsidRPr="00C2368C">
              <w:rPr>
                <w:szCs w:val="18"/>
                <w:vertAlign w:val="superscript"/>
              </w:rPr>
              <w:t>me</w:t>
            </w:r>
            <w:r w:rsidRPr="00C2368C">
              <w:rPr>
                <w:szCs w:val="18"/>
              </w:rPr>
              <w:t> </w:t>
            </w:r>
            <w:r w:rsidR="009861D0" w:rsidRPr="00C2368C">
              <w:rPr>
                <w:szCs w:val="18"/>
              </w:rPr>
              <w:t xml:space="preserve">Françoise </w:t>
            </w:r>
            <w:proofErr w:type="spellStart"/>
            <w:r w:rsidR="009861D0" w:rsidRPr="00C2368C">
              <w:rPr>
                <w:szCs w:val="18"/>
              </w:rPr>
              <w:t>Silvani</w:t>
            </w:r>
            <w:proofErr w:type="spellEnd"/>
            <w:r w:rsidR="009861D0" w:rsidRPr="00C2368C">
              <w:rPr>
                <w:szCs w:val="18"/>
              </w:rPr>
              <w:t xml:space="preserve"> (OICA)</w:t>
            </w:r>
            <w:r w:rsidR="00A60006" w:rsidRPr="00C2368C">
              <w:rPr>
                <w:szCs w:val="18"/>
              </w:rPr>
              <w:br/>
            </w:r>
            <w:r w:rsidR="009861D0" w:rsidRPr="00C2368C">
              <w:rPr>
                <w:szCs w:val="18"/>
              </w:rPr>
              <w:t>Tél</w:t>
            </w:r>
            <w:r w:rsidR="00926F6D">
              <w:rPr>
                <w:szCs w:val="18"/>
              </w:rPr>
              <w:t>.</w:t>
            </w:r>
            <w:r w:rsidR="00CD1851" w:rsidRPr="00C2368C">
              <w:rPr>
                <w:szCs w:val="18"/>
              </w:rPr>
              <w:t> </w:t>
            </w:r>
            <w:r w:rsidR="009861D0" w:rsidRPr="00C2368C">
              <w:rPr>
                <w:szCs w:val="18"/>
              </w:rPr>
              <w:t>: +33 1 76 85 05 92</w:t>
            </w:r>
            <w:r w:rsidR="00A60006" w:rsidRPr="00C2368C">
              <w:rPr>
                <w:szCs w:val="18"/>
              </w:rPr>
              <w:br/>
            </w:r>
            <w:r w:rsidR="009861D0" w:rsidRPr="00C2368C">
              <w:rPr>
                <w:szCs w:val="18"/>
              </w:rPr>
              <w:t>Fax</w:t>
            </w:r>
            <w:r w:rsidR="00CD1851" w:rsidRPr="00C2368C">
              <w:rPr>
                <w:szCs w:val="18"/>
              </w:rPr>
              <w:t> </w:t>
            </w:r>
            <w:r w:rsidR="009861D0" w:rsidRPr="00C2368C">
              <w:rPr>
                <w:szCs w:val="18"/>
              </w:rPr>
              <w:t>: +33 1 76 86 92 89</w:t>
            </w:r>
            <w:r w:rsidR="00A60006" w:rsidRPr="00C2368C">
              <w:rPr>
                <w:szCs w:val="18"/>
              </w:rPr>
              <w:br/>
            </w:r>
            <w:r w:rsidR="009861D0" w:rsidRPr="00C2368C">
              <w:rPr>
                <w:szCs w:val="18"/>
              </w:rPr>
              <w:t>Courriel</w:t>
            </w:r>
            <w:r w:rsidR="00CD1851" w:rsidRPr="00C2368C">
              <w:rPr>
                <w:szCs w:val="18"/>
              </w:rPr>
              <w:t> </w:t>
            </w:r>
            <w:r w:rsidR="001068F8" w:rsidRPr="00C2368C">
              <w:rPr>
                <w:szCs w:val="18"/>
              </w:rPr>
              <w:t>: francoise.silvani@renault.com</w:t>
            </w:r>
          </w:p>
        </w:tc>
        <w:tc>
          <w:tcPr>
            <w:tcW w:w="1558" w:type="dxa"/>
            <w:shd w:val="clear" w:color="auto" w:fill="auto"/>
          </w:tcPr>
          <w:p w:rsidR="009861D0" w:rsidRPr="00C2368C" w:rsidRDefault="009861D0" w:rsidP="008F15F9">
            <w:pPr>
              <w:spacing w:before="40" w:after="120"/>
              <w:ind w:right="113"/>
              <w:rPr>
                <w:szCs w:val="18"/>
                <w:vertAlign w:val="superscript"/>
              </w:rPr>
            </w:pPr>
            <w:r w:rsidRPr="00C2368C">
              <w:rPr>
                <w:szCs w:val="18"/>
              </w:rPr>
              <w:t>Septembre 2020</w:t>
            </w:r>
          </w:p>
        </w:tc>
      </w:tr>
      <w:tr w:rsidR="00AE56FB" w:rsidRPr="00C2368C" w:rsidTr="0003769B">
        <w:tc>
          <w:tcPr>
            <w:tcW w:w="1418" w:type="dxa"/>
            <w:shd w:val="clear" w:color="auto" w:fill="auto"/>
            <w:tcMar>
              <w:top w:w="0" w:type="dxa"/>
              <w:bottom w:w="0" w:type="dxa"/>
            </w:tcMar>
          </w:tcPr>
          <w:p w:rsidR="00AE56FB" w:rsidRPr="00C2368C" w:rsidRDefault="00AE56FB" w:rsidP="008F15F9">
            <w:pPr>
              <w:spacing w:before="40" w:after="120"/>
              <w:ind w:right="113"/>
              <w:rPr>
                <w:szCs w:val="18"/>
              </w:rPr>
            </w:pPr>
          </w:p>
        </w:tc>
        <w:tc>
          <w:tcPr>
            <w:tcW w:w="2751" w:type="dxa"/>
            <w:shd w:val="clear" w:color="auto" w:fill="auto"/>
            <w:tcMar>
              <w:top w:w="0" w:type="dxa"/>
              <w:bottom w:w="0" w:type="dxa"/>
            </w:tcMar>
          </w:tcPr>
          <w:p w:rsidR="00AE56FB" w:rsidRPr="00C2368C" w:rsidRDefault="00AE56FB" w:rsidP="008F15F9">
            <w:pPr>
              <w:spacing w:before="40" w:after="120"/>
              <w:ind w:right="113"/>
              <w:rPr>
                <w:szCs w:val="18"/>
              </w:rPr>
            </w:pPr>
            <w:r w:rsidRPr="00C2368C">
              <w:rPr>
                <w:szCs w:val="18"/>
              </w:rPr>
              <w:t>M. </w:t>
            </w:r>
            <w:proofErr w:type="spellStart"/>
            <w:r w:rsidRPr="00C2368C">
              <w:rPr>
                <w:szCs w:val="18"/>
              </w:rPr>
              <w:t>Dongming</w:t>
            </w:r>
            <w:proofErr w:type="spellEnd"/>
            <w:r w:rsidRPr="00C2368C">
              <w:rPr>
                <w:szCs w:val="18"/>
              </w:rPr>
              <w:t xml:space="preserve"> </w:t>
            </w:r>
            <w:proofErr w:type="spellStart"/>
            <w:r w:rsidRPr="00C2368C">
              <w:rPr>
                <w:szCs w:val="18"/>
              </w:rPr>
              <w:t>Xie</w:t>
            </w:r>
            <w:proofErr w:type="spellEnd"/>
            <w:r w:rsidRPr="00C2368C">
              <w:rPr>
                <w:szCs w:val="18"/>
              </w:rPr>
              <w:t xml:space="preserve"> (Chine)</w:t>
            </w:r>
            <w:r w:rsidR="00BC4D26" w:rsidRPr="00C2368C">
              <w:rPr>
                <w:szCs w:val="18"/>
              </w:rPr>
              <w:br/>
              <w:t>Tél</w:t>
            </w:r>
            <w:r w:rsidR="00926F6D">
              <w:rPr>
                <w:szCs w:val="18"/>
              </w:rPr>
              <w:t>.</w:t>
            </w:r>
            <w:r w:rsidR="00BC4D26" w:rsidRPr="00C2368C">
              <w:rPr>
                <w:szCs w:val="18"/>
              </w:rPr>
              <w:t> : +86 22 843 79284</w:t>
            </w:r>
            <w:r w:rsidR="00BC4D26" w:rsidRPr="00C2368C">
              <w:rPr>
                <w:szCs w:val="18"/>
              </w:rPr>
              <w:br/>
              <w:t>Fax : +86 22 84379259</w:t>
            </w:r>
            <w:r w:rsidR="00BC4D26" w:rsidRPr="00C2368C">
              <w:rPr>
                <w:szCs w:val="18"/>
              </w:rPr>
              <w:br/>
              <w:t>Courriel : xiedongming@catarc.ac.cn</w:t>
            </w:r>
          </w:p>
        </w:tc>
        <w:tc>
          <w:tcPr>
            <w:tcW w:w="2777" w:type="dxa"/>
            <w:shd w:val="clear" w:color="auto" w:fill="auto"/>
            <w:tcMar>
              <w:top w:w="0" w:type="dxa"/>
              <w:bottom w:w="0" w:type="dxa"/>
            </w:tcMar>
          </w:tcPr>
          <w:p w:rsidR="00AE56FB" w:rsidRPr="00C2368C" w:rsidRDefault="00AE56FB" w:rsidP="008F15F9">
            <w:pPr>
              <w:spacing w:before="40" w:after="120"/>
              <w:ind w:right="113"/>
              <w:rPr>
                <w:szCs w:val="18"/>
              </w:rPr>
            </w:pPr>
          </w:p>
        </w:tc>
        <w:tc>
          <w:tcPr>
            <w:tcW w:w="1558" w:type="dxa"/>
            <w:shd w:val="clear" w:color="auto" w:fill="auto"/>
          </w:tcPr>
          <w:p w:rsidR="00AE56FB" w:rsidRPr="00C2368C" w:rsidRDefault="00AE56FB" w:rsidP="008F15F9">
            <w:pPr>
              <w:spacing w:before="40" w:after="120"/>
              <w:ind w:right="113"/>
              <w:rPr>
                <w:szCs w:val="18"/>
              </w:rPr>
            </w:pPr>
          </w:p>
        </w:tc>
      </w:tr>
      <w:tr w:rsidR="00AE56FB" w:rsidRPr="00C2368C" w:rsidTr="0003769B">
        <w:tc>
          <w:tcPr>
            <w:tcW w:w="1418" w:type="dxa"/>
            <w:shd w:val="clear" w:color="auto" w:fill="auto"/>
            <w:tcMar>
              <w:top w:w="0" w:type="dxa"/>
              <w:bottom w:w="0" w:type="dxa"/>
            </w:tcMar>
          </w:tcPr>
          <w:p w:rsidR="00AE56FB" w:rsidRPr="00C2368C" w:rsidRDefault="00AE56FB" w:rsidP="008F15F9">
            <w:pPr>
              <w:spacing w:before="40" w:after="120"/>
              <w:ind w:right="113"/>
              <w:rPr>
                <w:szCs w:val="18"/>
              </w:rPr>
            </w:pPr>
          </w:p>
        </w:tc>
        <w:tc>
          <w:tcPr>
            <w:tcW w:w="2751" w:type="dxa"/>
            <w:shd w:val="clear" w:color="auto" w:fill="auto"/>
            <w:tcMar>
              <w:top w:w="0" w:type="dxa"/>
              <w:bottom w:w="0" w:type="dxa"/>
            </w:tcMar>
          </w:tcPr>
          <w:p w:rsidR="00AE56FB" w:rsidRPr="00C2368C" w:rsidRDefault="001C5E8B" w:rsidP="008F15F9">
            <w:pPr>
              <w:spacing w:before="40" w:after="120"/>
              <w:ind w:right="113"/>
              <w:rPr>
                <w:szCs w:val="18"/>
              </w:rPr>
            </w:pPr>
            <w:r w:rsidRPr="00C2368C">
              <w:rPr>
                <w:szCs w:val="18"/>
              </w:rPr>
              <w:t>M</w:t>
            </w:r>
            <w:r w:rsidR="00BC4D26" w:rsidRPr="00C2368C">
              <w:rPr>
                <w:szCs w:val="18"/>
              </w:rPr>
              <w:t>. </w:t>
            </w:r>
            <w:proofErr w:type="spellStart"/>
            <w:r w:rsidR="00BC4D26" w:rsidRPr="00C2368C">
              <w:rPr>
                <w:szCs w:val="18"/>
              </w:rPr>
              <w:t>Kazuhiro</w:t>
            </w:r>
            <w:proofErr w:type="spellEnd"/>
            <w:r w:rsidR="00BC4D26" w:rsidRPr="00C2368C">
              <w:rPr>
                <w:szCs w:val="18"/>
              </w:rPr>
              <w:t xml:space="preserve"> Okamoto (Japon)</w:t>
            </w:r>
            <w:r w:rsidR="00BC4D26" w:rsidRPr="00C2368C">
              <w:rPr>
                <w:szCs w:val="18"/>
              </w:rPr>
              <w:br/>
            </w:r>
            <w:r w:rsidRPr="00C2368C">
              <w:rPr>
                <w:szCs w:val="18"/>
              </w:rPr>
              <w:t>Tél</w:t>
            </w:r>
            <w:r w:rsidR="00926F6D">
              <w:rPr>
                <w:szCs w:val="18"/>
              </w:rPr>
              <w:t>.</w:t>
            </w:r>
            <w:r w:rsidRPr="00C2368C">
              <w:rPr>
                <w:szCs w:val="18"/>
              </w:rPr>
              <w:t> : +81 422 41 3227</w:t>
            </w:r>
            <w:r w:rsidRPr="00C2368C">
              <w:rPr>
                <w:szCs w:val="18"/>
              </w:rPr>
              <w:br/>
              <w:t>Fax : +81 422 41 3232</w:t>
            </w:r>
            <w:r w:rsidRPr="00C2368C">
              <w:rPr>
                <w:szCs w:val="18"/>
              </w:rPr>
              <w:br/>
              <w:t>Courriel : k</w:t>
            </w:r>
            <w:r w:rsidRPr="00C2368C">
              <w:rPr>
                <w:szCs w:val="18"/>
              </w:rPr>
              <w:noBreakHyphen/>
              <w:t>okamot@shinsa.ntsel.go.jp</w:t>
            </w:r>
          </w:p>
        </w:tc>
        <w:tc>
          <w:tcPr>
            <w:tcW w:w="2777" w:type="dxa"/>
            <w:shd w:val="clear" w:color="auto" w:fill="auto"/>
            <w:tcMar>
              <w:top w:w="0" w:type="dxa"/>
              <w:bottom w:w="0" w:type="dxa"/>
            </w:tcMar>
          </w:tcPr>
          <w:p w:rsidR="00AE56FB" w:rsidRPr="00C2368C" w:rsidRDefault="00AE56FB" w:rsidP="008F15F9">
            <w:pPr>
              <w:spacing w:before="40" w:after="120"/>
              <w:ind w:right="113"/>
              <w:rPr>
                <w:szCs w:val="18"/>
              </w:rPr>
            </w:pPr>
          </w:p>
        </w:tc>
        <w:tc>
          <w:tcPr>
            <w:tcW w:w="1558" w:type="dxa"/>
            <w:shd w:val="clear" w:color="auto" w:fill="auto"/>
          </w:tcPr>
          <w:p w:rsidR="00AE56FB" w:rsidRPr="00C2368C" w:rsidRDefault="00AE56FB" w:rsidP="008F15F9">
            <w:pPr>
              <w:spacing w:before="40" w:after="120"/>
              <w:ind w:right="113"/>
              <w:rPr>
                <w:szCs w:val="18"/>
              </w:rPr>
            </w:pPr>
          </w:p>
        </w:tc>
      </w:tr>
      <w:tr w:rsidR="008F15F9" w:rsidRPr="00C2368C" w:rsidTr="0003769B">
        <w:tc>
          <w:tcPr>
            <w:tcW w:w="1418" w:type="dxa"/>
            <w:shd w:val="clear" w:color="auto" w:fill="auto"/>
            <w:tcMar>
              <w:top w:w="0" w:type="dxa"/>
              <w:left w:w="0" w:type="dxa"/>
              <w:bottom w:w="0" w:type="dxa"/>
              <w:right w:w="0" w:type="dxa"/>
            </w:tcMar>
            <w:hideMark/>
          </w:tcPr>
          <w:p w:rsidR="009861D0" w:rsidRPr="00C2368C" w:rsidRDefault="009861D0" w:rsidP="008F15F9">
            <w:pPr>
              <w:spacing w:before="40" w:after="120"/>
              <w:ind w:right="113"/>
              <w:rPr>
                <w:szCs w:val="18"/>
              </w:rPr>
            </w:pPr>
            <w:r w:rsidRPr="00C2368C">
              <w:rPr>
                <w:szCs w:val="18"/>
              </w:rPr>
              <w:t>Adhérence sur sol mouillé des pneumatiques usagés</w:t>
            </w:r>
          </w:p>
        </w:tc>
        <w:tc>
          <w:tcPr>
            <w:tcW w:w="2751" w:type="dxa"/>
            <w:shd w:val="clear" w:color="auto" w:fill="auto"/>
            <w:tcMar>
              <w:top w:w="0" w:type="dxa"/>
              <w:left w:w="0" w:type="dxa"/>
              <w:bottom w:w="0" w:type="dxa"/>
              <w:right w:w="0" w:type="dxa"/>
            </w:tcMar>
          </w:tcPr>
          <w:p w:rsidR="009861D0" w:rsidRPr="00C2368C" w:rsidRDefault="003E6287" w:rsidP="001C5E8B">
            <w:pPr>
              <w:spacing w:before="40" w:after="120"/>
              <w:ind w:right="113"/>
              <w:rPr>
                <w:szCs w:val="18"/>
              </w:rPr>
            </w:pPr>
            <w:r w:rsidRPr="00C2368C">
              <w:rPr>
                <w:szCs w:val="18"/>
              </w:rPr>
              <w:t>M</w:t>
            </w:r>
            <w:r w:rsidRPr="00C2368C">
              <w:rPr>
                <w:szCs w:val="18"/>
                <w:vertAlign w:val="superscript"/>
              </w:rPr>
              <w:t>me</w:t>
            </w:r>
            <w:r w:rsidRPr="00C2368C">
              <w:rPr>
                <w:szCs w:val="18"/>
              </w:rPr>
              <w:t> </w:t>
            </w:r>
            <w:r w:rsidR="009861D0" w:rsidRPr="00C2368C">
              <w:rPr>
                <w:szCs w:val="18"/>
              </w:rPr>
              <w:t xml:space="preserve">Elodie </w:t>
            </w:r>
            <w:proofErr w:type="spellStart"/>
            <w:r w:rsidR="009861D0" w:rsidRPr="00C2368C">
              <w:rPr>
                <w:szCs w:val="18"/>
              </w:rPr>
              <w:t>Collot</w:t>
            </w:r>
            <w:proofErr w:type="spellEnd"/>
            <w:r w:rsidR="009861D0" w:rsidRPr="00C2368C">
              <w:rPr>
                <w:szCs w:val="18"/>
              </w:rPr>
              <w:t xml:space="preserve"> (France)</w:t>
            </w:r>
            <w:r w:rsidR="001C5E8B" w:rsidRPr="00C2368C">
              <w:rPr>
                <w:szCs w:val="18"/>
              </w:rPr>
              <w:br/>
            </w:r>
            <w:r w:rsidR="009861D0" w:rsidRPr="00C2368C">
              <w:rPr>
                <w:szCs w:val="18"/>
              </w:rPr>
              <w:t>Tél</w:t>
            </w:r>
            <w:r w:rsidR="00926F6D">
              <w:rPr>
                <w:szCs w:val="18"/>
              </w:rPr>
              <w:t>.</w:t>
            </w:r>
            <w:r w:rsidR="00CD1851" w:rsidRPr="00C2368C">
              <w:rPr>
                <w:szCs w:val="18"/>
              </w:rPr>
              <w:t> </w:t>
            </w:r>
            <w:r w:rsidR="009861D0" w:rsidRPr="00C2368C">
              <w:rPr>
                <w:szCs w:val="18"/>
              </w:rPr>
              <w:t>: +33 169 80 17 43</w:t>
            </w:r>
            <w:r w:rsidR="001C5E8B" w:rsidRPr="00C2368C">
              <w:rPr>
                <w:szCs w:val="18"/>
              </w:rPr>
              <w:br/>
            </w:r>
            <w:r w:rsidR="009861D0" w:rsidRPr="00C2368C">
              <w:rPr>
                <w:szCs w:val="18"/>
              </w:rPr>
              <w:t>Fax</w:t>
            </w:r>
            <w:r w:rsidR="00CD1851" w:rsidRPr="00C2368C">
              <w:rPr>
                <w:szCs w:val="18"/>
              </w:rPr>
              <w:t> </w:t>
            </w:r>
            <w:r w:rsidR="009861D0" w:rsidRPr="00C2368C">
              <w:rPr>
                <w:szCs w:val="18"/>
              </w:rPr>
              <w:t>: + 33 1 69 80 17 17</w:t>
            </w:r>
            <w:r w:rsidR="001C5E8B" w:rsidRPr="00C2368C">
              <w:rPr>
                <w:szCs w:val="18"/>
              </w:rPr>
              <w:br/>
              <w:t xml:space="preserve">Courriel : </w:t>
            </w:r>
            <w:hyperlink r:id="rId8" w:history="1">
              <w:r w:rsidR="001C5E8B" w:rsidRPr="00C2368C">
                <w:rPr>
                  <w:szCs w:val="18"/>
                </w:rPr>
                <w:t>elodie.collot@utacceram.com</w:t>
              </w:r>
            </w:hyperlink>
          </w:p>
        </w:tc>
        <w:tc>
          <w:tcPr>
            <w:tcW w:w="2777" w:type="dxa"/>
            <w:shd w:val="clear" w:color="auto" w:fill="auto"/>
            <w:tcMar>
              <w:top w:w="0" w:type="dxa"/>
              <w:left w:w="0" w:type="dxa"/>
              <w:bottom w:w="0" w:type="dxa"/>
              <w:right w:w="0" w:type="dxa"/>
            </w:tcMar>
            <w:hideMark/>
          </w:tcPr>
          <w:p w:rsidR="009861D0" w:rsidRPr="00C2368C" w:rsidRDefault="009861D0" w:rsidP="001C5E8B">
            <w:pPr>
              <w:spacing w:before="40" w:after="120"/>
              <w:ind w:right="113"/>
              <w:rPr>
                <w:szCs w:val="18"/>
              </w:rPr>
            </w:pPr>
            <w:r w:rsidRPr="00C2368C">
              <w:rPr>
                <w:szCs w:val="18"/>
              </w:rPr>
              <w:t>M.</w:t>
            </w:r>
            <w:r w:rsidR="00161CFD" w:rsidRPr="00C2368C">
              <w:rPr>
                <w:szCs w:val="18"/>
              </w:rPr>
              <w:t> </w:t>
            </w:r>
            <w:r w:rsidRPr="00C2368C">
              <w:rPr>
                <w:szCs w:val="18"/>
              </w:rPr>
              <w:t xml:space="preserve">Nicolas de </w:t>
            </w:r>
            <w:proofErr w:type="spellStart"/>
            <w:r w:rsidRPr="00C2368C">
              <w:rPr>
                <w:szCs w:val="18"/>
              </w:rPr>
              <w:t>Mahieu</w:t>
            </w:r>
            <w:proofErr w:type="spellEnd"/>
            <w:r w:rsidRPr="00C2368C">
              <w:rPr>
                <w:szCs w:val="18"/>
              </w:rPr>
              <w:t xml:space="preserve"> (ETRTO)</w:t>
            </w:r>
            <w:r w:rsidR="001C5E8B" w:rsidRPr="00C2368C">
              <w:rPr>
                <w:szCs w:val="18"/>
              </w:rPr>
              <w:br/>
            </w:r>
            <w:r w:rsidRPr="00C2368C">
              <w:rPr>
                <w:szCs w:val="18"/>
              </w:rPr>
              <w:t>Tél</w:t>
            </w:r>
            <w:r w:rsidR="00926F6D">
              <w:rPr>
                <w:szCs w:val="18"/>
              </w:rPr>
              <w:t>.</w:t>
            </w:r>
            <w:r w:rsidR="00161CFD" w:rsidRPr="00C2368C">
              <w:rPr>
                <w:szCs w:val="18"/>
              </w:rPr>
              <w:t> </w:t>
            </w:r>
            <w:r w:rsidR="001068F8" w:rsidRPr="00C2368C">
              <w:rPr>
                <w:szCs w:val="18"/>
              </w:rPr>
              <w:t>: +32 23 44 40 59</w:t>
            </w:r>
            <w:r w:rsidR="001C5E8B" w:rsidRPr="00C2368C">
              <w:rPr>
                <w:szCs w:val="18"/>
              </w:rPr>
              <w:br/>
            </w:r>
            <w:r w:rsidRPr="00C2368C">
              <w:rPr>
                <w:szCs w:val="18"/>
              </w:rPr>
              <w:t>Courriel</w:t>
            </w:r>
            <w:r w:rsidR="00161CFD" w:rsidRPr="00C2368C">
              <w:rPr>
                <w:szCs w:val="18"/>
              </w:rPr>
              <w:t> </w:t>
            </w:r>
            <w:r w:rsidRPr="00C2368C">
              <w:rPr>
                <w:szCs w:val="18"/>
              </w:rPr>
              <w:t>: info@etrto.org</w:t>
            </w:r>
          </w:p>
        </w:tc>
        <w:tc>
          <w:tcPr>
            <w:tcW w:w="1558" w:type="dxa"/>
            <w:shd w:val="clear" w:color="auto" w:fill="auto"/>
            <w:hideMark/>
          </w:tcPr>
          <w:p w:rsidR="009861D0" w:rsidRPr="00C2368C" w:rsidRDefault="009861D0" w:rsidP="008F15F9">
            <w:pPr>
              <w:spacing w:before="40" w:after="120"/>
              <w:ind w:right="113"/>
              <w:rPr>
                <w:szCs w:val="18"/>
              </w:rPr>
            </w:pPr>
            <w:r w:rsidRPr="00C2368C">
              <w:rPr>
                <w:szCs w:val="18"/>
              </w:rPr>
              <w:t>Septembre 2020</w:t>
            </w:r>
          </w:p>
        </w:tc>
      </w:tr>
      <w:tr w:rsidR="00AE56FB" w:rsidRPr="00C2368C" w:rsidTr="0003769B">
        <w:tc>
          <w:tcPr>
            <w:tcW w:w="1418" w:type="dxa"/>
            <w:tcBorders>
              <w:bottom w:val="single" w:sz="12" w:space="0" w:color="auto"/>
            </w:tcBorders>
            <w:shd w:val="clear" w:color="auto" w:fill="auto"/>
            <w:tcMar>
              <w:top w:w="0" w:type="dxa"/>
              <w:left w:w="0" w:type="dxa"/>
              <w:bottom w:w="0" w:type="dxa"/>
              <w:right w:w="0" w:type="dxa"/>
            </w:tcMar>
          </w:tcPr>
          <w:p w:rsidR="00AE56FB" w:rsidRPr="00C2368C" w:rsidRDefault="00AE56FB" w:rsidP="008F15F9">
            <w:pPr>
              <w:spacing w:before="40" w:after="120"/>
              <w:ind w:right="113"/>
              <w:rPr>
                <w:szCs w:val="18"/>
              </w:rPr>
            </w:pPr>
          </w:p>
        </w:tc>
        <w:tc>
          <w:tcPr>
            <w:tcW w:w="2751" w:type="dxa"/>
            <w:tcBorders>
              <w:bottom w:val="single" w:sz="12" w:space="0" w:color="auto"/>
            </w:tcBorders>
            <w:shd w:val="clear" w:color="auto" w:fill="auto"/>
            <w:tcMar>
              <w:top w:w="0" w:type="dxa"/>
              <w:left w:w="0" w:type="dxa"/>
              <w:bottom w:w="0" w:type="dxa"/>
              <w:right w:w="0" w:type="dxa"/>
            </w:tcMar>
          </w:tcPr>
          <w:p w:rsidR="00AE56FB" w:rsidRPr="00C2368C" w:rsidRDefault="001C5E8B" w:rsidP="008F15F9">
            <w:pPr>
              <w:spacing w:before="40" w:after="120"/>
              <w:ind w:right="113"/>
              <w:rPr>
                <w:szCs w:val="18"/>
              </w:rPr>
            </w:pPr>
            <w:r w:rsidRPr="00C2368C">
              <w:rPr>
                <w:szCs w:val="18"/>
              </w:rPr>
              <w:t xml:space="preserve">M. Andreas </w:t>
            </w:r>
            <w:proofErr w:type="spellStart"/>
            <w:r w:rsidRPr="00C2368C">
              <w:rPr>
                <w:szCs w:val="18"/>
              </w:rPr>
              <w:t>Vosi</w:t>
            </w:r>
            <w:r w:rsidR="00926F6D">
              <w:rPr>
                <w:szCs w:val="18"/>
              </w:rPr>
              <w:t>nis</w:t>
            </w:r>
            <w:proofErr w:type="spellEnd"/>
            <w:r w:rsidR="00926F6D">
              <w:rPr>
                <w:szCs w:val="18"/>
              </w:rPr>
              <w:t xml:space="preserve"> (DG Croissance, Commission e</w:t>
            </w:r>
            <w:r w:rsidRPr="00C2368C">
              <w:rPr>
                <w:szCs w:val="18"/>
              </w:rPr>
              <w:t>uropéenne)</w:t>
            </w:r>
            <w:r w:rsidRPr="00C2368C">
              <w:rPr>
                <w:szCs w:val="18"/>
              </w:rPr>
              <w:br/>
              <w:t>Tél</w:t>
            </w:r>
            <w:r w:rsidR="00926F6D">
              <w:rPr>
                <w:szCs w:val="18"/>
              </w:rPr>
              <w:t>.</w:t>
            </w:r>
            <w:r w:rsidRPr="00C2368C">
              <w:rPr>
                <w:szCs w:val="18"/>
              </w:rPr>
              <w:t> :+ 32 2 299 21 16</w:t>
            </w:r>
            <w:r w:rsidRPr="00C2368C">
              <w:rPr>
                <w:szCs w:val="18"/>
              </w:rPr>
              <w:br/>
              <w:t>Courriel : andreas.vosinis@ec.europa.eu</w:t>
            </w:r>
          </w:p>
        </w:tc>
        <w:tc>
          <w:tcPr>
            <w:tcW w:w="2777" w:type="dxa"/>
            <w:tcBorders>
              <w:bottom w:val="single" w:sz="12" w:space="0" w:color="auto"/>
            </w:tcBorders>
            <w:shd w:val="clear" w:color="auto" w:fill="auto"/>
            <w:tcMar>
              <w:top w:w="0" w:type="dxa"/>
              <w:left w:w="0" w:type="dxa"/>
              <w:bottom w:w="0" w:type="dxa"/>
              <w:right w:w="0" w:type="dxa"/>
            </w:tcMar>
          </w:tcPr>
          <w:p w:rsidR="00AE56FB" w:rsidRPr="00C2368C" w:rsidRDefault="00AE56FB" w:rsidP="008F15F9">
            <w:pPr>
              <w:spacing w:before="40" w:after="120"/>
              <w:ind w:right="113"/>
              <w:rPr>
                <w:szCs w:val="18"/>
              </w:rPr>
            </w:pPr>
          </w:p>
        </w:tc>
        <w:tc>
          <w:tcPr>
            <w:tcW w:w="1558" w:type="dxa"/>
            <w:tcBorders>
              <w:bottom w:val="single" w:sz="12" w:space="0" w:color="auto"/>
            </w:tcBorders>
            <w:shd w:val="clear" w:color="auto" w:fill="auto"/>
          </w:tcPr>
          <w:p w:rsidR="00AE56FB" w:rsidRPr="00C2368C" w:rsidRDefault="00AE56FB" w:rsidP="008F15F9">
            <w:pPr>
              <w:spacing w:before="40" w:after="120"/>
              <w:ind w:right="113"/>
              <w:rPr>
                <w:szCs w:val="18"/>
              </w:rPr>
            </w:pPr>
          </w:p>
        </w:tc>
      </w:tr>
    </w:tbl>
    <w:p w:rsidR="00604E3A" w:rsidRPr="00C2368C" w:rsidRDefault="00161CFD" w:rsidP="00161CFD">
      <w:pPr>
        <w:pStyle w:val="SingleTxtG"/>
        <w:spacing w:before="240" w:after="0"/>
        <w:jc w:val="center"/>
        <w:rPr>
          <w:snapToGrid w:val="0"/>
          <w:u w:val="single"/>
        </w:rPr>
      </w:pPr>
      <w:r w:rsidRPr="00C2368C">
        <w:rPr>
          <w:snapToGrid w:val="0"/>
          <w:u w:val="single"/>
        </w:rPr>
        <w:tab/>
      </w:r>
      <w:r w:rsidRPr="00C2368C">
        <w:rPr>
          <w:snapToGrid w:val="0"/>
          <w:u w:val="single"/>
        </w:rPr>
        <w:tab/>
      </w:r>
      <w:r w:rsidRPr="00C2368C">
        <w:rPr>
          <w:snapToGrid w:val="0"/>
          <w:u w:val="single"/>
        </w:rPr>
        <w:tab/>
      </w:r>
    </w:p>
    <w:sectPr w:rsidR="00604E3A" w:rsidRPr="00C2368C" w:rsidSect="003640B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12D" w:rsidRDefault="00EB512D" w:rsidP="00F95C08">
      <w:pPr>
        <w:spacing w:line="240" w:lineRule="auto"/>
      </w:pPr>
    </w:p>
  </w:endnote>
  <w:endnote w:type="continuationSeparator" w:id="0">
    <w:p w:rsidR="00EB512D" w:rsidRPr="00AC3823" w:rsidRDefault="00EB512D" w:rsidP="00AC3823">
      <w:pPr>
        <w:pStyle w:val="Pieddepage"/>
      </w:pPr>
    </w:p>
  </w:endnote>
  <w:endnote w:type="continuationNotice" w:id="1">
    <w:p w:rsidR="00EB512D" w:rsidRDefault="00EB51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12D" w:rsidRPr="003640B3" w:rsidRDefault="00EB512D" w:rsidP="003640B3">
    <w:pPr>
      <w:pStyle w:val="Pieddepage"/>
      <w:tabs>
        <w:tab w:val="right" w:pos="9638"/>
      </w:tabs>
    </w:pPr>
    <w:r w:rsidRPr="003640B3">
      <w:rPr>
        <w:b/>
        <w:sz w:val="18"/>
      </w:rPr>
      <w:fldChar w:fldCharType="begin"/>
    </w:r>
    <w:r w:rsidRPr="003640B3">
      <w:rPr>
        <w:b/>
        <w:sz w:val="18"/>
      </w:rPr>
      <w:instrText xml:space="preserve"> PAGE  \* MERGEFORMAT </w:instrText>
    </w:r>
    <w:r w:rsidRPr="003640B3">
      <w:rPr>
        <w:b/>
        <w:sz w:val="18"/>
      </w:rPr>
      <w:fldChar w:fldCharType="separate"/>
    </w:r>
    <w:r w:rsidR="003E0B58">
      <w:rPr>
        <w:b/>
        <w:noProof/>
        <w:sz w:val="18"/>
      </w:rPr>
      <w:t>20</w:t>
    </w:r>
    <w:r w:rsidRPr="003640B3">
      <w:rPr>
        <w:b/>
        <w:sz w:val="18"/>
      </w:rPr>
      <w:fldChar w:fldCharType="end"/>
    </w:r>
    <w:r>
      <w:rPr>
        <w:b/>
        <w:sz w:val="18"/>
      </w:rPr>
      <w:tab/>
    </w:r>
    <w:r>
      <w:t>GE.19-03372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12D" w:rsidRPr="003640B3" w:rsidRDefault="00EB512D" w:rsidP="003640B3">
    <w:pPr>
      <w:pStyle w:val="Pieddepage"/>
      <w:tabs>
        <w:tab w:val="right" w:pos="9638"/>
      </w:tabs>
      <w:rPr>
        <w:b/>
        <w:sz w:val="18"/>
      </w:rPr>
    </w:pPr>
    <w:r>
      <w:t>GE.19-03372</w:t>
    </w:r>
    <w:r>
      <w:tab/>
    </w:r>
    <w:r w:rsidRPr="003640B3">
      <w:rPr>
        <w:b/>
        <w:sz w:val="18"/>
      </w:rPr>
      <w:fldChar w:fldCharType="begin"/>
    </w:r>
    <w:r w:rsidRPr="003640B3">
      <w:rPr>
        <w:b/>
        <w:sz w:val="18"/>
      </w:rPr>
      <w:instrText xml:space="preserve"> PAGE  \* MERGEFORMAT </w:instrText>
    </w:r>
    <w:r w:rsidRPr="003640B3">
      <w:rPr>
        <w:b/>
        <w:sz w:val="18"/>
      </w:rPr>
      <w:fldChar w:fldCharType="separate"/>
    </w:r>
    <w:r w:rsidR="003E0B58">
      <w:rPr>
        <w:b/>
        <w:noProof/>
        <w:sz w:val="18"/>
      </w:rPr>
      <w:t>21</w:t>
    </w:r>
    <w:r w:rsidRPr="003640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12D" w:rsidRPr="003640B3" w:rsidRDefault="00EB512D" w:rsidP="003640B3">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19-03372  (F)    260319    0</w:t>
    </w:r>
    <w:r w:rsidR="00751382">
      <w:rPr>
        <w:sz w:val="20"/>
      </w:rPr>
      <w:t>3</w:t>
    </w:r>
    <w:r>
      <w:rPr>
        <w:sz w:val="20"/>
      </w:rPr>
      <w:t>0419</w:t>
    </w:r>
    <w:r>
      <w:rPr>
        <w:sz w:val="20"/>
      </w:rPr>
      <w:br/>
    </w:r>
    <w:r w:rsidRPr="003640B3">
      <w:rPr>
        <w:rFonts w:ascii="C39T30Lfz" w:hAnsi="C39T30Lfz"/>
        <w:sz w:val="56"/>
      </w:rPr>
      <w:t></w:t>
    </w:r>
    <w:r w:rsidRPr="003640B3">
      <w:rPr>
        <w:rFonts w:ascii="C39T30Lfz" w:hAnsi="C39T30Lfz"/>
        <w:sz w:val="56"/>
      </w:rPr>
      <w:t></w:t>
    </w:r>
    <w:r w:rsidRPr="003640B3">
      <w:rPr>
        <w:rFonts w:ascii="C39T30Lfz" w:hAnsi="C39T30Lfz"/>
        <w:sz w:val="56"/>
      </w:rPr>
      <w:t></w:t>
    </w:r>
    <w:r w:rsidRPr="003640B3">
      <w:rPr>
        <w:rFonts w:ascii="C39T30Lfz" w:hAnsi="C39T30Lfz"/>
        <w:sz w:val="56"/>
      </w:rPr>
      <w:t></w:t>
    </w:r>
    <w:r w:rsidRPr="003640B3">
      <w:rPr>
        <w:rFonts w:ascii="C39T30Lfz" w:hAnsi="C39T30Lfz"/>
        <w:sz w:val="56"/>
      </w:rPr>
      <w:t></w:t>
    </w:r>
    <w:r w:rsidRPr="003640B3">
      <w:rPr>
        <w:rFonts w:ascii="C39T30Lfz" w:hAnsi="C39T30Lfz"/>
        <w:sz w:val="56"/>
      </w:rPr>
      <w:t></w:t>
    </w:r>
    <w:r w:rsidRPr="003640B3">
      <w:rPr>
        <w:rFonts w:ascii="C39T30Lfz" w:hAnsi="C39T30Lfz"/>
        <w:sz w:val="56"/>
      </w:rPr>
      <w:t></w:t>
    </w:r>
    <w:r w:rsidRPr="003640B3">
      <w:rPr>
        <w:rFonts w:ascii="C39T30Lfz" w:hAnsi="C39T30Lfz"/>
        <w:sz w:val="56"/>
      </w:rPr>
      <w:t></w:t>
    </w:r>
    <w:r w:rsidRPr="003640B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6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12D" w:rsidRPr="00AC3823" w:rsidRDefault="00EB512D" w:rsidP="00AC3823">
      <w:pPr>
        <w:pStyle w:val="Pieddepage"/>
        <w:tabs>
          <w:tab w:val="right" w:pos="2155"/>
        </w:tabs>
        <w:spacing w:after="80" w:line="240" w:lineRule="atLeast"/>
        <w:ind w:left="680"/>
        <w:rPr>
          <w:u w:val="single"/>
        </w:rPr>
      </w:pPr>
      <w:r>
        <w:rPr>
          <w:u w:val="single"/>
        </w:rPr>
        <w:tab/>
      </w:r>
    </w:p>
  </w:footnote>
  <w:footnote w:type="continuationSeparator" w:id="0">
    <w:p w:rsidR="00EB512D" w:rsidRPr="00AC3823" w:rsidRDefault="00EB512D" w:rsidP="00AC3823">
      <w:pPr>
        <w:pStyle w:val="Pieddepage"/>
        <w:tabs>
          <w:tab w:val="right" w:pos="2155"/>
        </w:tabs>
        <w:spacing w:after="80" w:line="240" w:lineRule="atLeast"/>
        <w:ind w:left="680"/>
        <w:rPr>
          <w:u w:val="single"/>
        </w:rPr>
      </w:pPr>
      <w:r>
        <w:rPr>
          <w:u w:val="single"/>
        </w:rPr>
        <w:tab/>
      </w:r>
    </w:p>
  </w:footnote>
  <w:footnote w:type="continuationNotice" w:id="1">
    <w:p w:rsidR="00EB512D" w:rsidRPr="00AC3823" w:rsidRDefault="00EB512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12D" w:rsidRPr="003640B3" w:rsidRDefault="00EB512D">
    <w:pPr>
      <w:pStyle w:val="En-tte"/>
    </w:pPr>
    <w:fldSimple w:instr=" TITLE  \* MERGEFORMAT ">
      <w:r w:rsidR="003E0B58">
        <w:t>ECE/TRANS/WP.29/GRB/67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12D" w:rsidRPr="003640B3" w:rsidRDefault="00EB512D" w:rsidP="003640B3">
    <w:pPr>
      <w:pStyle w:val="En-tte"/>
      <w:jc w:val="right"/>
    </w:pPr>
    <w:fldSimple w:instr=" TITLE  \* MERGEFORMAT ">
      <w:r w:rsidR="003E0B58">
        <w:t>ECE/TRANS/WP.29/GRB/67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9750D4"/>
    <w:multiLevelType w:val="hybridMultilevel"/>
    <w:tmpl w:val="33B65796"/>
    <w:lvl w:ilvl="0" w:tplc="08090001">
      <w:start w:val="1"/>
      <w:numFmt w:val="bullet"/>
      <w:lvlText w:val=""/>
      <w:lvlJc w:val="left"/>
      <w:pPr>
        <w:ind w:left="1776" w:hanging="360"/>
      </w:pPr>
      <w:rPr>
        <w:rFonts w:ascii="Symbol" w:hAnsi="Symbol"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28F0A95"/>
    <w:multiLevelType w:val="hybridMultilevel"/>
    <w:tmpl w:val="74F44FD0"/>
    <w:lvl w:ilvl="0" w:tplc="44803D86">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7276F"/>
    <w:multiLevelType w:val="hybridMultilevel"/>
    <w:tmpl w:val="EA7EA402"/>
    <w:lvl w:ilvl="0" w:tplc="F60CE7B4">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F6DEB"/>
    <w:multiLevelType w:val="hybridMultilevel"/>
    <w:tmpl w:val="ED381EE0"/>
    <w:lvl w:ilvl="0" w:tplc="44F8539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9D108C4"/>
    <w:multiLevelType w:val="hybridMultilevel"/>
    <w:tmpl w:val="A9362B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6"/>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0"/>
  </w:num>
  <w:num w:numId="17">
    <w:abstractNumId w:val="17"/>
  </w:num>
  <w:num w:numId="18">
    <w:abstractNumId w:val="15"/>
  </w:num>
  <w:num w:numId="19">
    <w:abstractNumId w:val="11"/>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B8"/>
    <w:rsid w:val="00001621"/>
    <w:rsid w:val="0000780A"/>
    <w:rsid w:val="00012123"/>
    <w:rsid w:val="00015C52"/>
    <w:rsid w:val="00016F5A"/>
    <w:rsid w:val="00017F94"/>
    <w:rsid w:val="00023842"/>
    <w:rsid w:val="00030259"/>
    <w:rsid w:val="000306F6"/>
    <w:rsid w:val="000334F9"/>
    <w:rsid w:val="0003769B"/>
    <w:rsid w:val="00045FEB"/>
    <w:rsid w:val="000755B8"/>
    <w:rsid w:val="0007796D"/>
    <w:rsid w:val="000813CC"/>
    <w:rsid w:val="00086923"/>
    <w:rsid w:val="00091783"/>
    <w:rsid w:val="000A1E18"/>
    <w:rsid w:val="000B7790"/>
    <w:rsid w:val="0010684D"/>
    <w:rsid w:val="001068F8"/>
    <w:rsid w:val="00111F2F"/>
    <w:rsid w:val="00122EB9"/>
    <w:rsid w:val="0014365E"/>
    <w:rsid w:val="00143C66"/>
    <w:rsid w:val="00150D95"/>
    <w:rsid w:val="00161CFD"/>
    <w:rsid w:val="00176178"/>
    <w:rsid w:val="001802A1"/>
    <w:rsid w:val="00181DF0"/>
    <w:rsid w:val="001A7E9B"/>
    <w:rsid w:val="001C5E8B"/>
    <w:rsid w:val="001D7860"/>
    <w:rsid w:val="001E373D"/>
    <w:rsid w:val="001F525A"/>
    <w:rsid w:val="002208F0"/>
    <w:rsid w:val="002221E2"/>
    <w:rsid w:val="00223272"/>
    <w:rsid w:val="002237CB"/>
    <w:rsid w:val="00226E3B"/>
    <w:rsid w:val="0024779E"/>
    <w:rsid w:val="00257168"/>
    <w:rsid w:val="002744B8"/>
    <w:rsid w:val="0027517E"/>
    <w:rsid w:val="002832AC"/>
    <w:rsid w:val="00291774"/>
    <w:rsid w:val="00296633"/>
    <w:rsid w:val="002B15D2"/>
    <w:rsid w:val="002D391E"/>
    <w:rsid w:val="002D5070"/>
    <w:rsid w:val="002D53CE"/>
    <w:rsid w:val="002D7C93"/>
    <w:rsid w:val="002E448C"/>
    <w:rsid w:val="002E507E"/>
    <w:rsid w:val="00305801"/>
    <w:rsid w:val="00320B07"/>
    <w:rsid w:val="00352924"/>
    <w:rsid w:val="003640B3"/>
    <w:rsid w:val="00366F5D"/>
    <w:rsid w:val="003710F0"/>
    <w:rsid w:val="003916DE"/>
    <w:rsid w:val="00391E37"/>
    <w:rsid w:val="00392527"/>
    <w:rsid w:val="00393C8E"/>
    <w:rsid w:val="003A4586"/>
    <w:rsid w:val="003C76EB"/>
    <w:rsid w:val="003D5E78"/>
    <w:rsid w:val="003E0B58"/>
    <w:rsid w:val="003E29D7"/>
    <w:rsid w:val="003E6287"/>
    <w:rsid w:val="003F6A77"/>
    <w:rsid w:val="00421996"/>
    <w:rsid w:val="00422C33"/>
    <w:rsid w:val="00440164"/>
    <w:rsid w:val="0044120C"/>
    <w:rsid w:val="00441C3B"/>
    <w:rsid w:val="00446FE5"/>
    <w:rsid w:val="00452396"/>
    <w:rsid w:val="004837D8"/>
    <w:rsid w:val="00486D80"/>
    <w:rsid w:val="004A792D"/>
    <w:rsid w:val="004B066E"/>
    <w:rsid w:val="004C1C90"/>
    <w:rsid w:val="004C52C9"/>
    <w:rsid w:val="004C703A"/>
    <w:rsid w:val="004D512B"/>
    <w:rsid w:val="004D54C3"/>
    <w:rsid w:val="004E2EED"/>
    <w:rsid w:val="004E468C"/>
    <w:rsid w:val="004F2B9D"/>
    <w:rsid w:val="00532ACF"/>
    <w:rsid w:val="005374A8"/>
    <w:rsid w:val="0054273A"/>
    <w:rsid w:val="0054485D"/>
    <w:rsid w:val="005505B7"/>
    <w:rsid w:val="0055213C"/>
    <w:rsid w:val="00562E80"/>
    <w:rsid w:val="00573BE5"/>
    <w:rsid w:val="0057554C"/>
    <w:rsid w:val="005824FC"/>
    <w:rsid w:val="00583930"/>
    <w:rsid w:val="00586ED3"/>
    <w:rsid w:val="00587FCB"/>
    <w:rsid w:val="0059180D"/>
    <w:rsid w:val="00596AA9"/>
    <w:rsid w:val="005979E9"/>
    <w:rsid w:val="005B055A"/>
    <w:rsid w:val="005C0E38"/>
    <w:rsid w:val="005D3BE1"/>
    <w:rsid w:val="00604E3A"/>
    <w:rsid w:val="00606E8E"/>
    <w:rsid w:val="00607BEF"/>
    <w:rsid w:val="00612EA1"/>
    <w:rsid w:val="00676249"/>
    <w:rsid w:val="00682480"/>
    <w:rsid w:val="00683ADD"/>
    <w:rsid w:val="006923CE"/>
    <w:rsid w:val="006B36BD"/>
    <w:rsid w:val="006B6196"/>
    <w:rsid w:val="006D6A33"/>
    <w:rsid w:val="006D786F"/>
    <w:rsid w:val="007101E1"/>
    <w:rsid w:val="0071601D"/>
    <w:rsid w:val="00721AAC"/>
    <w:rsid w:val="00722609"/>
    <w:rsid w:val="007462E8"/>
    <w:rsid w:val="007473EC"/>
    <w:rsid w:val="00751382"/>
    <w:rsid w:val="007A62E6"/>
    <w:rsid w:val="007B40E9"/>
    <w:rsid w:val="007D4300"/>
    <w:rsid w:val="007E776C"/>
    <w:rsid w:val="007F1017"/>
    <w:rsid w:val="007F20FA"/>
    <w:rsid w:val="007F6E95"/>
    <w:rsid w:val="0080684C"/>
    <w:rsid w:val="008208A3"/>
    <w:rsid w:val="00825D6E"/>
    <w:rsid w:val="00863FD4"/>
    <w:rsid w:val="00871C75"/>
    <w:rsid w:val="00876B45"/>
    <w:rsid w:val="008776DC"/>
    <w:rsid w:val="008871FA"/>
    <w:rsid w:val="008C153F"/>
    <w:rsid w:val="008F15F9"/>
    <w:rsid w:val="00903749"/>
    <w:rsid w:val="0091610C"/>
    <w:rsid w:val="009204D7"/>
    <w:rsid w:val="00926F6D"/>
    <w:rsid w:val="00931CF2"/>
    <w:rsid w:val="00942151"/>
    <w:rsid w:val="009446C0"/>
    <w:rsid w:val="009677C5"/>
    <w:rsid w:val="009705C8"/>
    <w:rsid w:val="00973173"/>
    <w:rsid w:val="009861D0"/>
    <w:rsid w:val="009A1E3B"/>
    <w:rsid w:val="009A59ED"/>
    <w:rsid w:val="009C1CF4"/>
    <w:rsid w:val="009D2CE8"/>
    <w:rsid w:val="009F49F2"/>
    <w:rsid w:val="009F6B74"/>
    <w:rsid w:val="00A033CF"/>
    <w:rsid w:val="00A0398B"/>
    <w:rsid w:val="00A13F09"/>
    <w:rsid w:val="00A1546C"/>
    <w:rsid w:val="00A3029F"/>
    <w:rsid w:val="00A30353"/>
    <w:rsid w:val="00A5558E"/>
    <w:rsid w:val="00A60006"/>
    <w:rsid w:val="00A65C61"/>
    <w:rsid w:val="00A748D9"/>
    <w:rsid w:val="00A80559"/>
    <w:rsid w:val="00AA29E4"/>
    <w:rsid w:val="00AB3A41"/>
    <w:rsid w:val="00AB5A0B"/>
    <w:rsid w:val="00AC3823"/>
    <w:rsid w:val="00AE323C"/>
    <w:rsid w:val="00AE56FB"/>
    <w:rsid w:val="00AF0CB5"/>
    <w:rsid w:val="00B00181"/>
    <w:rsid w:val="00B00B0D"/>
    <w:rsid w:val="00B1308C"/>
    <w:rsid w:val="00B177AA"/>
    <w:rsid w:val="00B27B96"/>
    <w:rsid w:val="00B27DD9"/>
    <w:rsid w:val="00B300B0"/>
    <w:rsid w:val="00B3743F"/>
    <w:rsid w:val="00B4394E"/>
    <w:rsid w:val="00B45F2E"/>
    <w:rsid w:val="00B67A88"/>
    <w:rsid w:val="00B76009"/>
    <w:rsid w:val="00B765F7"/>
    <w:rsid w:val="00B870CE"/>
    <w:rsid w:val="00B93535"/>
    <w:rsid w:val="00BA0CA9"/>
    <w:rsid w:val="00BA4C48"/>
    <w:rsid w:val="00BB4B6B"/>
    <w:rsid w:val="00BC4D26"/>
    <w:rsid w:val="00C02897"/>
    <w:rsid w:val="00C05E01"/>
    <w:rsid w:val="00C17B41"/>
    <w:rsid w:val="00C2368C"/>
    <w:rsid w:val="00C26A17"/>
    <w:rsid w:val="00C50551"/>
    <w:rsid w:val="00C65E89"/>
    <w:rsid w:val="00C86A01"/>
    <w:rsid w:val="00C97039"/>
    <w:rsid w:val="00CA7A08"/>
    <w:rsid w:val="00CD1851"/>
    <w:rsid w:val="00D068BC"/>
    <w:rsid w:val="00D3439C"/>
    <w:rsid w:val="00D62AE7"/>
    <w:rsid w:val="00D72AA8"/>
    <w:rsid w:val="00D738E6"/>
    <w:rsid w:val="00D851C6"/>
    <w:rsid w:val="00DA3A10"/>
    <w:rsid w:val="00DA6123"/>
    <w:rsid w:val="00DB1831"/>
    <w:rsid w:val="00DD3BFD"/>
    <w:rsid w:val="00DF6678"/>
    <w:rsid w:val="00E01DAB"/>
    <w:rsid w:val="00E0299A"/>
    <w:rsid w:val="00E33A1F"/>
    <w:rsid w:val="00E34DFF"/>
    <w:rsid w:val="00E47EFB"/>
    <w:rsid w:val="00E50BF8"/>
    <w:rsid w:val="00E528DB"/>
    <w:rsid w:val="00E85C74"/>
    <w:rsid w:val="00EA2B30"/>
    <w:rsid w:val="00EA5E74"/>
    <w:rsid w:val="00EA6547"/>
    <w:rsid w:val="00EB512D"/>
    <w:rsid w:val="00EF2E22"/>
    <w:rsid w:val="00EF49EC"/>
    <w:rsid w:val="00EF57A2"/>
    <w:rsid w:val="00F35BAF"/>
    <w:rsid w:val="00F660DF"/>
    <w:rsid w:val="00F76A02"/>
    <w:rsid w:val="00F77EFC"/>
    <w:rsid w:val="00F821CB"/>
    <w:rsid w:val="00F9431F"/>
    <w:rsid w:val="00F94664"/>
    <w:rsid w:val="00F9573C"/>
    <w:rsid w:val="00F95C08"/>
    <w:rsid w:val="00F95E7D"/>
    <w:rsid w:val="00FB0025"/>
    <w:rsid w:val="00FE526D"/>
    <w:rsid w:val="00FF461B"/>
    <w:rsid w:val="00FF5D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543731"/>
  <w15:docId w15:val="{3FF7F281-57D4-41BA-8EF0-4CF54D1B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23GChar">
    <w:name w:val="_ H_2/3_G Char"/>
    <w:link w:val="H23G"/>
    <w:rsid w:val="003F6A77"/>
    <w:rPr>
      <w:rFonts w:ascii="Times New Roman" w:eastAsiaTheme="minorHAnsi" w:hAnsi="Times New Roman" w:cs="Times New Roman"/>
      <w:b/>
      <w:sz w:val="20"/>
      <w:szCs w:val="20"/>
      <w:lang w:eastAsia="en-US"/>
    </w:rPr>
  </w:style>
  <w:style w:type="paragraph" w:styleId="NormalWeb">
    <w:name w:val="Normal (Web)"/>
    <w:basedOn w:val="Normal"/>
    <w:uiPriority w:val="99"/>
    <w:rsid w:val="00532ACF"/>
    <w:pPr>
      <w:kinsoku/>
      <w:overflowPunct/>
      <w:autoSpaceDE/>
      <w:autoSpaceDN/>
      <w:adjustRightInd/>
      <w:snapToGrid/>
    </w:pPr>
    <w:rPr>
      <w:rFonts w:eastAsia="Times New Roman"/>
      <w:sz w:val="24"/>
      <w:szCs w:val="24"/>
      <w:lang w:val="en-GB"/>
    </w:rPr>
  </w:style>
  <w:style w:type="paragraph" w:styleId="Corpsdetexte">
    <w:name w:val="Body Text"/>
    <w:basedOn w:val="Normal"/>
    <w:next w:val="Normal"/>
    <w:link w:val="CorpsdetexteCar"/>
    <w:rsid w:val="00B67A88"/>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rsid w:val="00B67A88"/>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die.collot@utacceram.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5</TotalTime>
  <Pages>21</Pages>
  <Words>6441</Words>
  <Characters>35430</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ECE/TRANS/WP.29/GRB/67</vt:lpstr>
    </vt:vector>
  </TitlesOfParts>
  <Company>DCM</Company>
  <LinksUpToDate>false</LinksUpToDate>
  <CharactersWithSpaces>41788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ECE/TRANS/WP.29/GRB/67</dc:title>
  <dc:subject/>
  <dc:creator>Fabienne CRELIER</dc:creator>
  <cp:keywords/>
  <cp:lastModifiedBy>Fabienne Crelier</cp:lastModifiedBy>
  <cp:revision>3</cp:revision>
  <cp:lastPrinted>2019-04-03T07:31:00Z</cp:lastPrinted>
  <dcterms:created xsi:type="dcterms:W3CDTF">2019-04-03T07:31:00Z</dcterms:created>
  <dcterms:modified xsi:type="dcterms:W3CDTF">2019-04-03T07:36:00Z</dcterms:modified>
</cp:coreProperties>
</file>