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209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20901" w:rsidP="00020901">
            <w:pPr>
              <w:jc w:val="right"/>
            </w:pPr>
            <w:r w:rsidRPr="00020901">
              <w:rPr>
                <w:sz w:val="40"/>
              </w:rPr>
              <w:t>ECE</w:t>
            </w:r>
            <w:r>
              <w:t>/TRANS/WP.29/GRB/2019/9</w:t>
            </w:r>
          </w:p>
        </w:tc>
      </w:tr>
      <w:tr w:rsidR="002D5AAC" w:rsidRPr="0002090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209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20901" w:rsidRDefault="00020901" w:rsidP="000209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2018</w:t>
            </w:r>
          </w:p>
          <w:p w:rsidR="00020901" w:rsidRDefault="00020901" w:rsidP="000209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20901" w:rsidRPr="008D53B6" w:rsidRDefault="00020901" w:rsidP="000209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020901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20901" w:rsidRPr="00020901" w:rsidRDefault="00020901" w:rsidP="0002090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020901">
        <w:rPr>
          <w:sz w:val="28"/>
          <w:szCs w:val="28"/>
        </w:rPr>
        <w:t>Комитет по внутреннему транспорту</w:t>
      </w:r>
    </w:p>
    <w:p w:rsidR="00020901" w:rsidRPr="00020901" w:rsidRDefault="00020901" w:rsidP="00020901">
      <w:pPr>
        <w:pStyle w:val="SingleTxtGR"/>
        <w:ind w:left="0"/>
        <w:jc w:val="left"/>
        <w:rPr>
          <w:b/>
          <w:sz w:val="24"/>
          <w:szCs w:val="24"/>
        </w:rPr>
      </w:pPr>
      <w:r w:rsidRPr="0002090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20901">
        <w:rPr>
          <w:b/>
          <w:bCs/>
          <w:sz w:val="24"/>
          <w:szCs w:val="24"/>
        </w:rPr>
        <w:t>в области транспортных средств</w:t>
      </w:r>
    </w:p>
    <w:p w:rsidR="00020901" w:rsidRPr="00020901" w:rsidRDefault="00020901" w:rsidP="00020901">
      <w:pPr>
        <w:pStyle w:val="SingleTxtGR"/>
        <w:spacing w:after="0"/>
        <w:ind w:left="0"/>
        <w:jc w:val="left"/>
        <w:rPr>
          <w:b/>
        </w:rPr>
      </w:pPr>
      <w:r w:rsidRPr="00020901">
        <w:rPr>
          <w:b/>
          <w:bCs/>
        </w:rPr>
        <w:t>Рабочая группа по вопросам шума</w:t>
      </w:r>
    </w:p>
    <w:p w:rsidR="00020901" w:rsidRPr="00020901" w:rsidRDefault="00020901" w:rsidP="00020901">
      <w:pPr>
        <w:pStyle w:val="SingleTxtGR"/>
        <w:spacing w:before="120" w:after="0"/>
        <w:ind w:left="0"/>
        <w:jc w:val="left"/>
        <w:rPr>
          <w:b/>
        </w:rPr>
      </w:pPr>
      <w:r w:rsidRPr="00020901">
        <w:rPr>
          <w:b/>
          <w:bCs/>
        </w:rPr>
        <w:t>Шестьдесят девятая сессия</w:t>
      </w:r>
    </w:p>
    <w:p w:rsidR="00020901" w:rsidRPr="00020901" w:rsidRDefault="00020901" w:rsidP="00020901">
      <w:pPr>
        <w:pStyle w:val="SingleTxtGR"/>
        <w:spacing w:after="0"/>
        <w:ind w:left="0"/>
        <w:jc w:val="left"/>
      </w:pPr>
      <w:r w:rsidRPr="00020901">
        <w:t>Женева, 22–25 января 2019 года</w:t>
      </w:r>
    </w:p>
    <w:p w:rsidR="00020901" w:rsidRPr="00020901" w:rsidRDefault="00020901" w:rsidP="00020901">
      <w:pPr>
        <w:pStyle w:val="SingleTxtGR"/>
        <w:spacing w:after="0"/>
        <w:ind w:left="0"/>
        <w:jc w:val="left"/>
      </w:pPr>
      <w:r w:rsidRPr="00020901">
        <w:t>Пункт 4 а) предварительной повестки дня</w:t>
      </w:r>
    </w:p>
    <w:p w:rsidR="00020901" w:rsidRPr="00020901" w:rsidRDefault="00020901" w:rsidP="00020901">
      <w:pPr>
        <w:pStyle w:val="SingleTxtGR"/>
        <w:spacing w:after="0"/>
        <w:ind w:left="0"/>
        <w:jc w:val="left"/>
        <w:rPr>
          <w:b/>
        </w:rPr>
      </w:pPr>
      <w:r w:rsidRPr="00020901">
        <w:rPr>
          <w:b/>
          <w:bCs/>
        </w:rPr>
        <w:t>Правила № 51 ООН (шум, производимый транспортными</w:t>
      </w:r>
      <w:r>
        <w:rPr>
          <w:b/>
          <w:bCs/>
        </w:rPr>
        <w:br/>
      </w:r>
      <w:r w:rsidRPr="00020901">
        <w:rPr>
          <w:b/>
          <w:bCs/>
        </w:rPr>
        <w:t>средствами категорий M и N): разработка</w:t>
      </w:r>
    </w:p>
    <w:p w:rsidR="00020901" w:rsidRPr="00020901" w:rsidRDefault="00020901" w:rsidP="00020901">
      <w:pPr>
        <w:pStyle w:val="HChGR"/>
      </w:pPr>
      <w:r w:rsidRPr="00020901">
        <w:tab/>
      </w:r>
      <w:r w:rsidRPr="00020901">
        <w:tab/>
        <w:t>Предложение по исправлению 1 к дополнению 4 к</w:t>
      </w:r>
      <w:r>
        <w:rPr>
          <w:lang w:val="en-US"/>
        </w:rPr>
        <w:t> </w:t>
      </w:r>
      <w:r w:rsidRPr="00020901">
        <w:t>поправкам серии 03 к Правилам № 51 ООН</w:t>
      </w:r>
    </w:p>
    <w:p w:rsidR="00020901" w:rsidRPr="00020901" w:rsidRDefault="00020901" w:rsidP="00020901">
      <w:pPr>
        <w:pStyle w:val="H1GR"/>
      </w:pPr>
      <w:r w:rsidRPr="00020901">
        <w:tab/>
      </w:r>
      <w:r w:rsidRPr="00020901">
        <w:tab/>
        <w:t>Представлено неофициальной рабочей группой по</w:t>
      </w:r>
      <w:r>
        <w:rPr>
          <w:lang w:val="en-US"/>
        </w:rPr>
        <w:t> </w:t>
      </w:r>
      <w:r w:rsidRPr="00020901">
        <w:t>дополнительным положениям, касающимся уровня звука</w:t>
      </w:r>
      <w:r w:rsidRPr="00020901">
        <w:rPr>
          <w:b w:val="0"/>
          <w:sz w:val="20"/>
        </w:rPr>
        <w:footnoteReference w:customMarkFollows="1" w:id="1"/>
        <w:t>*</w:t>
      </w:r>
    </w:p>
    <w:p w:rsidR="00020901" w:rsidRPr="00020901" w:rsidRDefault="00F51CFE" w:rsidP="00020901">
      <w:pPr>
        <w:pStyle w:val="SingleTxtGR"/>
      </w:pPr>
      <w:r>
        <w:tab/>
      </w:r>
      <w:r w:rsidR="00020901" w:rsidRPr="00020901">
        <w:t xml:space="preserve">Воспроизведенный ниже текст был подготовлен неофициальной рабочей группой (НРГ) по дополнительным положениям об уровне звука (ДПУЗ) для включения переходных положений в соответствии с переходными положениями в дополнении 3 и воспроизведения предложения, которое было по ошибке удалено из дополнения 4 к поправкам серии 03 к Правилам № 51 ООН. Предлагаемая поправка основана на документе ECE/TRANS/WP.29/2018/63, который был принят Всемирным форумом для согласования правил в области транспортных средств на его </w:t>
      </w:r>
      <w:r>
        <w:br/>
      </w:r>
      <w:r w:rsidR="00020901" w:rsidRPr="00020901">
        <w:t xml:space="preserve">175-й сессии. Изменения выделены жирным шрифтом в случае нового текста либо зачеркиванием в случае исключенного текста. </w:t>
      </w:r>
    </w:p>
    <w:p w:rsidR="00020901" w:rsidRPr="00020901" w:rsidRDefault="00020901" w:rsidP="00020901">
      <w:pPr>
        <w:pStyle w:val="SingleTxtGR"/>
        <w:rPr>
          <w:b/>
        </w:rPr>
      </w:pPr>
      <w:r w:rsidRPr="00020901">
        <w:br w:type="page"/>
      </w:r>
    </w:p>
    <w:p w:rsidR="00020901" w:rsidRPr="00020901" w:rsidRDefault="00020901" w:rsidP="00F51CFE">
      <w:pPr>
        <w:pStyle w:val="HChGR"/>
      </w:pPr>
      <w:r w:rsidRPr="00020901">
        <w:lastRenderedPageBreak/>
        <w:tab/>
        <w:t>I.</w:t>
      </w:r>
      <w:r w:rsidRPr="00020901">
        <w:tab/>
        <w:t>Предложение</w:t>
      </w:r>
    </w:p>
    <w:p w:rsidR="00020901" w:rsidRPr="00020901" w:rsidRDefault="00020901" w:rsidP="00020901">
      <w:pPr>
        <w:pStyle w:val="SingleTxtGR"/>
      </w:pPr>
      <w:r w:rsidRPr="00020901">
        <w:rPr>
          <w:i/>
          <w:iCs/>
        </w:rPr>
        <w:t>Включить новый пункт 11.10</w:t>
      </w:r>
      <w:r w:rsidRPr="00020901">
        <w:t xml:space="preserve"> следующего содержания:</w:t>
      </w:r>
    </w:p>
    <w:p w:rsidR="00020901" w:rsidRPr="00020901" w:rsidRDefault="00020901" w:rsidP="00F51CFE">
      <w:pPr>
        <w:pStyle w:val="SingleTxtGR"/>
        <w:ind w:left="2268" w:hanging="1134"/>
        <w:rPr>
          <w:b/>
        </w:rPr>
      </w:pPr>
      <w:r w:rsidRPr="00B06D64">
        <w:t>«</w:t>
      </w:r>
      <w:r w:rsidRPr="00020901">
        <w:rPr>
          <w:b/>
          <w:bCs/>
        </w:rPr>
        <w:t>11.10</w:t>
      </w:r>
      <w:r w:rsidRPr="00020901">
        <w:tab/>
      </w:r>
      <w:r w:rsidRPr="00020901">
        <w:tab/>
      </w:r>
      <w:r w:rsidRPr="00020901">
        <w:rPr>
          <w:b/>
          <w:bCs/>
        </w:rPr>
        <w:t>До 1 мая 2020 года дополнение 4 не применяется к существующим официальным утверждениям, первоначально предоставленным до</w:t>
      </w:r>
      <w:r w:rsidR="00641FA9">
        <w:rPr>
          <w:b/>
          <w:bCs/>
          <w:lang w:val="en-US"/>
        </w:rPr>
        <w:t> </w:t>
      </w:r>
      <w:r w:rsidRPr="00020901">
        <w:rPr>
          <w:b/>
          <w:bCs/>
        </w:rPr>
        <w:t>даты вступления в силу дополнения 4</w:t>
      </w:r>
      <w:r w:rsidRPr="00081EF3">
        <w:rPr>
          <w:bCs/>
        </w:rPr>
        <w:t>»</w:t>
      </w:r>
      <w:r w:rsidRPr="00020901">
        <w:t>.</w:t>
      </w:r>
    </w:p>
    <w:p w:rsidR="00020901" w:rsidRPr="00020901" w:rsidRDefault="00020901" w:rsidP="00020901">
      <w:pPr>
        <w:pStyle w:val="SingleTxtGR"/>
      </w:pPr>
      <w:r w:rsidRPr="00020901">
        <w:rPr>
          <w:i/>
          <w:iCs/>
        </w:rPr>
        <w:t>Приложение 3, пункт 3.1.2.1.4.2</w:t>
      </w:r>
      <w:r w:rsidRPr="00020901">
        <w:t xml:space="preserve"> изменить следующим образом:</w:t>
      </w:r>
    </w:p>
    <w:p w:rsidR="00020901" w:rsidRPr="00D16237" w:rsidRDefault="00020901" w:rsidP="00F51CFE">
      <w:pPr>
        <w:pStyle w:val="SingleTxtGR"/>
        <w:ind w:left="2268" w:hanging="1134"/>
      </w:pPr>
      <w:r w:rsidRPr="00020901">
        <w:t>«3.1.2.1.4.2</w:t>
      </w:r>
      <w:r w:rsidRPr="00020901">
        <w:tab/>
        <w:t>Транспортные средства, оснащенные автоматической трансмиссией, адаптивными трансмиссиями и БКП, испытываемыми без блокировки передаточных чисел</w:t>
      </w:r>
      <w:r w:rsidR="00D16237">
        <w:t>:</w:t>
      </w:r>
    </w:p>
    <w:p w:rsidR="00020901" w:rsidRPr="00020901" w:rsidRDefault="00020901" w:rsidP="00F51CFE">
      <w:pPr>
        <w:pStyle w:val="SingleTxtGR"/>
        <w:ind w:left="2268"/>
        <w:rPr>
          <w:bCs/>
        </w:rPr>
      </w:pPr>
      <w:r w:rsidRPr="00020901">
        <w:rPr>
          <w:bCs/>
        </w:rPr>
        <w:t>Используют положение переключателя передачи, которое соответствует полностью автоматическому режиму.</w:t>
      </w:r>
    </w:p>
    <w:p w:rsidR="00020901" w:rsidRPr="00020901" w:rsidRDefault="00020901" w:rsidP="00F51CFE">
      <w:pPr>
        <w:pStyle w:val="SingleTxtGR"/>
        <w:ind w:left="2268"/>
      </w:pPr>
      <w:r w:rsidRPr="00020901">
        <w:rPr>
          <w:bCs/>
        </w:rPr>
        <w:t>Значение ускорения а</w:t>
      </w:r>
      <w:r w:rsidRPr="00020901">
        <w:rPr>
          <w:bCs/>
          <w:vertAlign w:val="subscript"/>
          <w:lang w:val="en-GB"/>
        </w:rPr>
        <w:t>wot test</w:t>
      </w:r>
      <w:r w:rsidRPr="00020901">
        <w:rPr>
          <w:bCs/>
        </w:rPr>
        <w:t xml:space="preserve"> рассчитывают в соответствии с указаниями, содержащимися в пункте 3.1.2.1.2.2.</w:t>
      </w:r>
    </w:p>
    <w:p w:rsidR="00020901" w:rsidRPr="00020901" w:rsidRDefault="00020901" w:rsidP="00F51CFE">
      <w:pPr>
        <w:pStyle w:val="SingleTxtGR"/>
        <w:ind w:left="2268"/>
        <w:rPr>
          <w:bCs/>
        </w:rPr>
      </w:pPr>
      <w:r w:rsidRPr="00020901">
        <w:t xml:space="preserve">Затем в ходе испытания передаточное число может быть изменено в расчете на менее высокий диапазон и большее ускорение. Изменения передаточного числа в расчете на более высокий диапазон и меньшее ускорение не допускается. </w:t>
      </w:r>
      <w:r w:rsidRPr="00020901">
        <w:rPr>
          <w:bCs/>
        </w:rPr>
        <w:t xml:space="preserve">Использовать передаточное число, которое не применяется в условиях движения в городе, не рекомендуется. </w:t>
      </w:r>
    </w:p>
    <w:p w:rsidR="00020901" w:rsidRPr="00020901" w:rsidRDefault="00020901" w:rsidP="00F51CFE">
      <w:pPr>
        <w:pStyle w:val="SingleTxtGR"/>
        <w:ind w:left="2268"/>
      </w:pPr>
      <w:r w:rsidRPr="00020901">
        <w:rPr>
          <w:bCs/>
        </w:rPr>
        <w:t>Таким образом, допускается установка и использование электронных либо механических устройств, в том числе переменных положений переключателя передачи, которые препятствуют понижению передаточного числа до значения, которое обычно не применяется в указанных условиях испытания при движении в городе.</w:t>
      </w:r>
    </w:p>
    <w:p w:rsidR="00020901" w:rsidRPr="00020901" w:rsidRDefault="00020901" w:rsidP="00F51CFE">
      <w:pPr>
        <w:pStyle w:val="SingleTxtGR"/>
        <w:ind w:left="2268"/>
        <w:rPr>
          <w:b/>
        </w:rPr>
      </w:pPr>
      <w:r w:rsidRPr="00020901">
        <w:rPr>
          <w:b/>
        </w:rPr>
        <w:t>Достигнутое значение ускорения а</w:t>
      </w:r>
      <w:r w:rsidRPr="00020901">
        <w:rPr>
          <w:b/>
          <w:vertAlign w:val="subscript"/>
          <w:lang w:val="en-GB"/>
        </w:rPr>
        <w:t>wot test</w:t>
      </w:r>
      <w:r w:rsidRPr="00020901">
        <w:rPr>
          <w:b/>
        </w:rPr>
        <w:t xml:space="preserve"> должно быть не ниже а</w:t>
      </w:r>
      <w:r w:rsidRPr="00020901">
        <w:rPr>
          <w:b/>
          <w:vertAlign w:val="subscript"/>
          <w:lang w:val="en-GB"/>
        </w:rPr>
        <w:t>urban</w:t>
      </w:r>
      <w:r w:rsidRPr="00020901">
        <w:rPr>
          <w:b/>
        </w:rPr>
        <w:t>.</w:t>
      </w:r>
    </w:p>
    <w:p w:rsidR="00020901" w:rsidRPr="00020901" w:rsidRDefault="00020901" w:rsidP="00F51CFE">
      <w:pPr>
        <w:pStyle w:val="SingleTxtGR"/>
        <w:ind w:left="2268"/>
      </w:pPr>
      <w:r w:rsidRPr="00020901">
        <w:t>Изготовитель по возможности принимает меры для недопущения того, чтобы значение ускорения а</w:t>
      </w:r>
      <w:r w:rsidRPr="00020901">
        <w:rPr>
          <w:vertAlign w:val="subscript"/>
          <w:lang w:val="en-GB"/>
        </w:rPr>
        <w:t>wot</w:t>
      </w:r>
      <w:r w:rsidRPr="00020901">
        <w:t xml:space="preserve"> </w:t>
      </w:r>
      <w:r w:rsidRPr="00020901">
        <w:rPr>
          <w:vertAlign w:val="subscript"/>
          <w:lang w:val="en-GB"/>
        </w:rPr>
        <w:t>test</w:t>
      </w:r>
      <w:r w:rsidRPr="00020901">
        <w:rPr>
          <w:vertAlign w:val="subscript"/>
        </w:rPr>
        <w:t xml:space="preserve"> </w:t>
      </w:r>
      <w:r w:rsidRPr="00020901">
        <w:t>превышало 2,0 м/с</w:t>
      </w:r>
      <w:r w:rsidRPr="00020901">
        <w:rPr>
          <w:vertAlign w:val="superscript"/>
        </w:rPr>
        <w:t>2</w:t>
      </w:r>
      <w:r w:rsidRPr="00020901">
        <w:t>.</w:t>
      </w:r>
    </w:p>
    <w:p w:rsidR="00020901" w:rsidRPr="00020901" w:rsidRDefault="00020901" w:rsidP="00F51CFE">
      <w:pPr>
        <w:pStyle w:val="SingleTxtGR"/>
        <w:ind w:left="2268"/>
      </w:pPr>
      <w:r w:rsidRPr="00020901">
        <w:t>В таблице 1, содержащейся в добавлении к приложению 3, приведены примеры приемлемых методов контроля понижения передач или недопущения ускорений, превышающих 2,0 м/с</w:t>
      </w:r>
      <w:r w:rsidRPr="00020901">
        <w:rPr>
          <w:vertAlign w:val="superscript"/>
        </w:rPr>
        <w:t>2</w:t>
      </w:r>
      <w:r w:rsidRPr="00020901">
        <w:t xml:space="preserve">. Любой метод, используемый изготовителем для вышеупомянутых целей, указывают в протоколе испытания. </w:t>
      </w:r>
    </w:p>
    <w:p w:rsidR="00020901" w:rsidRPr="00020901" w:rsidRDefault="00020901" w:rsidP="00F51CFE">
      <w:pPr>
        <w:pStyle w:val="SingleTxtGR"/>
        <w:ind w:left="2268"/>
        <w:rPr>
          <w:i/>
        </w:rPr>
      </w:pPr>
      <w:r w:rsidRPr="00020901">
        <w:rPr>
          <w:bCs/>
        </w:rPr>
        <w:t>Затем значение достигнутого ускорения а</w:t>
      </w:r>
      <w:r w:rsidRPr="00020901">
        <w:rPr>
          <w:bCs/>
          <w:vertAlign w:val="subscript"/>
          <w:lang w:val="en-GB"/>
        </w:rPr>
        <w:t>wot test</w:t>
      </w:r>
      <w:r w:rsidRPr="00020901">
        <w:rPr>
          <w:bCs/>
        </w:rPr>
        <w:t xml:space="preserve"> используют для расчета коэффициента частичной мощности </w:t>
      </w:r>
      <w:r w:rsidRPr="00020901">
        <w:rPr>
          <w:bCs/>
          <w:lang w:val="en-GB"/>
        </w:rPr>
        <w:t>k</w:t>
      </w:r>
      <w:r w:rsidRPr="00020901">
        <w:rPr>
          <w:bCs/>
          <w:vertAlign w:val="subscript"/>
          <w:lang w:val="en-GB"/>
        </w:rPr>
        <w:t>p</w:t>
      </w:r>
      <w:r w:rsidRPr="00020901">
        <w:rPr>
          <w:bCs/>
        </w:rPr>
        <w:t xml:space="preserve"> (см. пункт 3.1.2.1.3) вместо а</w:t>
      </w:r>
      <w:r w:rsidRPr="00020901">
        <w:rPr>
          <w:bCs/>
          <w:vertAlign w:val="subscript"/>
          <w:lang w:val="en-GB"/>
        </w:rPr>
        <w:t>wot ref</w:t>
      </w:r>
      <w:r w:rsidRPr="00694F86">
        <w:t>»</w:t>
      </w:r>
      <w:r w:rsidRPr="00020901">
        <w:t>.</w:t>
      </w:r>
      <w:bookmarkStart w:id="1" w:name="_Hlk529320610"/>
      <w:bookmarkEnd w:id="1"/>
    </w:p>
    <w:p w:rsidR="00020901" w:rsidRPr="00020901" w:rsidRDefault="00F51CFE" w:rsidP="00F51CFE">
      <w:pPr>
        <w:pStyle w:val="HChGR"/>
      </w:pPr>
      <w:r>
        <w:tab/>
      </w:r>
      <w:r w:rsidR="00020901" w:rsidRPr="00020901">
        <w:t>II.</w:t>
      </w:r>
      <w:r w:rsidR="00020901" w:rsidRPr="00020901">
        <w:tab/>
        <w:t>Обоснование</w:t>
      </w:r>
    </w:p>
    <w:p w:rsidR="00020901" w:rsidRPr="00020901" w:rsidRDefault="00020901" w:rsidP="00020901">
      <w:pPr>
        <w:pStyle w:val="SingleTxtGR"/>
        <w:rPr>
          <w:i/>
        </w:rPr>
      </w:pPr>
      <w:r w:rsidRPr="00020901">
        <w:rPr>
          <w:i/>
          <w:iCs/>
        </w:rPr>
        <w:t>Пункт 11.10 основного текста</w:t>
      </w:r>
    </w:p>
    <w:p w:rsidR="00020901" w:rsidRPr="00020901" w:rsidRDefault="00020901" w:rsidP="00641FA9">
      <w:pPr>
        <w:pStyle w:val="SingleTxtGR"/>
      </w:pPr>
      <w:r w:rsidRPr="00020901">
        <w:t>1.</w:t>
      </w:r>
      <w:r w:rsidRPr="00020901">
        <w:tab/>
        <w:t>С учетом Пересмотра 3 Соглашения 1958 года, а также переходных положений дополнения 3 переходные положения необходимо также ввести в дополнение 4. В</w:t>
      </w:r>
      <w:r w:rsidR="00641FA9">
        <w:rPr>
          <w:lang w:val="en-US"/>
        </w:rPr>
        <w:t> </w:t>
      </w:r>
      <w:r w:rsidRPr="00020901">
        <w:t>дополнении 4 указана та же дата применения, что и в дополнении 3.</w:t>
      </w:r>
    </w:p>
    <w:p w:rsidR="00020901" w:rsidRPr="00020901" w:rsidRDefault="00020901" w:rsidP="00F51CFE">
      <w:pPr>
        <w:pStyle w:val="SingleTxtGR"/>
        <w:ind w:left="1701" w:hanging="567"/>
        <w:rPr>
          <w:i/>
        </w:rPr>
      </w:pPr>
      <w:r w:rsidRPr="00020901">
        <w:rPr>
          <w:i/>
          <w:iCs/>
        </w:rPr>
        <w:t>Приложение 3</w:t>
      </w:r>
    </w:p>
    <w:p w:rsidR="00020901" w:rsidRDefault="00020901" w:rsidP="00641FA9">
      <w:pPr>
        <w:pStyle w:val="SingleTxtGR"/>
      </w:pPr>
      <w:r w:rsidRPr="00020901">
        <w:t>2.</w:t>
      </w:r>
      <w:r w:rsidRPr="00020901">
        <w:tab/>
        <w:t>Предложение, выделенное жирным шрифтом, было исключено по ошибке и</w:t>
      </w:r>
      <w:r w:rsidR="00641FA9">
        <w:rPr>
          <w:lang w:val="en-US"/>
        </w:rPr>
        <w:t> </w:t>
      </w:r>
      <w:r w:rsidRPr="00020901">
        <w:t>должно быть вновь воспроизведено. Для ясности приведен полный текст пункта</w:t>
      </w:r>
      <w:r w:rsidR="00641FA9">
        <w:rPr>
          <w:lang w:val="en-US"/>
        </w:rPr>
        <w:t> </w:t>
      </w:r>
      <w:r w:rsidRPr="00020901">
        <w:t>3.1.2.1.4.2.</w:t>
      </w:r>
    </w:p>
    <w:p w:rsidR="00E12C5F" w:rsidRPr="008D53B6" w:rsidRDefault="00020901" w:rsidP="00020901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020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C8" w:rsidRPr="00A312BC" w:rsidRDefault="00D47CC8" w:rsidP="00A312BC"/>
  </w:endnote>
  <w:endnote w:type="continuationSeparator" w:id="0">
    <w:p w:rsidR="00D47CC8" w:rsidRPr="00A312BC" w:rsidRDefault="00D47C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01" w:rsidRPr="00020901" w:rsidRDefault="00020901">
    <w:pPr>
      <w:pStyle w:val="Footer"/>
    </w:pPr>
    <w:r w:rsidRPr="00020901">
      <w:rPr>
        <w:b/>
        <w:sz w:val="18"/>
      </w:rPr>
      <w:fldChar w:fldCharType="begin"/>
    </w:r>
    <w:r w:rsidRPr="00020901">
      <w:rPr>
        <w:b/>
        <w:sz w:val="18"/>
      </w:rPr>
      <w:instrText xml:space="preserve"> PAGE  \* MERGEFORMAT </w:instrText>
    </w:r>
    <w:r w:rsidRPr="00020901">
      <w:rPr>
        <w:b/>
        <w:sz w:val="18"/>
      </w:rPr>
      <w:fldChar w:fldCharType="separate"/>
    </w:r>
    <w:r w:rsidR="00554EBE">
      <w:rPr>
        <w:b/>
        <w:noProof/>
        <w:sz w:val="18"/>
      </w:rPr>
      <w:t>2</w:t>
    </w:r>
    <w:r w:rsidRPr="00020901">
      <w:rPr>
        <w:b/>
        <w:sz w:val="18"/>
      </w:rPr>
      <w:fldChar w:fldCharType="end"/>
    </w:r>
    <w:r>
      <w:rPr>
        <w:b/>
        <w:sz w:val="18"/>
      </w:rPr>
      <w:tab/>
    </w:r>
    <w:r>
      <w:t>GE.18-19182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01" w:rsidRPr="00020901" w:rsidRDefault="00020901" w:rsidP="0002090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GE.18-19182</w:t>
    </w:r>
    <w:r>
      <w:tab/>
    </w:r>
    <w:r w:rsidRPr="00020901">
      <w:rPr>
        <w:b/>
        <w:sz w:val="18"/>
      </w:rPr>
      <w:fldChar w:fldCharType="begin"/>
    </w:r>
    <w:r w:rsidRPr="00020901">
      <w:rPr>
        <w:b/>
        <w:sz w:val="18"/>
      </w:rPr>
      <w:instrText xml:space="preserve"> PAGE  \* MERGEFORMAT </w:instrText>
    </w:r>
    <w:r w:rsidRPr="0002090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209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20901" w:rsidRDefault="00020901" w:rsidP="0002090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18-19182  (R)</w:t>
    </w:r>
    <w:r>
      <w:rPr>
        <w:lang w:val="en-US"/>
      </w:rPr>
      <w:t xml:space="preserve">  191118  191118</w:t>
    </w:r>
    <w:r>
      <w:br/>
    </w:r>
    <w:r w:rsidRPr="00020901">
      <w:rPr>
        <w:rFonts w:ascii="C39T30Lfz" w:hAnsi="C39T30Lfz"/>
        <w:kern w:val="14"/>
        <w:sz w:val="56"/>
      </w:rPr>
      <w:t></w:t>
    </w:r>
    <w:r w:rsidRPr="00020901">
      <w:rPr>
        <w:rFonts w:ascii="C39T30Lfz" w:hAnsi="C39T30Lfz"/>
        <w:kern w:val="14"/>
        <w:sz w:val="56"/>
      </w:rPr>
      <w:t></w:t>
    </w:r>
    <w:r w:rsidRPr="00020901">
      <w:rPr>
        <w:rFonts w:ascii="C39T30Lfz" w:hAnsi="C39T30Lfz"/>
        <w:kern w:val="14"/>
        <w:sz w:val="56"/>
      </w:rPr>
      <w:t></w:t>
    </w:r>
    <w:r w:rsidRPr="00020901">
      <w:rPr>
        <w:rFonts w:ascii="C39T30Lfz" w:hAnsi="C39T30Lfz"/>
        <w:kern w:val="14"/>
        <w:sz w:val="56"/>
      </w:rPr>
      <w:t></w:t>
    </w:r>
    <w:r w:rsidRPr="00020901">
      <w:rPr>
        <w:rFonts w:ascii="C39T30Lfz" w:hAnsi="C39T30Lfz"/>
        <w:kern w:val="14"/>
        <w:sz w:val="56"/>
      </w:rPr>
      <w:t></w:t>
    </w:r>
    <w:r w:rsidRPr="00020901">
      <w:rPr>
        <w:rFonts w:ascii="C39T30Lfz" w:hAnsi="C39T30Lfz"/>
        <w:kern w:val="14"/>
        <w:sz w:val="56"/>
      </w:rPr>
      <w:t></w:t>
    </w:r>
    <w:r w:rsidRPr="00020901">
      <w:rPr>
        <w:rFonts w:ascii="C39T30Lfz" w:hAnsi="C39T30Lfz"/>
        <w:kern w:val="14"/>
        <w:sz w:val="56"/>
      </w:rPr>
      <w:t></w:t>
    </w:r>
    <w:r w:rsidRPr="00020901">
      <w:rPr>
        <w:rFonts w:ascii="C39T30Lfz" w:hAnsi="C39T30Lfz"/>
        <w:kern w:val="14"/>
        <w:sz w:val="56"/>
      </w:rPr>
      <w:t></w:t>
    </w:r>
    <w:r w:rsidRPr="0002090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9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C8" w:rsidRPr="001075E9" w:rsidRDefault="00D47C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7CC8" w:rsidRDefault="00D47C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20901" w:rsidRPr="002232AF" w:rsidRDefault="00020901" w:rsidP="00020901">
      <w:pPr>
        <w:pStyle w:val="FootnoteText"/>
      </w:pPr>
      <w:r>
        <w:tab/>
      </w:r>
      <w:r w:rsidRPr="00F51CF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F51CFE">
        <w:rPr>
          <w:lang w:val="en-US"/>
        </w:rPr>
        <w:t> </w:t>
      </w:r>
      <w:r>
        <w:t xml:space="preserve">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01" w:rsidRPr="00020901" w:rsidRDefault="008F41A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54EBE">
      <w:t>ECE/TRANS/WP.29/GRB/2019/9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01" w:rsidRPr="00020901" w:rsidRDefault="008F41AA" w:rsidP="0002090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54EBE">
      <w:t>ECE/TRANS/WP.29/GRB/2019/9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01" w:rsidRDefault="00020901" w:rsidP="0002090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C8"/>
    <w:rsid w:val="00020901"/>
    <w:rsid w:val="00033EE1"/>
    <w:rsid w:val="00042B72"/>
    <w:rsid w:val="000558BD"/>
    <w:rsid w:val="00081EF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EA1"/>
    <w:rsid w:val="003958D0"/>
    <w:rsid w:val="003A0D43"/>
    <w:rsid w:val="003A48CE"/>
    <w:rsid w:val="003B00E5"/>
    <w:rsid w:val="003F5B1F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4EB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1FA9"/>
    <w:rsid w:val="00680D03"/>
    <w:rsid w:val="00681A10"/>
    <w:rsid w:val="00694F86"/>
    <w:rsid w:val="006A1ED8"/>
    <w:rsid w:val="006C2031"/>
    <w:rsid w:val="006D461A"/>
    <w:rsid w:val="006F35EE"/>
    <w:rsid w:val="007021FF"/>
    <w:rsid w:val="00712895"/>
    <w:rsid w:val="00727556"/>
    <w:rsid w:val="00734ACB"/>
    <w:rsid w:val="00757357"/>
    <w:rsid w:val="00792497"/>
    <w:rsid w:val="00806737"/>
    <w:rsid w:val="00825F8D"/>
    <w:rsid w:val="00834B71"/>
    <w:rsid w:val="0086445C"/>
    <w:rsid w:val="008812C6"/>
    <w:rsid w:val="00894693"/>
    <w:rsid w:val="008A08D7"/>
    <w:rsid w:val="008A37C8"/>
    <w:rsid w:val="008B6909"/>
    <w:rsid w:val="008D53B6"/>
    <w:rsid w:val="008F41AA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6D6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6237"/>
    <w:rsid w:val="00D33D63"/>
    <w:rsid w:val="00D47CC8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1C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9D4187-DDBE-4939-B416-048AE763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209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ECE/TRANS/WP.29/GRB/2019/9</vt:lpstr>
      <vt:lpstr>ECE/TRANS/WP.29/GRB/2019/9</vt:lpstr>
      <vt:lpstr>A/</vt:lpstr>
    </vt:vector>
  </TitlesOfParts>
  <Company>DCM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ECE/TRANS/WP.29/GRB/2019/9</dc:title>
  <dc:subject/>
  <dc:creator>Olga OVTCHINNIKOVA</dc:creator>
  <cp:keywords/>
  <cp:lastModifiedBy>Benedicte Boudol</cp:lastModifiedBy>
  <cp:revision>2</cp:revision>
  <cp:lastPrinted>2018-11-19T15:52:00Z</cp:lastPrinted>
  <dcterms:created xsi:type="dcterms:W3CDTF">2018-12-05T14:10:00Z</dcterms:created>
  <dcterms:modified xsi:type="dcterms:W3CDTF">2018-12-05T14:10:00Z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