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0B9B31A" w14:textId="77777777" w:rsidTr="00C97039">
        <w:trPr>
          <w:trHeight w:hRule="exact" w:val="851"/>
        </w:trPr>
        <w:tc>
          <w:tcPr>
            <w:tcW w:w="1276" w:type="dxa"/>
            <w:tcBorders>
              <w:bottom w:val="single" w:sz="4" w:space="0" w:color="auto"/>
            </w:tcBorders>
          </w:tcPr>
          <w:p w14:paraId="37F113A6" w14:textId="77777777" w:rsidR="00F35BAF" w:rsidRPr="00DB58B5" w:rsidRDefault="00F35BAF" w:rsidP="00EB5D60">
            <w:bookmarkStart w:id="0" w:name="_GoBack"/>
            <w:bookmarkEnd w:id="0"/>
          </w:p>
        </w:tc>
        <w:tc>
          <w:tcPr>
            <w:tcW w:w="2268" w:type="dxa"/>
            <w:tcBorders>
              <w:bottom w:val="single" w:sz="4" w:space="0" w:color="auto"/>
            </w:tcBorders>
            <w:vAlign w:val="bottom"/>
          </w:tcPr>
          <w:p w14:paraId="368B914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507588" w14:textId="77777777" w:rsidR="00F35BAF" w:rsidRPr="00DB58B5" w:rsidRDefault="00EB5D60" w:rsidP="00EB5D60">
            <w:pPr>
              <w:jc w:val="right"/>
            </w:pPr>
            <w:r w:rsidRPr="00EB5D60">
              <w:rPr>
                <w:sz w:val="40"/>
              </w:rPr>
              <w:t>ECE</w:t>
            </w:r>
            <w:r>
              <w:t>/TRANS/WP.29/2019/60</w:t>
            </w:r>
          </w:p>
        </w:tc>
      </w:tr>
      <w:tr w:rsidR="00F35BAF" w:rsidRPr="00DB58B5" w14:paraId="0B4BA6F5" w14:textId="77777777" w:rsidTr="00C97039">
        <w:trPr>
          <w:trHeight w:hRule="exact" w:val="2835"/>
        </w:trPr>
        <w:tc>
          <w:tcPr>
            <w:tcW w:w="1276" w:type="dxa"/>
            <w:tcBorders>
              <w:top w:val="single" w:sz="4" w:space="0" w:color="auto"/>
              <w:bottom w:val="single" w:sz="12" w:space="0" w:color="auto"/>
            </w:tcBorders>
          </w:tcPr>
          <w:p w14:paraId="4F18DE56" w14:textId="77777777" w:rsidR="00F35BAF" w:rsidRPr="00DB58B5" w:rsidRDefault="00F35BAF" w:rsidP="00C97039">
            <w:pPr>
              <w:spacing w:before="120"/>
              <w:jc w:val="center"/>
            </w:pPr>
            <w:r>
              <w:rPr>
                <w:noProof/>
                <w:lang w:eastAsia="fr-CH"/>
              </w:rPr>
              <w:drawing>
                <wp:inline distT="0" distB="0" distL="0" distR="0" wp14:anchorId="7CB71355" wp14:editId="166D96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1666A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E6DE817" w14:textId="77777777" w:rsidR="00F35BAF" w:rsidRDefault="00EB5D60" w:rsidP="00C97039">
            <w:pPr>
              <w:spacing w:before="240"/>
            </w:pPr>
            <w:r>
              <w:t xml:space="preserve">Distr. </w:t>
            </w:r>
            <w:proofErr w:type="gramStart"/>
            <w:r>
              <w:t>générale</w:t>
            </w:r>
            <w:proofErr w:type="gramEnd"/>
          </w:p>
          <w:p w14:paraId="396DB41D" w14:textId="77777777" w:rsidR="00EB5D60" w:rsidRDefault="00EB5D60" w:rsidP="00EB5D60">
            <w:pPr>
              <w:spacing w:line="240" w:lineRule="exact"/>
            </w:pPr>
            <w:r>
              <w:t>1</w:t>
            </w:r>
            <w:r w:rsidR="0064344F">
              <w:t>2</w:t>
            </w:r>
            <w:r>
              <w:t xml:space="preserve"> avril 2019</w:t>
            </w:r>
          </w:p>
          <w:p w14:paraId="40A39CBE" w14:textId="77777777" w:rsidR="00EB5D60" w:rsidRDefault="00EB5D60" w:rsidP="00EB5D60">
            <w:pPr>
              <w:spacing w:line="240" w:lineRule="exact"/>
            </w:pPr>
            <w:r>
              <w:t>Français</w:t>
            </w:r>
          </w:p>
          <w:p w14:paraId="5FC1078D" w14:textId="77777777" w:rsidR="00EB5D60" w:rsidRPr="00DB58B5" w:rsidRDefault="00EB5D60" w:rsidP="00EB5D60">
            <w:pPr>
              <w:spacing w:line="240" w:lineRule="exact"/>
            </w:pPr>
            <w:r>
              <w:t>Original : anglais</w:t>
            </w:r>
          </w:p>
        </w:tc>
      </w:tr>
    </w:tbl>
    <w:p w14:paraId="7050CCB5" w14:textId="77777777" w:rsidR="007F20FA" w:rsidRPr="000312C0" w:rsidRDefault="007F20FA" w:rsidP="007F20FA">
      <w:pPr>
        <w:spacing w:before="120"/>
        <w:rPr>
          <w:b/>
          <w:sz w:val="28"/>
          <w:szCs w:val="28"/>
        </w:rPr>
      </w:pPr>
      <w:r w:rsidRPr="000312C0">
        <w:rPr>
          <w:b/>
          <w:sz w:val="28"/>
          <w:szCs w:val="28"/>
        </w:rPr>
        <w:t>Commission économique pour l</w:t>
      </w:r>
      <w:r w:rsidR="00CD4CE8">
        <w:rPr>
          <w:b/>
          <w:sz w:val="28"/>
          <w:szCs w:val="28"/>
        </w:rPr>
        <w:t>’</w:t>
      </w:r>
      <w:r w:rsidRPr="000312C0">
        <w:rPr>
          <w:b/>
          <w:sz w:val="28"/>
          <w:szCs w:val="28"/>
        </w:rPr>
        <w:t>Europe</w:t>
      </w:r>
    </w:p>
    <w:p w14:paraId="66CA356F" w14:textId="77777777" w:rsidR="007F20FA" w:rsidRDefault="007F20FA" w:rsidP="007F20FA">
      <w:pPr>
        <w:spacing w:before="120"/>
        <w:rPr>
          <w:sz w:val="28"/>
          <w:szCs w:val="28"/>
        </w:rPr>
      </w:pPr>
      <w:r w:rsidRPr="00685843">
        <w:rPr>
          <w:sz w:val="28"/>
          <w:szCs w:val="28"/>
        </w:rPr>
        <w:t>Comité des transports intérieurs</w:t>
      </w:r>
    </w:p>
    <w:p w14:paraId="7670E2ED" w14:textId="77777777" w:rsidR="0064344F" w:rsidRDefault="0064344F" w:rsidP="00AF0CB5">
      <w:pPr>
        <w:spacing w:before="120"/>
        <w:rPr>
          <w:b/>
          <w:sz w:val="24"/>
          <w:szCs w:val="24"/>
        </w:rPr>
      </w:pPr>
      <w:r w:rsidRPr="00685843">
        <w:rPr>
          <w:b/>
          <w:sz w:val="24"/>
          <w:szCs w:val="24"/>
        </w:rPr>
        <w:t>Forum mondial de l</w:t>
      </w:r>
      <w:r w:rsidR="00CD4CE8">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3BE84BF" w14:textId="77777777" w:rsidR="0064344F" w:rsidRDefault="0064344F" w:rsidP="00AF0CB5">
      <w:pPr>
        <w:spacing w:before="120" w:line="240" w:lineRule="exact"/>
        <w:rPr>
          <w:b/>
        </w:rPr>
      </w:pPr>
      <w:r>
        <w:rPr>
          <w:b/>
        </w:rPr>
        <w:t>178</w:t>
      </w:r>
      <w:r w:rsidRPr="0064344F">
        <w:rPr>
          <w:b/>
          <w:vertAlign w:val="superscript"/>
        </w:rPr>
        <w:t>e</w:t>
      </w:r>
      <w:r>
        <w:rPr>
          <w:b/>
        </w:rPr>
        <w:t xml:space="preserve"> session</w:t>
      </w:r>
    </w:p>
    <w:p w14:paraId="1EF78DE6" w14:textId="77777777" w:rsidR="0064344F" w:rsidRPr="00AA51C1" w:rsidRDefault="0064344F" w:rsidP="0064344F">
      <w:r>
        <w:rPr>
          <w:lang w:val="fr-FR"/>
        </w:rPr>
        <w:t>Genève, 25-28 juin 2019</w:t>
      </w:r>
    </w:p>
    <w:p w14:paraId="1A0B635C" w14:textId="77777777" w:rsidR="0064344F" w:rsidRPr="00AA51C1" w:rsidRDefault="0064344F" w:rsidP="0064344F">
      <w:r>
        <w:rPr>
          <w:lang w:val="fr-FR"/>
        </w:rPr>
        <w:t>Point 4.10.5 de l</w:t>
      </w:r>
      <w:r w:rsidR="00CD4CE8">
        <w:rPr>
          <w:lang w:val="fr-FR"/>
        </w:rPr>
        <w:t>’</w:t>
      </w:r>
      <w:r>
        <w:rPr>
          <w:lang w:val="fr-FR"/>
        </w:rPr>
        <w:t>ordre du jour provisoire</w:t>
      </w:r>
    </w:p>
    <w:p w14:paraId="41EF79BE" w14:textId="77777777" w:rsidR="0064344F" w:rsidRPr="00AA51C1" w:rsidRDefault="0064344F" w:rsidP="0064344F">
      <w:pPr>
        <w:rPr>
          <w:b/>
        </w:rPr>
      </w:pPr>
      <w:r>
        <w:rPr>
          <w:b/>
          <w:bCs/>
          <w:lang w:val="fr-FR"/>
        </w:rPr>
        <w:t>Accord de 1958 : Examen, s</w:t>
      </w:r>
      <w:r w:rsidR="00CD4CE8">
        <w:rPr>
          <w:b/>
          <w:bCs/>
          <w:lang w:val="fr-FR"/>
        </w:rPr>
        <w:t>’</w:t>
      </w:r>
      <w:r>
        <w:rPr>
          <w:b/>
          <w:bCs/>
          <w:lang w:val="fr-FR"/>
        </w:rPr>
        <w:t xml:space="preserve">il y a lieu, de projets de rectificatifs </w:t>
      </w:r>
      <w:r>
        <w:rPr>
          <w:b/>
          <w:bCs/>
          <w:lang w:val="fr-FR"/>
        </w:rPr>
        <w:br/>
        <w:t>à des Règlements ONU existants, soumis par les groupes de travail</w:t>
      </w:r>
    </w:p>
    <w:p w14:paraId="1B1E4624" w14:textId="77777777" w:rsidR="0064344F" w:rsidRPr="00AA51C1" w:rsidRDefault="0064344F" w:rsidP="0064344F">
      <w:pPr>
        <w:pStyle w:val="HChG"/>
        <w:tabs>
          <w:tab w:val="left" w:pos="720"/>
        </w:tabs>
        <w:ind w:firstLine="0"/>
      </w:pPr>
      <w:bookmarkStart w:id="1" w:name="_Hlk534291557"/>
      <w:r>
        <w:rPr>
          <w:lang w:val="fr-FR"/>
        </w:rPr>
        <w:t>Proposition de rectificatif 1 au complément 8 à la série 07 d</w:t>
      </w:r>
      <w:r w:rsidR="00CD4CE8">
        <w:rPr>
          <w:lang w:val="fr-FR"/>
        </w:rPr>
        <w:t>’</w:t>
      </w:r>
      <w:r>
        <w:rPr>
          <w:lang w:val="fr-FR"/>
        </w:rPr>
        <w:t xml:space="preserve">amendements au Règlement ONU </w:t>
      </w:r>
      <w:r w:rsidR="009C460E" w:rsidRPr="009C460E">
        <w:rPr>
          <w:rFonts w:eastAsia="MS Mincho"/>
          <w:szCs w:val="22"/>
          <w:lang w:val="fr-FR"/>
        </w:rPr>
        <w:t>n</w:t>
      </w:r>
      <w:r w:rsidR="009C460E" w:rsidRPr="009C460E">
        <w:rPr>
          <w:rFonts w:eastAsia="MS Mincho"/>
          <w:szCs w:val="22"/>
          <w:vertAlign w:val="superscript"/>
          <w:lang w:val="fr-FR"/>
        </w:rPr>
        <w:t>o</w:t>
      </w:r>
      <w:r w:rsidR="009C460E">
        <w:rPr>
          <w:lang w:val="fr-FR"/>
        </w:rPr>
        <w:t> </w:t>
      </w:r>
      <w:r>
        <w:rPr>
          <w:lang w:val="fr-FR"/>
        </w:rPr>
        <w:t>83 (Émissions polluantes des véhicules des catégories M</w:t>
      </w:r>
      <w:r w:rsidRPr="00AA51C1">
        <w:rPr>
          <w:vertAlign w:val="subscript"/>
          <w:lang w:val="fr-FR"/>
        </w:rPr>
        <w:t>1</w:t>
      </w:r>
      <w:r>
        <w:rPr>
          <w:lang w:val="fr-FR"/>
        </w:rPr>
        <w:t xml:space="preserve"> et N</w:t>
      </w:r>
      <w:r w:rsidRPr="00AA51C1">
        <w:rPr>
          <w:vertAlign w:val="subscript"/>
          <w:lang w:val="fr-FR"/>
        </w:rPr>
        <w:t>1</w:t>
      </w:r>
      <w:r>
        <w:rPr>
          <w:lang w:val="fr-FR"/>
        </w:rPr>
        <w:t>)</w:t>
      </w:r>
      <w:bookmarkEnd w:id="1"/>
    </w:p>
    <w:p w14:paraId="73759DEE" w14:textId="77777777" w:rsidR="0064344F" w:rsidRPr="00AA51C1" w:rsidRDefault="0064344F" w:rsidP="0064344F">
      <w:pPr>
        <w:pStyle w:val="H1G"/>
      </w:pPr>
      <w:r>
        <w:rPr>
          <w:lang w:val="fr-FR"/>
        </w:rPr>
        <w:tab/>
      </w:r>
      <w:r>
        <w:rPr>
          <w:lang w:val="fr-FR"/>
        </w:rPr>
        <w:tab/>
      </w:r>
      <w:r>
        <w:rPr>
          <w:bCs/>
          <w:lang w:val="fr-FR"/>
        </w:rPr>
        <w:t>Communication du Groupe de travail de la pollution et de l</w:t>
      </w:r>
      <w:r w:rsidR="00CD4CE8">
        <w:rPr>
          <w:bCs/>
          <w:lang w:val="fr-FR"/>
        </w:rPr>
        <w:t>’</w:t>
      </w:r>
      <w:r>
        <w:rPr>
          <w:bCs/>
          <w:lang w:val="fr-FR"/>
        </w:rPr>
        <w:t>énergie</w:t>
      </w:r>
      <w:r w:rsidRPr="001A01EB">
        <w:rPr>
          <w:rStyle w:val="FootnoteReference"/>
          <w:b w:val="0"/>
          <w:sz w:val="20"/>
          <w:vertAlign w:val="baseline"/>
          <w:lang w:val="fr-FR"/>
        </w:rPr>
        <w:footnoteReference w:customMarkFollows="1" w:id="2"/>
        <w:t>*</w:t>
      </w:r>
    </w:p>
    <w:p w14:paraId="02389EEA" w14:textId="77777777" w:rsidR="001767A4" w:rsidRDefault="0064344F" w:rsidP="0064344F">
      <w:pPr>
        <w:pStyle w:val="SingleTxtG"/>
        <w:ind w:firstLine="567"/>
        <w:rPr>
          <w:lang w:val="fr-FR"/>
        </w:rPr>
      </w:pPr>
      <w:r>
        <w:rPr>
          <w:lang w:val="fr-FR"/>
        </w:rPr>
        <w:t>Le texte reproduit ci-dessous a été adopté par le Groupe de travail de la pollution et de l</w:t>
      </w:r>
      <w:r w:rsidR="00CD4CE8">
        <w:rPr>
          <w:lang w:val="fr-FR"/>
        </w:rPr>
        <w:t>’</w:t>
      </w:r>
      <w:r>
        <w:rPr>
          <w:lang w:val="fr-FR"/>
        </w:rPr>
        <w:t>énergie (GRPE) à sa soixante-dix-huitième session (ECE/TRANS/WP.29/GRPE/78, par.</w:t>
      </w:r>
      <w:r w:rsidR="009C460E">
        <w:rPr>
          <w:lang w:val="fr-FR"/>
        </w:rPr>
        <w:t> </w:t>
      </w:r>
      <w:r>
        <w:rPr>
          <w:lang w:val="fr-FR"/>
        </w:rPr>
        <w:t>8). Il est fondé sur le document informel GRPE-78-10, tel que reproduit dans l</w:t>
      </w:r>
      <w:r w:rsidR="00CD4CE8">
        <w:rPr>
          <w:lang w:val="fr-FR"/>
        </w:rPr>
        <w:t>’</w:t>
      </w:r>
      <w:r>
        <w:rPr>
          <w:lang w:val="fr-FR"/>
        </w:rPr>
        <w:t>annexe</w:t>
      </w:r>
      <w:r w:rsidR="009C460E">
        <w:rPr>
          <w:lang w:val="fr-FR"/>
        </w:rPr>
        <w:t> </w:t>
      </w:r>
      <w:r>
        <w:rPr>
          <w:lang w:val="fr-FR"/>
        </w:rPr>
        <w:t>V du rapport. Il est soumis au Forum mondial de l</w:t>
      </w:r>
      <w:r w:rsidR="00CD4CE8">
        <w:rPr>
          <w:lang w:val="fr-FR"/>
        </w:rPr>
        <w:t>’</w:t>
      </w:r>
      <w:r>
        <w:rPr>
          <w:lang w:val="fr-FR"/>
        </w:rPr>
        <w:t>harmonisation des Règlements concernant les véhicules (WP.29) et au Comité d</w:t>
      </w:r>
      <w:r w:rsidR="00CD4CE8">
        <w:rPr>
          <w:lang w:val="fr-FR"/>
        </w:rPr>
        <w:t>’</w:t>
      </w:r>
      <w:r>
        <w:rPr>
          <w:lang w:val="fr-FR"/>
        </w:rPr>
        <w:t>administration de l</w:t>
      </w:r>
      <w:r w:rsidR="00CD4CE8">
        <w:rPr>
          <w:lang w:val="fr-FR"/>
        </w:rPr>
        <w:t>’</w:t>
      </w:r>
      <w:r>
        <w:rPr>
          <w:lang w:val="fr-FR"/>
        </w:rPr>
        <w:t xml:space="preserve">Accord de 1958 (AC.1) pour examen à leurs sessions de juin 2019. </w:t>
      </w:r>
    </w:p>
    <w:p w14:paraId="51351667" w14:textId="77777777" w:rsidR="001767A4" w:rsidRPr="00AA51C1" w:rsidRDefault="001767A4" w:rsidP="001767A4">
      <w:pPr>
        <w:pStyle w:val="HChG"/>
        <w:tabs>
          <w:tab w:val="left" w:pos="720"/>
        </w:tabs>
        <w:ind w:firstLine="0"/>
      </w:pPr>
      <w:r>
        <w:rPr>
          <w:lang w:val="fr-FR"/>
        </w:rPr>
        <w:br w:type="page"/>
      </w:r>
      <w:r>
        <w:rPr>
          <w:lang w:val="fr-FR"/>
        </w:rPr>
        <w:lastRenderedPageBreak/>
        <w:t>Rectificatif 1 au complément 8 à la série 07 d</w:t>
      </w:r>
      <w:r w:rsidR="00CD4CE8">
        <w:rPr>
          <w:lang w:val="fr-FR"/>
        </w:rPr>
        <w:t>’</w:t>
      </w:r>
      <w:r>
        <w:rPr>
          <w:lang w:val="fr-FR"/>
        </w:rPr>
        <w:t xml:space="preserve">amendements au Règlement ONU </w:t>
      </w:r>
      <w:r w:rsidR="00CA3B9C" w:rsidRPr="00CA3B9C">
        <w:rPr>
          <w:rFonts w:eastAsia="MS Mincho"/>
          <w:szCs w:val="22"/>
          <w:lang w:val="fr-FR"/>
        </w:rPr>
        <w:t>n</w:t>
      </w:r>
      <w:r w:rsidR="00CA3B9C" w:rsidRPr="00CA3B9C">
        <w:rPr>
          <w:rFonts w:eastAsia="MS Mincho"/>
          <w:szCs w:val="22"/>
          <w:vertAlign w:val="superscript"/>
          <w:lang w:val="fr-FR"/>
        </w:rPr>
        <w:t>o</w:t>
      </w:r>
      <w:r w:rsidR="00CA3B9C">
        <w:rPr>
          <w:lang w:val="fr-FR"/>
        </w:rPr>
        <w:t> </w:t>
      </w:r>
      <w:r>
        <w:rPr>
          <w:lang w:val="fr-FR"/>
        </w:rPr>
        <w:t xml:space="preserve">83 (Émissions polluantes </w:t>
      </w:r>
      <w:r w:rsidR="00CA3B9C">
        <w:rPr>
          <w:lang w:val="fr-FR"/>
        </w:rPr>
        <w:br/>
      </w:r>
      <w:r>
        <w:rPr>
          <w:lang w:val="fr-FR"/>
        </w:rPr>
        <w:t>des véhicules des catégories M</w:t>
      </w:r>
      <w:r w:rsidRPr="00AA51C1">
        <w:rPr>
          <w:vertAlign w:val="subscript"/>
          <w:lang w:val="fr-FR"/>
        </w:rPr>
        <w:t>1</w:t>
      </w:r>
      <w:r>
        <w:rPr>
          <w:lang w:val="fr-FR"/>
        </w:rPr>
        <w:t xml:space="preserve"> et N</w:t>
      </w:r>
      <w:r w:rsidRPr="00AA51C1">
        <w:rPr>
          <w:vertAlign w:val="subscript"/>
          <w:lang w:val="fr-FR"/>
        </w:rPr>
        <w:t>1</w:t>
      </w:r>
      <w:r>
        <w:rPr>
          <w:lang w:val="fr-FR"/>
        </w:rPr>
        <w:t>)</w:t>
      </w:r>
    </w:p>
    <w:p w14:paraId="7CA94B61" w14:textId="77777777" w:rsidR="001767A4" w:rsidRPr="00AA51C1" w:rsidRDefault="001767A4" w:rsidP="001767A4">
      <w:pPr>
        <w:pStyle w:val="SingleTxtG"/>
        <w:rPr>
          <w:i/>
        </w:rPr>
      </w:pPr>
      <w:r>
        <w:rPr>
          <w:i/>
          <w:iCs/>
          <w:lang w:val="fr-FR"/>
        </w:rPr>
        <w:t>Annexe 7, paragraphe 7.4.4.3</w:t>
      </w:r>
      <w:r>
        <w:rPr>
          <w:lang w:val="fr-FR"/>
        </w:rPr>
        <w:t>, sans objet en français.</w:t>
      </w:r>
    </w:p>
    <w:p w14:paraId="05BDB08B" w14:textId="77777777" w:rsidR="001767A4" w:rsidRPr="00AA51C1" w:rsidRDefault="001767A4" w:rsidP="001767A4">
      <w:pPr>
        <w:pStyle w:val="SingleTxtG"/>
        <w:ind w:left="2268" w:hanging="1134"/>
        <w:rPr>
          <w:i/>
        </w:rPr>
      </w:pPr>
      <w:r w:rsidRPr="00CA3B9C">
        <w:rPr>
          <w:i/>
          <w:lang w:val="fr-FR"/>
        </w:rPr>
        <w:t>Annexe 8, paragraphe 3.2.1</w:t>
      </w:r>
      <w:r>
        <w:rPr>
          <w:lang w:val="fr-FR"/>
        </w:rPr>
        <w:t>, lire</w:t>
      </w:r>
      <w:r w:rsidR="00CA3B9C">
        <w:rPr>
          <w:lang w:val="fr-FR"/>
        </w:rPr>
        <w:t> </w:t>
      </w:r>
      <w:r>
        <w:rPr>
          <w:lang w:val="fr-FR"/>
        </w:rPr>
        <w:t>:</w:t>
      </w:r>
    </w:p>
    <w:p w14:paraId="592A71FA" w14:textId="77777777" w:rsidR="001767A4" w:rsidRPr="00AA51C1" w:rsidRDefault="00CA3B9C" w:rsidP="00CA3B9C">
      <w:pPr>
        <w:pStyle w:val="SingleTxtG"/>
        <w:ind w:left="2268" w:hanging="1134"/>
      </w:pPr>
      <w:r>
        <w:rPr>
          <w:lang w:val="fr-FR"/>
        </w:rPr>
        <w:t>« </w:t>
      </w:r>
      <w:r w:rsidR="001767A4">
        <w:rPr>
          <w:lang w:val="fr-FR"/>
        </w:rPr>
        <w:t>3.2.1</w:t>
      </w:r>
      <w:r w:rsidR="001767A4">
        <w:rPr>
          <w:lang w:val="fr-FR"/>
        </w:rPr>
        <w:tab/>
        <w:t>Le démarrage du moteur, le commencement des prélèvements et l</w:t>
      </w:r>
      <w:r w:rsidR="00CD4CE8">
        <w:rPr>
          <w:lang w:val="fr-FR"/>
        </w:rPr>
        <w:t>’</w:t>
      </w:r>
      <w:r w:rsidR="001767A4">
        <w:rPr>
          <w:lang w:val="fr-FR"/>
        </w:rPr>
        <w:t>exécution du premier cycle sont effectués conformément au tableau A4a/1 et à la figure</w:t>
      </w:r>
      <w:r>
        <w:rPr>
          <w:lang w:val="fr-FR"/>
        </w:rPr>
        <w:t> </w:t>
      </w:r>
      <w:r w:rsidR="001767A4">
        <w:rPr>
          <w:lang w:val="fr-FR"/>
        </w:rPr>
        <w:t>A4a/1 de l</w:t>
      </w:r>
      <w:r w:rsidR="00CD4CE8">
        <w:rPr>
          <w:lang w:val="fr-FR"/>
        </w:rPr>
        <w:t>’</w:t>
      </w:r>
      <w:r w:rsidR="001767A4">
        <w:rPr>
          <w:lang w:val="fr-FR"/>
        </w:rPr>
        <w:t>annexe 4a du présent Règlement. ».</w:t>
      </w:r>
    </w:p>
    <w:p w14:paraId="4C636779" w14:textId="77777777" w:rsidR="001767A4" w:rsidRPr="00AA51C1" w:rsidRDefault="001767A4" w:rsidP="001767A4">
      <w:pPr>
        <w:pStyle w:val="SingleTxtG"/>
      </w:pPr>
      <w:r>
        <w:rPr>
          <w:i/>
          <w:iCs/>
          <w:lang w:val="fr-FR"/>
        </w:rPr>
        <w:t>Annexe 11, appendice 1, paragraphe 6.5.3.5</w:t>
      </w:r>
      <w:r>
        <w:rPr>
          <w:lang w:val="fr-FR"/>
        </w:rPr>
        <w:t>, sans objet en français.</w:t>
      </w:r>
    </w:p>
    <w:p w14:paraId="1C857D21" w14:textId="77777777" w:rsidR="001767A4" w:rsidRPr="00CA3B9C" w:rsidRDefault="001767A4" w:rsidP="00CA3B9C">
      <w:pPr>
        <w:pStyle w:val="SingleTxtG"/>
        <w:rPr>
          <w:i/>
        </w:rPr>
      </w:pPr>
      <w:r w:rsidRPr="00CA3B9C">
        <w:rPr>
          <w:i/>
          <w:lang w:val="fr-FR"/>
        </w:rPr>
        <w:t>Annexe 14</w:t>
      </w:r>
    </w:p>
    <w:p w14:paraId="481E0B3E" w14:textId="77777777" w:rsidR="001767A4" w:rsidRPr="00AA51C1" w:rsidRDefault="001767A4" w:rsidP="00CA3B9C">
      <w:pPr>
        <w:pStyle w:val="SingleTxtG"/>
        <w:rPr>
          <w:i/>
        </w:rPr>
      </w:pPr>
      <w:r w:rsidRPr="00CA3B9C">
        <w:rPr>
          <w:i/>
          <w:lang w:val="fr-FR"/>
        </w:rPr>
        <w:t>Paragraphe 3.1.1</w:t>
      </w:r>
      <w:r>
        <w:rPr>
          <w:lang w:val="fr-FR"/>
        </w:rPr>
        <w:t>, lire</w:t>
      </w:r>
      <w:r w:rsidR="00CA3B9C">
        <w:rPr>
          <w:lang w:val="fr-FR"/>
        </w:rPr>
        <w:t> </w:t>
      </w:r>
      <w:r>
        <w:rPr>
          <w:lang w:val="fr-FR"/>
        </w:rPr>
        <w:t>:</w:t>
      </w:r>
    </w:p>
    <w:p w14:paraId="43A22277" w14:textId="77777777" w:rsidR="001767A4" w:rsidRPr="00AA51C1" w:rsidRDefault="00CA3B9C" w:rsidP="001767A4">
      <w:pPr>
        <w:pStyle w:val="SingleTxtG"/>
        <w:ind w:left="2268" w:hanging="1134"/>
      </w:pPr>
      <w:r>
        <w:rPr>
          <w:lang w:val="fr-FR"/>
        </w:rPr>
        <w:t>« </w:t>
      </w:r>
      <w:r w:rsidR="001767A4">
        <w:rPr>
          <w:lang w:val="fr-FR"/>
        </w:rPr>
        <w:t>3.1.1</w:t>
      </w:r>
      <w:r w:rsidR="001767A4">
        <w:rPr>
          <w:lang w:val="fr-FR"/>
        </w:rPr>
        <w:tab/>
        <w:t>Deux essais doivent être effectués dans les conditions suivantes</w:t>
      </w:r>
      <w:r w:rsidR="00A5382C">
        <w:rPr>
          <w:lang w:val="fr-FR"/>
        </w:rPr>
        <w:t> </w:t>
      </w:r>
      <w:r w:rsidR="001767A4">
        <w:rPr>
          <w:lang w:val="fr-FR"/>
        </w:rPr>
        <w:t>:</w:t>
      </w:r>
    </w:p>
    <w:p w14:paraId="3E10FA02" w14:textId="77777777" w:rsidR="001767A4" w:rsidRPr="00AA51C1" w:rsidRDefault="001767A4" w:rsidP="00CA3B9C">
      <w:pPr>
        <w:pStyle w:val="SingleTxtG"/>
        <w:ind w:left="2268"/>
      </w:pPr>
      <w:r>
        <w:rPr>
          <w:lang w:val="fr-FR"/>
        </w:rPr>
        <w:tab/>
        <w:t>Condition A :</w:t>
      </w:r>
      <w:r>
        <w:rPr>
          <w:lang w:val="fr-FR"/>
        </w:rPr>
        <w:tab/>
        <w:t>L</w:t>
      </w:r>
      <w:r w:rsidR="00CD4CE8">
        <w:rPr>
          <w:lang w:val="fr-FR"/>
        </w:rPr>
        <w:t>’</w:t>
      </w:r>
      <w:r>
        <w:rPr>
          <w:lang w:val="fr-FR"/>
        </w:rPr>
        <w:t>essai doit être lancé alors que le dispositif de stockage d</w:t>
      </w:r>
      <w:r w:rsidR="00CD4CE8">
        <w:rPr>
          <w:lang w:val="fr-FR"/>
        </w:rPr>
        <w:t>’</w:t>
      </w:r>
      <w:r>
        <w:rPr>
          <w:lang w:val="fr-FR"/>
        </w:rPr>
        <w:t>énergie électrique est complètement chargé</w:t>
      </w:r>
      <w:r w:rsidR="00A5382C">
        <w:rPr>
          <w:lang w:val="fr-FR"/>
        </w:rPr>
        <w:t> ;</w:t>
      </w:r>
    </w:p>
    <w:p w14:paraId="2C540335" w14:textId="77777777" w:rsidR="001767A4" w:rsidRPr="00AA51C1" w:rsidRDefault="001767A4" w:rsidP="007F7F0D">
      <w:pPr>
        <w:pStyle w:val="SingleTxtG"/>
        <w:ind w:left="2268"/>
      </w:pPr>
      <w:r>
        <w:rPr>
          <w:lang w:val="fr-FR"/>
        </w:rPr>
        <w:tab/>
        <w:t>Condition B :</w:t>
      </w:r>
      <w:r>
        <w:rPr>
          <w:lang w:val="fr-FR"/>
        </w:rPr>
        <w:tab/>
        <w:t>L</w:t>
      </w:r>
      <w:r w:rsidR="00CD4CE8">
        <w:rPr>
          <w:lang w:val="fr-FR"/>
        </w:rPr>
        <w:t>’</w:t>
      </w:r>
      <w:r>
        <w:rPr>
          <w:lang w:val="fr-FR"/>
        </w:rPr>
        <w:t>essai doit être lancé alors que le dispositif de stockage d</w:t>
      </w:r>
      <w:r w:rsidR="00CD4CE8">
        <w:rPr>
          <w:lang w:val="fr-FR"/>
        </w:rPr>
        <w:t>’</w:t>
      </w:r>
      <w:r>
        <w:rPr>
          <w:lang w:val="fr-FR"/>
        </w:rPr>
        <w:t>énergie électrique est à l</w:t>
      </w:r>
      <w:r w:rsidR="00CD4CE8">
        <w:rPr>
          <w:lang w:val="fr-FR"/>
        </w:rPr>
        <w:t>’</w:t>
      </w:r>
      <w:r>
        <w:rPr>
          <w:lang w:val="fr-FR"/>
        </w:rPr>
        <w:t>état de charge minimal (décharge maximale de la capacité).</w:t>
      </w:r>
    </w:p>
    <w:p w14:paraId="2E0BD1FC" w14:textId="77777777" w:rsidR="001767A4" w:rsidRPr="00AA51C1" w:rsidRDefault="001767A4" w:rsidP="007F7F0D">
      <w:pPr>
        <w:pStyle w:val="SingleTxtG"/>
        <w:ind w:left="2268"/>
      </w:pPr>
      <w:r>
        <w:rPr>
          <w:lang w:val="fr-FR"/>
        </w:rPr>
        <w:tab/>
        <w:t>Le profil de l</w:t>
      </w:r>
      <w:r w:rsidR="00CD4CE8">
        <w:rPr>
          <w:lang w:val="fr-FR"/>
        </w:rPr>
        <w:t>’</w:t>
      </w:r>
      <w:r>
        <w:rPr>
          <w:lang w:val="fr-FR"/>
        </w:rPr>
        <w:t>état de charge du dispositif de stockage d</w:t>
      </w:r>
      <w:r w:rsidR="00CD4CE8">
        <w:rPr>
          <w:lang w:val="fr-FR"/>
        </w:rPr>
        <w:t>’</w:t>
      </w:r>
      <w:r>
        <w:rPr>
          <w:lang w:val="fr-FR"/>
        </w:rPr>
        <w:t>énergie électrique pendant les différentes phases de l</w:t>
      </w:r>
      <w:r w:rsidR="00CD4CE8">
        <w:rPr>
          <w:lang w:val="fr-FR"/>
        </w:rPr>
        <w:t>’</w:t>
      </w:r>
      <w:r>
        <w:rPr>
          <w:lang w:val="fr-FR"/>
        </w:rPr>
        <w:t>essai du type</w:t>
      </w:r>
      <w:r w:rsidR="00A5382C">
        <w:rPr>
          <w:lang w:val="fr-FR"/>
        </w:rPr>
        <w:t> </w:t>
      </w:r>
      <w:r>
        <w:rPr>
          <w:lang w:val="fr-FR"/>
        </w:rPr>
        <w:t>I est présenté dans l</w:t>
      </w:r>
      <w:r w:rsidR="00CD4CE8">
        <w:rPr>
          <w:lang w:val="fr-FR"/>
        </w:rPr>
        <w:t>’</w:t>
      </w:r>
      <w:r>
        <w:rPr>
          <w:lang w:val="fr-FR"/>
        </w:rPr>
        <w:t>appendice</w:t>
      </w:r>
      <w:r w:rsidR="00A5382C">
        <w:rPr>
          <w:lang w:val="fr-FR"/>
        </w:rPr>
        <w:t> </w:t>
      </w:r>
      <w:r>
        <w:rPr>
          <w:lang w:val="fr-FR"/>
        </w:rPr>
        <w:t>1 de la présente annexe.</w:t>
      </w:r>
      <w:r w:rsidR="007F7F0D">
        <w:rPr>
          <w:lang w:val="fr-FR"/>
        </w:rPr>
        <w:t> </w:t>
      </w:r>
      <w:r>
        <w:rPr>
          <w:lang w:val="fr-FR"/>
        </w:rPr>
        <w:t>».</w:t>
      </w:r>
    </w:p>
    <w:p w14:paraId="16838033" w14:textId="77777777" w:rsidR="001767A4" w:rsidRPr="00AA51C1" w:rsidRDefault="001767A4" w:rsidP="007F7F0D">
      <w:pPr>
        <w:pStyle w:val="SingleTxtG"/>
        <w:rPr>
          <w:i/>
        </w:rPr>
      </w:pPr>
      <w:r w:rsidRPr="007F7F0D">
        <w:rPr>
          <w:i/>
          <w:lang w:val="fr-FR"/>
        </w:rPr>
        <w:t>Paragraphe 3.2.1</w:t>
      </w:r>
      <w:r>
        <w:rPr>
          <w:lang w:val="fr-FR"/>
        </w:rPr>
        <w:t>, lire</w:t>
      </w:r>
      <w:r w:rsidR="007F7F0D">
        <w:rPr>
          <w:lang w:val="fr-FR"/>
        </w:rPr>
        <w:t> </w:t>
      </w:r>
      <w:r>
        <w:rPr>
          <w:lang w:val="fr-FR"/>
        </w:rPr>
        <w:t>:</w:t>
      </w:r>
    </w:p>
    <w:p w14:paraId="4DD9DB39" w14:textId="77777777" w:rsidR="001767A4" w:rsidRPr="00AA51C1" w:rsidRDefault="007F7F0D" w:rsidP="001767A4">
      <w:pPr>
        <w:pStyle w:val="SingleTxtG"/>
        <w:ind w:left="2268" w:hanging="1134"/>
      </w:pPr>
      <w:r>
        <w:rPr>
          <w:lang w:val="fr-FR"/>
        </w:rPr>
        <w:t>« </w:t>
      </w:r>
      <w:r w:rsidR="001767A4">
        <w:rPr>
          <w:lang w:val="fr-FR"/>
        </w:rPr>
        <w:t>3.2.1</w:t>
      </w:r>
      <w:r w:rsidR="001767A4">
        <w:rPr>
          <w:lang w:val="fr-FR"/>
        </w:rPr>
        <w:tab/>
        <w:t>Deux essais doivent être effectués dans les conditions suivantes</w:t>
      </w:r>
      <w:r w:rsidR="00DD02B5">
        <w:rPr>
          <w:lang w:val="fr-FR"/>
        </w:rPr>
        <w:t> </w:t>
      </w:r>
      <w:r w:rsidR="001767A4">
        <w:rPr>
          <w:lang w:val="fr-FR"/>
        </w:rPr>
        <w:t>:</w:t>
      </w:r>
    </w:p>
    <w:p w14:paraId="39BC0A7A" w14:textId="77777777" w:rsidR="001767A4" w:rsidRPr="00AA51C1" w:rsidRDefault="001767A4" w:rsidP="005C24BE">
      <w:pPr>
        <w:pStyle w:val="SingleTxtG"/>
        <w:ind w:left="2268" w:hanging="1134"/>
      </w:pPr>
      <w:r>
        <w:rPr>
          <w:lang w:val="fr-FR"/>
        </w:rPr>
        <w:t>3.2.1.1</w:t>
      </w:r>
      <w:r>
        <w:rPr>
          <w:lang w:val="fr-FR"/>
        </w:rPr>
        <w:tab/>
        <w:t>Condition A</w:t>
      </w:r>
      <w:r w:rsidR="00DD02B5">
        <w:rPr>
          <w:lang w:val="fr-FR"/>
        </w:rPr>
        <w:t> </w:t>
      </w:r>
      <w:r>
        <w:rPr>
          <w:lang w:val="fr-FR"/>
        </w:rPr>
        <w:t>:</w:t>
      </w:r>
      <w:r w:rsidR="00DD02B5">
        <w:rPr>
          <w:lang w:val="fr-FR"/>
        </w:rPr>
        <w:t xml:space="preserve"> </w:t>
      </w:r>
      <w:r>
        <w:rPr>
          <w:lang w:val="fr-FR"/>
        </w:rPr>
        <w:t>L</w:t>
      </w:r>
      <w:r w:rsidR="00CD4CE8">
        <w:rPr>
          <w:lang w:val="fr-FR"/>
        </w:rPr>
        <w:t>’</w:t>
      </w:r>
      <w:r>
        <w:rPr>
          <w:lang w:val="fr-FR"/>
        </w:rPr>
        <w:t>essai doit être lancé alors que le dispositif de stockage d</w:t>
      </w:r>
      <w:r w:rsidR="00CD4CE8">
        <w:rPr>
          <w:lang w:val="fr-FR"/>
        </w:rPr>
        <w:t>’</w:t>
      </w:r>
      <w:r>
        <w:rPr>
          <w:lang w:val="fr-FR"/>
        </w:rPr>
        <w:t>énergie électrique est complètement chargé.</w:t>
      </w:r>
    </w:p>
    <w:p w14:paraId="7DEAABF4" w14:textId="77777777" w:rsidR="001767A4" w:rsidRPr="00AA51C1" w:rsidRDefault="001767A4" w:rsidP="005C24BE">
      <w:pPr>
        <w:pStyle w:val="SingleTxtG"/>
        <w:ind w:left="2268" w:hanging="1134"/>
      </w:pPr>
      <w:r>
        <w:rPr>
          <w:lang w:val="fr-FR"/>
        </w:rPr>
        <w:t>3.2.1.2</w:t>
      </w:r>
      <w:r>
        <w:rPr>
          <w:lang w:val="fr-FR"/>
        </w:rPr>
        <w:tab/>
        <w:t>Condition B</w:t>
      </w:r>
      <w:r w:rsidR="00DD02B5">
        <w:rPr>
          <w:lang w:val="fr-FR"/>
        </w:rPr>
        <w:t> </w:t>
      </w:r>
      <w:r>
        <w:rPr>
          <w:lang w:val="fr-FR"/>
        </w:rPr>
        <w:t>:</w:t>
      </w:r>
      <w:r w:rsidR="00DD02B5">
        <w:rPr>
          <w:lang w:val="fr-FR"/>
        </w:rPr>
        <w:t xml:space="preserve"> </w:t>
      </w:r>
      <w:r>
        <w:rPr>
          <w:lang w:val="fr-FR"/>
        </w:rPr>
        <w:t>L</w:t>
      </w:r>
      <w:r w:rsidR="00CD4CE8">
        <w:rPr>
          <w:lang w:val="fr-FR"/>
        </w:rPr>
        <w:t>’</w:t>
      </w:r>
      <w:r>
        <w:rPr>
          <w:lang w:val="fr-FR"/>
        </w:rPr>
        <w:t>essai doit être lancé alors que le dispositif de stockage d</w:t>
      </w:r>
      <w:r w:rsidR="00CD4CE8">
        <w:rPr>
          <w:lang w:val="fr-FR"/>
        </w:rPr>
        <w:t>’</w:t>
      </w:r>
      <w:r>
        <w:rPr>
          <w:lang w:val="fr-FR"/>
        </w:rPr>
        <w:t>énergie électrique est à l</w:t>
      </w:r>
      <w:r w:rsidR="00CD4CE8">
        <w:rPr>
          <w:lang w:val="fr-FR"/>
        </w:rPr>
        <w:t>’</w:t>
      </w:r>
      <w:r>
        <w:rPr>
          <w:lang w:val="fr-FR"/>
        </w:rPr>
        <w:t>état de charge minimal (décharge maximale de sa capacité) et effectué dans un mode de fonctionnement propre à maintenir le véhicule dans son état de charge, ce qui correspond à des conditions de fonctionnement dans lesquelles l</w:t>
      </w:r>
      <w:r w:rsidR="00CD4CE8">
        <w:rPr>
          <w:lang w:val="fr-FR"/>
        </w:rPr>
        <w:t>’</w:t>
      </w:r>
      <w:r>
        <w:rPr>
          <w:lang w:val="fr-FR"/>
        </w:rPr>
        <w:t>énergie stockée dans le dispositif de stockage d</w:t>
      </w:r>
      <w:r w:rsidR="00CD4CE8">
        <w:rPr>
          <w:lang w:val="fr-FR"/>
        </w:rPr>
        <w:t>’</w:t>
      </w:r>
      <w:r>
        <w:rPr>
          <w:lang w:val="fr-FR"/>
        </w:rPr>
        <w:t>énergie peut fluctuer mais est maintenue en moyenne à un niveau de charge stable pendant que le véhicule roule.</w:t>
      </w:r>
    </w:p>
    <w:p w14:paraId="2ED3B457" w14:textId="77777777" w:rsidR="001767A4" w:rsidRPr="00AA51C1" w:rsidRDefault="001767A4" w:rsidP="005C24BE">
      <w:pPr>
        <w:pStyle w:val="SingleTxtG"/>
        <w:ind w:left="2268" w:hanging="1134"/>
        <w:rPr>
          <w:rFonts w:eastAsiaTheme="minorEastAsia"/>
        </w:rPr>
      </w:pPr>
      <w:r>
        <w:rPr>
          <w:lang w:val="fr-FR"/>
        </w:rPr>
        <w:t>3.2.1.3</w:t>
      </w:r>
      <w:r>
        <w:rPr>
          <w:lang w:val="fr-FR"/>
        </w:rPr>
        <w:tab/>
        <w:t>En accord avec l</w:t>
      </w:r>
      <w:r w:rsidR="00CD4CE8">
        <w:rPr>
          <w:lang w:val="fr-FR"/>
        </w:rPr>
        <w:t>’</w:t>
      </w:r>
      <w:r>
        <w:rPr>
          <w:lang w:val="fr-FR"/>
        </w:rPr>
        <w:t>autorité d</w:t>
      </w:r>
      <w:r w:rsidR="00CD4CE8">
        <w:rPr>
          <w:lang w:val="fr-FR"/>
        </w:rPr>
        <w:t>’</w:t>
      </w:r>
      <w:r>
        <w:rPr>
          <w:lang w:val="fr-FR"/>
        </w:rPr>
        <w:t>homologation de type et sur justification du constructeur, les modes de fonctionnement suivants ne doivent pas être utilisés aux fins d</w:t>
      </w:r>
      <w:r w:rsidR="00CD4CE8">
        <w:rPr>
          <w:lang w:val="fr-FR"/>
        </w:rPr>
        <w:t>’</w:t>
      </w:r>
      <w:r>
        <w:rPr>
          <w:lang w:val="fr-FR"/>
        </w:rPr>
        <w:t>essai</w:t>
      </w:r>
      <w:r w:rsidR="00AF6153">
        <w:rPr>
          <w:lang w:val="fr-FR"/>
        </w:rPr>
        <w:t> </w:t>
      </w:r>
      <w:r>
        <w:rPr>
          <w:lang w:val="fr-FR"/>
        </w:rPr>
        <w:t>:</w:t>
      </w:r>
    </w:p>
    <w:p w14:paraId="0ABA3B76" w14:textId="77777777" w:rsidR="001767A4" w:rsidRPr="00AA51C1" w:rsidRDefault="00BF4778" w:rsidP="005C24BE">
      <w:pPr>
        <w:pStyle w:val="SingleTxtG"/>
        <w:ind w:left="2268"/>
        <w:rPr>
          <w:rFonts w:eastAsiaTheme="minorEastAsia"/>
        </w:rPr>
      </w:pPr>
      <w:r>
        <w:rPr>
          <w:lang w:val="fr-FR"/>
        </w:rPr>
        <w:t>-</w:t>
      </w:r>
      <w:r>
        <w:rPr>
          <w:lang w:val="fr-FR"/>
        </w:rPr>
        <w:tab/>
      </w:r>
      <w:r w:rsidR="001767A4">
        <w:rPr>
          <w:lang w:val="fr-FR"/>
        </w:rPr>
        <w:t>Les modes de fonctionnement tels que le mode “charge”, qui ne se limitent pas à la propulsion du véhicule, mais qui, en plus de la propulsion, chargent le dispositif de stockage d</w:t>
      </w:r>
      <w:r w:rsidR="00CD4CE8">
        <w:rPr>
          <w:lang w:val="fr-FR"/>
        </w:rPr>
        <w:t>’</w:t>
      </w:r>
      <w:r w:rsidR="001767A4">
        <w:rPr>
          <w:lang w:val="fr-FR"/>
        </w:rPr>
        <w:t>énergie afin de faciliter localement une conduite sans émissions (par exemple dans des conditions urbaines)</w:t>
      </w:r>
      <w:r>
        <w:rPr>
          <w:lang w:val="fr-FR"/>
        </w:rPr>
        <w:t> </w:t>
      </w:r>
      <w:r w:rsidR="001767A4">
        <w:rPr>
          <w:lang w:val="fr-FR"/>
        </w:rPr>
        <w:t>;</w:t>
      </w:r>
    </w:p>
    <w:p w14:paraId="2587C6C8" w14:textId="77777777" w:rsidR="001767A4" w:rsidRPr="00AA51C1" w:rsidRDefault="00BF4778" w:rsidP="005C24BE">
      <w:pPr>
        <w:pStyle w:val="SingleTxtG"/>
        <w:ind w:left="2268"/>
        <w:rPr>
          <w:rFonts w:eastAsiaTheme="minorEastAsia"/>
        </w:rPr>
      </w:pPr>
      <w:r>
        <w:rPr>
          <w:lang w:val="fr-FR"/>
        </w:rPr>
        <w:t>-</w:t>
      </w:r>
      <w:r>
        <w:rPr>
          <w:lang w:val="fr-FR"/>
        </w:rPr>
        <w:tab/>
      </w:r>
      <w:r w:rsidR="001767A4">
        <w:rPr>
          <w:lang w:val="fr-FR"/>
        </w:rPr>
        <w:t>Les modes de fonctionnement destinés à l</w:t>
      </w:r>
      <w:r w:rsidR="00CD4CE8">
        <w:rPr>
          <w:lang w:val="fr-FR"/>
        </w:rPr>
        <w:t>’</w:t>
      </w:r>
      <w:r w:rsidR="001767A4">
        <w:rPr>
          <w:lang w:val="fr-FR"/>
        </w:rPr>
        <w:t>entretien du véhicule, par exemple le mode “entretien”</w:t>
      </w:r>
      <w:r>
        <w:rPr>
          <w:lang w:val="fr-FR"/>
        </w:rPr>
        <w:t> </w:t>
      </w:r>
      <w:r w:rsidR="001767A4">
        <w:rPr>
          <w:lang w:val="fr-FR"/>
        </w:rPr>
        <w:t>;</w:t>
      </w:r>
    </w:p>
    <w:p w14:paraId="64E1A0E0" w14:textId="77777777" w:rsidR="001767A4" w:rsidRPr="00AA51C1" w:rsidRDefault="00BF4778" w:rsidP="005C24BE">
      <w:pPr>
        <w:pStyle w:val="SingleTxtG"/>
        <w:ind w:left="2268"/>
        <w:rPr>
          <w:rFonts w:eastAsiaTheme="minorEastAsia"/>
        </w:rPr>
      </w:pPr>
      <w:r>
        <w:rPr>
          <w:lang w:val="fr-FR"/>
        </w:rPr>
        <w:t>-</w:t>
      </w:r>
      <w:r>
        <w:rPr>
          <w:lang w:val="fr-FR"/>
        </w:rPr>
        <w:tab/>
      </w:r>
      <w:r w:rsidR="001767A4">
        <w:rPr>
          <w:lang w:val="fr-FR"/>
        </w:rPr>
        <w:t>Les modes de fonctionnement destinés à des usages spéciaux limités et non à l</w:t>
      </w:r>
      <w:r w:rsidR="00CD4CE8">
        <w:rPr>
          <w:lang w:val="fr-FR"/>
        </w:rPr>
        <w:t>’</w:t>
      </w:r>
      <w:r w:rsidR="001767A4">
        <w:rPr>
          <w:lang w:val="fr-FR"/>
        </w:rPr>
        <w:t>usage quotidien, comme le mode “montagne”.</w:t>
      </w:r>
    </w:p>
    <w:p w14:paraId="3EE59062" w14:textId="77777777" w:rsidR="001767A4" w:rsidRPr="00AA51C1" w:rsidRDefault="001767A4" w:rsidP="001767A4">
      <w:pPr>
        <w:pStyle w:val="SingleTxtG"/>
        <w:keepNext/>
        <w:keepLines/>
        <w:ind w:left="2268"/>
        <w:rPr>
          <w:iCs/>
        </w:rPr>
      </w:pPr>
      <w:r>
        <w:rPr>
          <w:lang w:val="fr-FR"/>
        </w:rPr>
        <w:t>Sur la base des renseignements fournis par le constructeur, le service technique doit veiller à ce que les valeurs limites indiquées au tableau</w:t>
      </w:r>
      <w:r w:rsidR="00C0279C">
        <w:rPr>
          <w:lang w:val="fr-FR"/>
        </w:rPr>
        <w:t> </w:t>
      </w:r>
      <w:r>
        <w:rPr>
          <w:lang w:val="fr-FR"/>
        </w:rPr>
        <w:t>1 du paragraphe 5.3.1.4 du présent Règlement ne soient pas dépassées dans tous les modes hybrides, à l</w:t>
      </w:r>
      <w:r w:rsidR="00CD4CE8">
        <w:rPr>
          <w:lang w:val="fr-FR"/>
        </w:rPr>
        <w:t>’</w:t>
      </w:r>
      <w:r>
        <w:rPr>
          <w:lang w:val="fr-FR"/>
        </w:rPr>
        <w:t>exception du mode “entretien”.</w:t>
      </w:r>
    </w:p>
    <w:p w14:paraId="07E0E5BC" w14:textId="77777777" w:rsidR="001767A4" w:rsidRPr="00AA51C1" w:rsidRDefault="001767A4" w:rsidP="00737BDA">
      <w:pPr>
        <w:pStyle w:val="SingleTxtG"/>
        <w:ind w:left="2268" w:hanging="1134"/>
      </w:pPr>
      <w:r>
        <w:rPr>
          <w:lang w:val="fr-FR"/>
        </w:rPr>
        <w:t>3.2.1.4</w:t>
      </w:r>
      <w:r>
        <w:rPr>
          <w:lang w:val="fr-FR"/>
        </w:rPr>
        <w:tab/>
        <w:t>Le mode de fonctionnement doit être choisi conformément aux dispositions des paragraphes 3.2.1.4.1 à 3.2.1.4.2.2 inclus.</w:t>
      </w:r>
    </w:p>
    <w:p w14:paraId="59DA0083" w14:textId="77777777" w:rsidR="001767A4" w:rsidRPr="00AA51C1" w:rsidRDefault="001767A4" w:rsidP="00737BDA">
      <w:pPr>
        <w:pStyle w:val="SingleTxtG"/>
        <w:ind w:left="2268" w:hanging="1134"/>
      </w:pPr>
      <w:r>
        <w:rPr>
          <w:lang w:val="fr-FR"/>
        </w:rPr>
        <w:lastRenderedPageBreak/>
        <w:t>3.2.1.4.1</w:t>
      </w:r>
      <w:r>
        <w:rPr>
          <w:lang w:val="fr-FR"/>
        </w:rPr>
        <w:tab/>
        <w:t>Choix du mode de fonctionnement pour la condition A</w:t>
      </w:r>
    </w:p>
    <w:p w14:paraId="1B5289AB" w14:textId="77777777" w:rsidR="001767A4" w:rsidRPr="00AA51C1" w:rsidRDefault="001767A4" w:rsidP="00737BDA">
      <w:pPr>
        <w:pStyle w:val="SingleTxtG"/>
        <w:ind w:left="2268" w:hanging="1134"/>
      </w:pPr>
      <w:r>
        <w:rPr>
          <w:lang w:val="fr-FR"/>
        </w:rPr>
        <w:t>3.2.1.4.1.1</w:t>
      </w:r>
      <w:r>
        <w:rPr>
          <w:lang w:val="fr-FR"/>
        </w:rPr>
        <w:tab/>
        <w:t>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14:paraId="48782410" w14:textId="77777777" w:rsidR="001767A4" w:rsidRPr="00AA51C1" w:rsidRDefault="001767A4" w:rsidP="001767A4">
      <w:pPr>
        <w:pStyle w:val="SingleTxtG"/>
        <w:ind w:left="2268" w:hanging="1134"/>
      </w:pPr>
      <w:r>
        <w:rPr>
          <w:lang w:val="fr-FR"/>
        </w:rPr>
        <w:t>3.2.1.4.1.2</w:t>
      </w:r>
      <w:r>
        <w:rPr>
          <w:lang w:val="fr-FR"/>
        </w:rPr>
        <w:tab/>
        <w:t>Si, dans la condition A, il n</w:t>
      </w:r>
      <w:r w:rsidR="00CD4CE8">
        <w:rPr>
          <w:lang w:val="fr-FR"/>
        </w:rPr>
        <w:t>’</w:t>
      </w:r>
      <w:r>
        <w:rPr>
          <w:lang w:val="fr-FR"/>
        </w:rPr>
        <w:t>existe pas de mode de fonctionnement particulier qui soit sélectionné par défaut au démarrage du véhicule, le mode dans lequel la consommation d</w:t>
      </w:r>
      <w:r w:rsidR="00CD4CE8">
        <w:rPr>
          <w:lang w:val="fr-FR"/>
        </w:rPr>
        <w:t>’</w:t>
      </w:r>
      <w:r>
        <w:rPr>
          <w:lang w:val="fr-FR"/>
        </w:rPr>
        <w:t>énergie électrique est la plus élevée doit être sélectionné.</w:t>
      </w:r>
    </w:p>
    <w:p w14:paraId="440C4378" w14:textId="77777777" w:rsidR="001767A4" w:rsidRPr="00AA51C1" w:rsidRDefault="001767A4" w:rsidP="00737BDA">
      <w:pPr>
        <w:pStyle w:val="SingleTxtG"/>
        <w:ind w:left="2268" w:hanging="1134"/>
      </w:pPr>
      <w:r>
        <w:rPr>
          <w:lang w:val="fr-FR"/>
        </w:rPr>
        <w:t>3.2.1.4.2</w:t>
      </w:r>
      <w:r>
        <w:rPr>
          <w:lang w:val="fr-FR"/>
        </w:rPr>
        <w:tab/>
        <w:t>Choix du mode de fonctionnement pour la condition B</w:t>
      </w:r>
    </w:p>
    <w:p w14:paraId="25851B47" w14:textId="77777777" w:rsidR="001767A4" w:rsidRPr="00AA51C1" w:rsidRDefault="001767A4" w:rsidP="001767A4">
      <w:pPr>
        <w:pStyle w:val="SingleTxtG"/>
        <w:ind w:left="2268" w:hanging="1134"/>
      </w:pPr>
      <w:r>
        <w:rPr>
          <w:lang w:val="fr-FR"/>
        </w:rPr>
        <w:t>3.2.1.4.2.1</w:t>
      </w:r>
      <w:r>
        <w:rPr>
          <w:lang w:val="fr-FR"/>
        </w:rPr>
        <w:tab/>
        <w:t>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14:paraId="7E742D9C" w14:textId="77777777" w:rsidR="00F9573C" w:rsidRDefault="001767A4" w:rsidP="00737BDA">
      <w:pPr>
        <w:pStyle w:val="SingleTxtG"/>
        <w:ind w:left="2268" w:hanging="1134"/>
        <w:rPr>
          <w:lang w:val="fr-FR"/>
        </w:rPr>
      </w:pPr>
      <w:r>
        <w:rPr>
          <w:lang w:val="fr-FR"/>
        </w:rPr>
        <w:t>3.2.1.4.2.2</w:t>
      </w:r>
      <w:r>
        <w:rPr>
          <w:lang w:val="fr-FR"/>
        </w:rPr>
        <w:tab/>
        <w:t>Si, dans la condition B, il n</w:t>
      </w:r>
      <w:r w:rsidR="00CD4CE8">
        <w:rPr>
          <w:lang w:val="fr-FR"/>
        </w:rPr>
        <w:t>’</w:t>
      </w:r>
      <w:r>
        <w:rPr>
          <w:lang w:val="fr-FR"/>
        </w:rPr>
        <w:t>existe pas de mode de fonctionnement particulier qui soit sélectionné par défaut au démarrage du véhicule, le mode dans lequel la consommation de carburant est la plus élevée doit être sélectionné. ».</w:t>
      </w:r>
    </w:p>
    <w:p w14:paraId="4A06AA10" w14:textId="77777777" w:rsidR="00CD4CE8" w:rsidRPr="00CD4CE8" w:rsidRDefault="00CD4CE8" w:rsidP="00CD4CE8">
      <w:pPr>
        <w:pStyle w:val="SingleTxtG"/>
        <w:spacing w:before="240" w:after="0"/>
        <w:jc w:val="center"/>
        <w:rPr>
          <w:u w:val="single"/>
        </w:rPr>
      </w:pPr>
      <w:r>
        <w:rPr>
          <w:u w:val="single"/>
        </w:rPr>
        <w:tab/>
      </w:r>
      <w:r>
        <w:rPr>
          <w:u w:val="single"/>
        </w:rPr>
        <w:tab/>
      </w:r>
      <w:r>
        <w:rPr>
          <w:u w:val="single"/>
        </w:rPr>
        <w:tab/>
      </w:r>
    </w:p>
    <w:sectPr w:rsidR="00CD4CE8" w:rsidRPr="00CD4CE8" w:rsidSect="00EB5D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9E58" w14:textId="77777777" w:rsidR="00500332" w:rsidRDefault="00500332" w:rsidP="00F95C08">
      <w:pPr>
        <w:spacing w:line="240" w:lineRule="auto"/>
      </w:pPr>
    </w:p>
  </w:endnote>
  <w:endnote w:type="continuationSeparator" w:id="0">
    <w:p w14:paraId="49D699D6" w14:textId="77777777" w:rsidR="00500332" w:rsidRPr="00AC3823" w:rsidRDefault="00500332" w:rsidP="00AC3823">
      <w:pPr>
        <w:pStyle w:val="Footer"/>
      </w:pPr>
    </w:p>
  </w:endnote>
  <w:endnote w:type="continuationNotice" w:id="1">
    <w:p w14:paraId="32E6BB87" w14:textId="77777777" w:rsidR="00500332" w:rsidRDefault="005003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398D" w14:textId="77777777" w:rsidR="00EB5D60" w:rsidRPr="00EB5D60" w:rsidRDefault="00EB5D60" w:rsidP="00EB5D60">
    <w:pPr>
      <w:pStyle w:val="Footer"/>
      <w:tabs>
        <w:tab w:val="right" w:pos="9638"/>
      </w:tabs>
    </w:pPr>
    <w:r w:rsidRPr="00EB5D60">
      <w:rPr>
        <w:b/>
        <w:sz w:val="18"/>
      </w:rPr>
      <w:fldChar w:fldCharType="begin"/>
    </w:r>
    <w:r w:rsidRPr="00EB5D60">
      <w:rPr>
        <w:b/>
        <w:sz w:val="18"/>
      </w:rPr>
      <w:instrText xml:space="preserve"> PAGE  \* MERGEFORMAT </w:instrText>
    </w:r>
    <w:r w:rsidRPr="00EB5D60">
      <w:rPr>
        <w:b/>
        <w:sz w:val="18"/>
      </w:rPr>
      <w:fldChar w:fldCharType="separate"/>
    </w:r>
    <w:r w:rsidRPr="00EB5D60">
      <w:rPr>
        <w:b/>
        <w:noProof/>
        <w:sz w:val="18"/>
      </w:rPr>
      <w:t>2</w:t>
    </w:r>
    <w:r w:rsidRPr="00EB5D60">
      <w:rPr>
        <w:b/>
        <w:sz w:val="18"/>
      </w:rPr>
      <w:fldChar w:fldCharType="end"/>
    </w:r>
    <w:r>
      <w:rPr>
        <w:b/>
        <w:sz w:val="18"/>
      </w:rPr>
      <w:tab/>
    </w:r>
    <w:r>
      <w:t>GE.19-06170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658F" w14:textId="77777777" w:rsidR="00EB5D60" w:rsidRPr="00EB5D60" w:rsidRDefault="00EB5D60" w:rsidP="00EB5D60">
    <w:pPr>
      <w:pStyle w:val="Footer"/>
      <w:tabs>
        <w:tab w:val="right" w:pos="9638"/>
      </w:tabs>
      <w:rPr>
        <w:b/>
        <w:sz w:val="18"/>
      </w:rPr>
    </w:pPr>
    <w:r>
      <w:t>GE.19-06170</w:t>
    </w:r>
    <w:r>
      <w:tab/>
    </w:r>
    <w:r w:rsidRPr="00EB5D60">
      <w:rPr>
        <w:b/>
        <w:sz w:val="18"/>
      </w:rPr>
      <w:fldChar w:fldCharType="begin"/>
    </w:r>
    <w:r w:rsidRPr="00EB5D60">
      <w:rPr>
        <w:b/>
        <w:sz w:val="18"/>
      </w:rPr>
      <w:instrText xml:space="preserve"> PAGE  \* MERGEFORMAT </w:instrText>
    </w:r>
    <w:r w:rsidRPr="00EB5D60">
      <w:rPr>
        <w:b/>
        <w:sz w:val="18"/>
      </w:rPr>
      <w:fldChar w:fldCharType="separate"/>
    </w:r>
    <w:r w:rsidRPr="00EB5D60">
      <w:rPr>
        <w:b/>
        <w:noProof/>
        <w:sz w:val="18"/>
      </w:rPr>
      <w:t>3</w:t>
    </w:r>
    <w:r w:rsidRPr="00EB5D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CA95" w14:textId="77777777" w:rsidR="007F20FA" w:rsidRPr="00EB5D60" w:rsidRDefault="00EB5D60" w:rsidP="00EB5D60">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AF61000" wp14:editId="4CD0D7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06170  (</w:t>
    </w:r>
    <w:proofErr w:type="gramEnd"/>
    <w:r>
      <w:rPr>
        <w:sz w:val="20"/>
      </w:rPr>
      <w:t>F)</w:t>
    </w:r>
    <w:r w:rsidR="001767A4">
      <w:rPr>
        <w:sz w:val="20"/>
      </w:rPr>
      <w:t xml:space="preserve">    300419    010519</w:t>
    </w:r>
    <w:r>
      <w:rPr>
        <w:sz w:val="20"/>
      </w:rPr>
      <w:br/>
    </w:r>
    <w:r w:rsidRPr="00EB5D60">
      <w:rPr>
        <w:rFonts w:ascii="C39T30Lfz" w:hAnsi="C39T30Lfz"/>
        <w:sz w:val="56"/>
      </w:rPr>
      <w:t></w:t>
    </w:r>
    <w:r w:rsidRPr="00EB5D60">
      <w:rPr>
        <w:rFonts w:ascii="C39T30Lfz" w:hAnsi="C39T30Lfz"/>
        <w:sz w:val="56"/>
      </w:rPr>
      <w:t></w:t>
    </w:r>
    <w:r w:rsidRPr="00EB5D60">
      <w:rPr>
        <w:rFonts w:ascii="C39T30Lfz" w:hAnsi="C39T30Lfz"/>
        <w:sz w:val="56"/>
      </w:rPr>
      <w:t></w:t>
    </w:r>
    <w:r w:rsidRPr="00EB5D60">
      <w:rPr>
        <w:rFonts w:ascii="C39T30Lfz" w:hAnsi="C39T30Lfz"/>
        <w:sz w:val="56"/>
      </w:rPr>
      <w:t></w:t>
    </w:r>
    <w:r w:rsidRPr="00EB5D60">
      <w:rPr>
        <w:rFonts w:ascii="C39T30Lfz" w:hAnsi="C39T30Lfz"/>
        <w:sz w:val="56"/>
      </w:rPr>
      <w:t></w:t>
    </w:r>
    <w:r w:rsidRPr="00EB5D60">
      <w:rPr>
        <w:rFonts w:ascii="C39T30Lfz" w:hAnsi="C39T30Lfz"/>
        <w:sz w:val="56"/>
      </w:rPr>
      <w:t></w:t>
    </w:r>
    <w:r w:rsidRPr="00EB5D60">
      <w:rPr>
        <w:rFonts w:ascii="C39T30Lfz" w:hAnsi="C39T30Lfz"/>
        <w:sz w:val="56"/>
      </w:rPr>
      <w:t></w:t>
    </w:r>
    <w:r w:rsidRPr="00EB5D60">
      <w:rPr>
        <w:rFonts w:ascii="C39T30Lfz" w:hAnsi="C39T30Lfz"/>
        <w:sz w:val="56"/>
      </w:rPr>
      <w:t></w:t>
    </w:r>
    <w:r w:rsidRPr="00EB5D60">
      <w:rPr>
        <w:rFonts w:ascii="C39T30Lfz" w:hAnsi="C39T30Lfz"/>
        <w:sz w:val="56"/>
      </w:rPr>
      <w:t></w:t>
    </w:r>
    <w:r>
      <w:rPr>
        <w:noProof/>
        <w:sz w:val="20"/>
      </w:rPr>
      <w:drawing>
        <wp:anchor distT="0" distB="0" distL="114300" distR="114300" simplePos="0" relativeHeight="251658240" behindDoc="0" locked="0" layoutInCell="1" allowOverlap="1" wp14:anchorId="634F1F87" wp14:editId="6D79684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6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6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4CF1B" w14:textId="77777777" w:rsidR="00500332" w:rsidRPr="00AC3823" w:rsidRDefault="00500332" w:rsidP="00AC3823">
      <w:pPr>
        <w:pStyle w:val="Footer"/>
        <w:tabs>
          <w:tab w:val="right" w:pos="2155"/>
        </w:tabs>
        <w:spacing w:after="80" w:line="240" w:lineRule="atLeast"/>
        <w:ind w:left="680"/>
        <w:rPr>
          <w:u w:val="single"/>
        </w:rPr>
      </w:pPr>
      <w:r>
        <w:rPr>
          <w:u w:val="single"/>
        </w:rPr>
        <w:tab/>
      </w:r>
    </w:p>
  </w:footnote>
  <w:footnote w:type="continuationSeparator" w:id="0">
    <w:p w14:paraId="4DFA726C" w14:textId="77777777" w:rsidR="00500332" w:rsidRPr="00AC3823" w:rsidRDefault="00500332" w:rsidP="00AC3823">
      <w:pPr>
        <w:pStyle w:val="Footer"/>
        <w:tabs>
          <w:tab w:val="right" w:pos="2155"/>
        </w:tabs>
        <w:spacing w:after="80" w:line="240" w:lineRule="atLeast"/>
        <w:ind w:left="680"/>
        <w:rPr>
          <w:u w:val="single"/>
        </w:rPr>
      </w:pPr>
      <w:r>
        <w:rPr>
          <w:u w:val="single"/>
        </w:rPr>
        <w:tab/>
      </w:r>
    </w:p>
  </w:footnote>
  <w:footnote w:type="continuationNotice" w:id="1">
    <w:p w14:paraId="7343801D" w14:textId="77777777" w:rsidR="00500332" w:rsidRPr="00AC3823" w:rsidRDefault="00500332">
      <w:pPr>
        <w:spacing w:line="240" w:lineRule="auto"/>
        <w:rPr>
          <w:sz w:val="2"/>
          <w:szCs w:val="2"/>
        </w:rPr>
      </w:pPr>
    </w:p>
  </w:footnote>
  <w:footnote w:id="2">
    <w:p w14:paraId="65A2CE73" w14:textId="77777777" w:rsidR="0064344F" w:rsidRPr="00AA51C1" w:rsidRDefault="0064344F" w:rsidP="006E75FA">
      <w:pPr>
        <w:pStyle w:val="FootnoteText"/>
      </w:pPr>
      <w:r>
        <w:rPr>
          <w:lang w:val="fr-FR"/>
        </w:rPr>
        <w:tab/>
      </w:r>
      <w:r w:rsidRPr="001767A4">
        <w:rPr>
          <w:sz w:val="20"/>
          <w:lang w:val="fr-FR"/>
        </w:rPr>
        <w:t>*</w:t>
      </w:r>
      <w:r w:rsidRPr="001767A4">
        <w:rPr>
          <w:sz w:val="20"/>
          <w:lang w:val="fr-FR"/>
        </w:rPr>
        <w:tab/>
      </w:r>
      <w:r w:rsidRPr="001767A4">
        <w:rPr>
          <w:spacing w:val="-2"/>
          <w:lang w:val="fr-FR"/>
        </w:rPr>
        <w:t>Conformément au programme de travail du Comité des transports intérieurs pour la période 2018-2019</w:t>
      </w:r>
      <w:r>
        <w:rPr>
          <w:lang w:val="fr-FR"/>
        </w:rPr>
        <w:t xml:space="preserve"> (ECE/TRANS/274, par. 123, et ECE/TRANS/2018/21, module 3.1), le Forum mondial a pour mission </w:t>
      </w:r>
      <w:r w:rsidRPr="00243E04">
        <w:rPr>
          <w:spacing w:val="-2"/>
          <w:lang w:val="fr-FR"/>
        </w:rPr>
        <w:t>d</w:t>
      </w:r>
      <w:r w:rsidR="009B318B" w:rsidRPr="00243E04">
        <w:rPr>
          <w:spacing w:val="-2"/>
          <w:lang w:val="fr-FR"/>
        </w:rPr>
        <w:t>’</w:t>
      </w:r>
      <w:r w:rsidRPr="00243E04">
        <w:rPr>
          <w:spacing w:val="-2"/>
          <w:lang w:val="fr-FR"/>
        </w:rPr>
        <w:t>élaborer, d</w:t>
      </w:r>
      <w:r w:rsidR="009B318B" w:rsidRPr="00243E04">
        <w:rPr>
          <w:spacing w:val="-2"/>
          <w:lang w:val="fr-FR"/>
        </w:rPr>
        <w:t>’</w:t>
      </w:r>
      <w:r w:rsidRPr="00243E04">
        <w:rPr>
          <w:spacing w:val="-2"/>
          <w:lang w:val="fr-FR"/>
        </w:rPr>
        <w:t>harmoniser et de mettre à jour les Règlements ONU en vue d</w:t>
      </w:r>
      <w:r w:rsidR="009B318B" w:rsidRPr="00243E04">
        <w:rPr>
          <w:spacing w:val="-2"/>
          <w:lang w:val="fr-FR"/>
        </w:rPr>
        <w:t>’</w:t>
      </w:r>
      <w:r w:rsidRPr="00243E04">
        <w:rPr>
          <w:spacing w:val="-2"/>
          <w:lang w:val="fr-FR"/>
        </w:rPr>
        <w:t>améliorer les caractéristiques</w:t>
      </w:r>
      <w:r>
        <w:rPr>
          <w:lang w:val="fr-FR"/>
        </w:rPr>
        <w:t xml:space="preserve">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8472" w14:textId="2AFF7F67" w:rsidR="00EB5D60" w:rsidRPr="00EB5D60" w:rsidRDefault="00CD3E62">
    <w:pPr>
      <w:pStyle w:val="Header"/>
    </w:pPr>
    <w:r>
      <w:fldChar w:fldCharType="begin"/>
    </w:r>
    <w:r>
      <w:instrText xml:space="preserve"> TITLE  \* MERGEFORMAT </w:instrText>
    </w:r>
    <w:r>
      <w:fldChar w:fldCharType="separate"/>
    </w:r>
    <w:r>
      <w:t>ECE/TRANS/WP.29/2019/60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82AB" w14:textId="4BA230DF" w:rsidR="00EB5D60" w:rsidRPr="00EB5D60" w:rsidRDefault="00CD3E62" w:rsidP="00EB5D60">
    <w:pPr>
      <w:pStyle w:val="Header"/>
      <w:jc w:val="right"/>
    </w:pPr>
    <w:r>
      <w:fldChar w:fldCharType="begin"/>
    </w:r>
    <w:r>
      <w:instrText xml:space="preserve"> TITLE  \* MERGEFORMAT </w:instrText>
    </w:r>
    <w:r>
      <w:fldChar w:fldCharType="separate"/>
    </w:r>
    <w:r>
      <w:t>ECE/TRANS/WP.29/2019/60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00A0570A">
        <w:numFmt w:val="bullet"/>
        <w:lvlText w:val="-"/>
        <w:lvlJc w:val="left"/>
        <w:pPr>
          <w:ind w:left="360" w:hanging="360"/>
        </w:pPr>
        <w:rPr>
          <w:rFonts w:ascii="Arial" w:eastAsiaTheme="minorEastAsia"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32"/>
    <w:rsid w:val="00017F94"/>
    <w:rsid w:val="00023842"/>
    <w:rsid w:val="000334F9"/>
    <w:rsid w:val="00045FEB"/>
    <w:rsid w:val="0007796D"/>
    <w:rsid w:val="000B7790"/>
    <w:rsid w:val="00111F2F"/>
    <w:rsid w:val="0014365E"/>
    <w:rsid w:val="00143C66"/>
    <w:rsid w:val="00176178"/>
    <w:rsid w:val="001767A4"/>
    <w:rsid w:val="001A01EB"/>
    <w:rsid w:val="001F525A"/>
    <w:rsid w:val="00223272"/>
    <w:rsid w:val="00243E04"/>
    <w:rsid w:val="0024779E"/>
    <w:rsid w:val="00257168"/>
    <w:rsid w:val="002744B8"/>
    <w:rsid w:val="002832AC"/>
    <w:rsid w:val="002D7C93"/>
    <w:rsid w:val="00305801"/>
    <w:rsid w:val="003916DE"/>
    <w:rsid w:val="003974CB"/>
    <w:rsid w:val="00421996"/>
    <w:rsid w:val="00441C3B"/>
    <w:rsid w:val="00446FE5"/>
    <w:rsid w:val="00452396"/>
    <w:rsid w:val="004837D8"/>
    <w:rsid w:val="004E2EED"/>
    <w:rsid w:val="004E468C"/>
    <w:rsid w:val="00500332"/>
    <w:rsid w:val="005505B7"/>
    <w:rsid w:val="00573BE5"/>
    <w:rsid w:val="00586ED3"/>
    <w:rsid w:val="00596AA9"/>
    <w:rsid w:val="005C24BE"/>
    <w:rsid w:val="0064344F"/>
    <w:rsid w:val="006E75FA"/>
    <w:rsid w:val="0071601D"/>
    <w:rsid w:val="00737BDA"/>
    <w:rsid w:val="007A62E6"/>
    <w:rsid w:val="007F20FA"/>
    <w:rsid w:val="007F7F0D"/>
    <w:rsid w:val="0080684C"/>
    <w:rsid w:val="00871C75"/>
    <w:rsid w:val="008776DC"/>
    <w:rsid w:val="009446C0"/>
    <w:rsid w:val="009705C8"/>
    <w:rsid w:val="00994F3F"/>
    <w:rsid w:val="009B318B"/>
    <w:rsid w:val="009C1CF4"/>
    <w:rsid w:val="009C460E"/>
    <w:rsid w:val="009F6B74"/>
    <w:rsid w:val="00A3029F"/>
    <w:rsid w:val="00A30353"/>
    <w:rsid w:val="00A5382C"/>
    <w:rsid w:val="00AC3823"/>
    <w:rsid w:val="00AE323C"/>
    <w:rsid w:val="00AF0CB5"/>
    <w:rsid w:val="00AF6153"/>
    <w:rsid w:val="00B00181"/>
    <w:rsid w:val="00B00B0D"/>
    <w:rsid w:val="00B45F2E"/>
    <w:rsid w:val="00B765F7"/>
    <w:rsid w:val="00BA0CA9"/>
    <w:rsid w:val="00BF2E72"/>
    <w:rsid w:val="00BF4778"/>
    <w:rsid w:val="00C0279C"/>
    <w:rsid w:val="00C02897"/>
    <w:rsid w:val="00C97039"/>
    <w:rsid w:val="00CA3B9C"/>
    <w:rsid w:val="00CD3E62"/>
    <w:rsid w:val="00CD4CE8"/>
    <w:rsid w:val="00D3439C"/>
    <w:rsid w:val="00DB1831"/>
    <w:rsid w:val="00DD02B5"/>
    <w:rsid w:val="00DD3BFD"/>
    <w:rsid w:val="00DF6678"/>
    <w:rsid w:val="00E0299A"/>
    <w:rsid w:val="00E85C74"/>
    <w:rsid w:val="00EA6547"/>
    <w:rsid w:val="00EB5D60"/>
    <w:rsid w:val="00EF2E22"/>
    <w:rsid w:val="00F15439"/>
    <w:rsid w:val="00F30B3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B5BFF"/>
  <w15:docId w15:val="{7B1410FD-3519-4C12-8EFF-51EA91E0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64344F"/>
    <w:rPr>
      <w:rFonts w:ascii="Times New Roman" w:eastAsiaTheme="minorHAnsi" w:hAnsi="Times New Roman" w:cs="Times New Roman"/>
      <w:b/>
      <w:sz w:val="28"/>
      <w:szCs w:val="20"/>
      <w:lang w:eastAsia="en-US"/>
    </w:rPr>
  </w:style>
  <w:style w:type="character" w:customStyle="1" w:styleId="H1GChar">
    <w:name w:val="_ H_1_G Char"/>
    <w:link w:val="H1G"/>
    <w:locked/>
    <w:rsid w:val="0064344F"/>
    <w:rPr>
      <w:rFonts w:ascii="Times New Roman" w:eastAsiaTheme="minorHAnsi" w:hAnsi="Times New Roman" w:cs="Times New Roman"/>
      <w:b/>
      <w:sz w:val="24"/>
      <w:szCs w:val="20"/>
      <w:lang w:eastAsia="en-US"/>
    </w:rPr>
  </w:style>
  <w:style w:type="character" w:customStyle="1" w:styleId="SingleTxtGChar">
    <w:name w:val="_ Single Txt_G Char"/>
    <w:basedOn w:val="DefaultParagraphFont"/>
    <w:link w:val="SingleTxtG"/>
    <w:qFormat/>
    <w:rsid w:val="001767A4"/>
    <w:rPr>
      <w:rFonts w:ascii="Times New Roman" w:eastAsiaTheme="minorHAnsi" w:hAnsi="Times New Roman" w:cs="Times New Roman"/>
      <w:sz w:val="20"/>
      <w:szCs w:val="20"/>
      <w:lang w:eastAsia="en-US"/>
    </w:rPr>
  </w:style>
  <w:style w:type="character" w:customStyle="1" w:styleId="paraChar">
    <w:name w:val="para Char"/>
    <w:link w:val="para"/>
    <w:locked/>
    <w:rsid w:val="001767A4"/>
  </w:style>
  <w:style w:type="paragraph" w:customStyle="1" w:styleId="para">
    <w:name w:val="para"/>
    <w:basedOn w:val="Normal"/>
    <w:link w:val="paraChar"/>
    <w:qFormat/>
    <w:rsid w:val="001767A4"/>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ECE/TRANS/WP.29/2019/60</vt:lpstr>
      <vt:lpstr>ECE/TRANS/WP.29/2019/60</vt:lpstr>
    </vt:vector>
  </TitlesOfParts>
  <Company>DCM</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ECE/TRANS/WP.29/2019/60</dc:title>
  <dc:subject/>
  <dc:creator>Corinne ROBERT</dc:creator>
  <cp:keywords/>
  <cp:lastModifiedBy>Marie-Claude Collet</cp:lastModifiedBy>
  <cp:revision>3</cp:revision>
  <cp:lastPrinted>2019-05-08T09:48:00Z</cp:lastPrinted>
  <dcterms:created xsi:type="dcterms:W3CDTF">2019-05-08T09:48:00Z</dcterms:created>
  <dcterms:modified xsi:type="dcterms:W3CDTF">2019-05-08T09:48:00Z</dcterms:modified>
</cp:coreProperties>
</file>