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1899897C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0F4E46CB" w14:textId="77777777" w:rsidR="00F35BAF" w:rsidRPr="00DB58B5" w:rsidRDefault="00F35BAF" w:rsidP="005062E5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48FE825B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66DBC821" w14:textId="77777777" w:rsidR="00F35BAF" w:rsidRPr="00DB58B5" w:rsidRDefault="005062E5" w:rsidP="005062E5">
            <w:pPr>
              <w:jc w:val="right"/>
            </w:pPr>
            <w:r w:rsidRPr="005062E5">
              <w:rPr>
                <w:sz w:val="40"/>
              </w:rPr>
              <w:t>ECE</w:t>
            </w:r>
            <w:r>
              <w:t>/TRANS/WP.29/2019/54</w:t>
            </w:r>
          </w:p>
        </w:tc>
      </w:tr>
      <w:tr w:rsidR="00F35BAF" w:rsidRPr="00DB58B5" w14:paraId="5743A0C6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553C1850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2F75C290" wp14:editId="53B5CB87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D7D8CBA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548CA957" w14:textId="77777777" w:rsidR="00F35BAF" w:rsidRDefault="005062E5" w:rsidP="00C97039">
            <w:pPr>
              <w:spacing w:before="240"/>
            </w:pPr>
            <w:r>
              <w:t xml:space="preserve">Distr. </w:t>
            </w:r>
            <w:proofErr w:type="gramStart"/>
            <w:r>
              <w:t>générale</w:t>
            </w:r>
            <w:proofErr w:type="gramEnd"/>
          </w:p>
          <w:p w14:paraId="33494C7E" w14:textId="77777777" w:rsidR="005062E5" w:rsidRDefault="005062E5" w:rsidP="005062E5">
            <w:pPr>
              <w:spacing w:line="240" w:lineRule="exact"/>
            </w:pPr>
            <w:r>
              <w:t>11 avril 2019</w:t>
            </w:r>
          </w:p>
          <w:p w14:paraId="1E08481B" w14:textId="77777777" w:rsidR="005062E5" w:rsidRDefault="005062E5" w:rsidP="005062E5">
            <w:pPr>
              <w:spacing w:line="240" w:lineRule="exact"/>
            </w:pPr>
            <w:r>
              <w:t>Français</w:t>
            </w:r>
          </w:p>
          <w:p w14:paraId="3EC2EE7A" w14:textId="77777777" w:rsidR="005062E5" w:rsidRPr="00DB58B5" w:rsidRDefault="005062E5" w:rsidP="005062E5">
            <w:pPr>
              <w:spacing w:line="240" w:lineRule="exact"/>
            </w:pPr>
            <w:r>
              <w:t>Original</w:t>
            </w:r>
            <w:r w:rsidR="00CD5799">
              <w:t> :</w:t>
            </w:r>
            <w:r>
              <w:t xml:space="preserve"> anglais</w:t>
            </w:r>
          </w:p>
        </w:tc>
      </w:tr>
    </w:tbl>
    <w:p w14:paraId="587BBFB1" w14:textId="77777777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14:paraId="1E75DB7E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2A7243B8" w14:textId="77777777" w:rsidR="00CD5799" w:rsidRPr="00CD5799" w:rsidRDefault="00CD5799" w:rsidP="00CD5799">
      <w:pPr>
        <w:spacing w:before="120"/>
        <w:rPr>
          <w:b/>
          <w:sz w:val="24"/>
          <w:szCs w:val="24"/>
        </w:rPr>
      </w:pPr>
      <w:r w:rsidRPr="00CD5799">
        <w:rPr>
          <w:b/>
          <w:sz w:val="24"/>
          <w:szCs w:val="24"/>
        </w:rPr>
        <w:t>Forum mondial de l’harmonisation</w:t>
      </w:r>
      <w:r w:rsidRPr="00CD5799">
        <w:rPr>
          <w:b/>
          <w:sz w:val="24"/>
          <w:szCs w:val="24"/>
        </w:rPr>
        <w:br/>
        <w:t>des Règlements concernant les véhicules</w:t>
      </w:r>
    </w:p>
    <w:p w14:paraId="7C9CC69A" w14:textId="77777777" w:rsidR="00CD5799" w:rsidRPr="00426080" w:rsidRDefault="00CD5799" w:rsidP="00CD5799">
      <w:pPr>
        <w:tabs>
          <w:tab w:val="center" w:pos="4819"/>
        </w:tabs>
        <w:spacing w:before="120"/>
        <w:rPr>
          <w:b/>
        </w:rPr>
      </w:pPr>
      <w:r w:rsidRPr="00426080">
        <w:rPr>
          <w:b/>
          <w:bCs/>
        </w:rPr>
        <w:t>178</w:t>
      </w:r>
      <w:r w:rsidRPr="00426080">
        <w:rPr>
          <w:b/>
          <w:bCs/>
          <w:vertAlign w:val="superscript"/>
        </w:rPr>
        <w:t>e</w:t>
      </w:r>
      <w:r>
        <w:t> </w:t>
      </w:r>
      <w:r w:rsidRPr="00426080">
        <w:rPr>
          <w:b/>
          <w:bCs/>
        </w:rPr>
        <w:t>session</w:t>
      </w:r>
    </w:p>
    <w:p w14:paraId="257BFD34" w14:textId="77777777" w:rsidR="00CD5799" w:rsidRPr="00426080" w:rsidRDefault="00CD5799" w:rsidP="00CD5799">
      <w:r w:rsidRPr="00426080">
        <w:t>Genève, 25-28 juin 2019</w:t>
      </w:r>
    </w:p>
    <w:p w14:paraId="20AD8617" w14:textId="77777777" w:rsidR="00CD5799" w:rsidRPr="00426080" w:rsidRDefault="00CD5799" w:rsidP="00CD5799">
      <w:r w:rsidRPr="00426080">
        <w:t>Point 4.9.5 de l’ordre du jour provisoire</w:t>
      </w:r>
    </w:p>
    <w:p w14:paraId="3BFDDDCC" w14:textId="77777777" w:rsidR="00CD5799" w:rsidRPr="00426080" w:rsidRDefault="00CD5799" w:rsidP="00CD5799">
      <w:pPr>
        <w:rPr>
          <w:b/>
        </w:rPr>
      </w:pPr>
      <w:r w:rsidRPr="00426080">
        <w:rPr>
          <w:b/>
        </w:rPr>
        <w:t>Accord de 1958</w:t>
      </w:r>
      <w:r>
        <w:rPr>
          <w:b/>
        </w:rPr>
        <w:t xml:space="preserve"> : </w:t>
      </w:r>
      <w:r w:rsidRPr="00426080">
        <w:rPr>
          <w:b/>
        </w:rPr>
        <w:t xml:space="preserve">Examen de projets d’amendements </w:t>
      </w:r>
      <w:r>
        <w:rPr>
          <w:b/>
        </w:rPr>
        <w:br/>
      </w:r>
      <w:r w:rsidRPr="00426080">
        <w:rPr>
          <w:b/>
        </w:rPr>
        <w:t>à des Règlements ONU existants, soumis par le GRB</w:t>
      </w:r>
    </w:p>
    <w:p w14:paraId="1532B2DA" w14:textId="77777777" w:rsidR="00CD5799" w:rsidRDefault="00CD5799" w:rsidP="00CD5799">
      <w:pPr>
        <w:pStyle w:val="HChG"/>
      </w:pPr>
      <w:r>
        <w:tab/>
      </w:r>
      <w:r>
        <w:tab/>
      </w:r>
      <w:r w:rsidRPr="00426080">
        <w:t>Proposition de complément 10 à la série 02 d’amendements au Règlement ONU n</w:t>
      </w:r>
      <w:r w:rsidRPr="00426080">
        <w:rPr>
          <w:vertAlign w:val="superscript"/>
        </w:rPr>
        <w:t>o</w:t>
      </w:r>
      <w:r w:rsidRPr="00426080">
        <w:t> 117 (Pneumatiques − Résistance au roulement, bruit de roulement et adhérence sur sol mouillé)</w:t>
      </w:r>
    </w:p>
    <w:p w14:paraId="55042392" w14:textId="77777777" w:rsidR="00CD5799" w:rsidRPr="00426080" w:rsidRDefault="00CD5799" w:rsidP="00CD5799">
      <w:pPr>
        <w:pStyle w:val="H1G"/>
      </w:pPr>
      <w:r>
        <w:tab/>
      </w:r>
      <w:r>
        <w:tab/>
      </w:r>
      <w:r w:rsidRPr="00426080">
        <w:t>Communication du Groupe de travail du bruit</w:t>
      </w:r>
      <w:r w:rsidRPr="00CD5799">
        <w:rPr>
          <w:b w:val="0"/>
          <w:sz w:val="20"/>
        </w:rPr>
        <w:footnoteReference w:customMarkFollows="1" w:id="2"/>
        <w:t>*</w:t>
      </w:r>
    </w:p>
    <w:p w14:paraId="1AD571BB" w14:textId="77777777" w:rsidR="00CD5799" w:rsidRDefault="00CD5799" w:rsidP="00CD5799">
      <w:pPr>
        <w:pStyle w:val="SingleTxtG"/>
        <w:ind w:firstLine="567"/>
      </w:pPr>
      <w:r w:rsidRPr="00426080">
        <w:t>Le texte reproduit ci-après a été adopté par le Groupe de travail du bruit (GRB) à sa soixante-neuvième session (ECE/TRANS/WP.29/GRB/67, par.</w:t>
      </w:r>
      <w:r>
        <w:t> </w:t>
      </w:r>
      <w:r w:rsidRPr="00426080">
        <w:t>19 et 20). Il est fondé sur les documents ECE/TRANS/WP.29/GRB/2019/4, ECE/TRANS/WP.29/GRRF/2016/42 et ECE/TRANS/WP.29/GRRF/2017/7. Il est soumis au Forum mondial de l’harmonisation des Règlements concernant les véhicules (WP.29) et au Comité d’administration de l’Accord de 1958</w:t>
      </w:r>
      <w:r w:rsidRPr="00426080" w:rsidDel="00F617C8">
        <w:t xml:space="preserve"> </w:t>
      </w:r>
      <w:r w:rsidRPr="00426080">
        <w:t>(AC.1) pour examen à leurs sessions de juin 2019.</w:t>
      </w:r>
    </w:p>
    <w:p w14:paraId="0978D6AC" w14:textId="77777777" w:rsidR="00CD5799" w:rsidRDefault="00CD5799" w:rsidP="007E19A2">
      <w:pPr>
        <w:pStyle w:val="HChG"/>
      </w:pPr>
      <w:r w:rsidRPr="00426080">
        <w:br w:type="page"/>
      </w:r>
      <w:r w:rsidRPr="00426080">
        <w:lastRenderedPageBreak/>
        <w:tab/>
      </w:r>
      <w:r w:rsidRPr="00426080">
        <w:tab/>
        <w:t>Complément 10 à la série 02 d’amendements au Règlement ONU n</w:t>
      </w:r>
      <w:r w:rsidRPr="00426080">
        <w:rPr>
          <w:vertAlign w:val="superscript"/>
        </w:rPr>
        <w:t>o</w:t>
      </w:r>
      <w:r>
        <w:t> </w:t>
      </w:r>
      <w:r w:rsidRPr="00426080">
        <w:t>117 (Pneumatiques − Résistance au roulement, bruit de roulement et adhérence sur sol mouillé)</w:t>
      </w:r>
    </w:p>
    <w:p w14:paraId="7BD03FC0" w14:textId="77777777" w:rsidR="00CD5799" w:rsidRPr="00426080" w:rsidRDefault="00CD5799" w:rsidP="00CD5799">
      <w:pPr>
        <w:pStyle w:val="SingleTxtG"/>
        <w:rPr>
          <w:rFonts w:eastAsia="HGMaruGothicMPRO"/>
        </w:rPr>
      </w:pPr>
      <w:r w:rsidRPr="00426080">
        <w:rPr>
          <w:i/>
        </w:rPr>
        <w:t>Paragraphe 2.1</w:t>
      </w:r>
      <w:r w:rsidRPr="00426080">
        <w:t xml:space="preserve"> (texte anglais seulement), lire</w:t>
      </w:r>
      <w:r>
        <w:t> :</w:t>
      </w:r>
    </w:p>
    <w:p w14:paraId="7F2A9C96" w14:textId="77777777" w:rsidR="00CD5799" w:rsidRPr="00426080" w:rsidRDefault="00CD5799" w:rsidP="00CD5799">
      <w:pPr>
        <w:pStyle w:val="SingleTxtG"/>
        <w:ind w:left="2268" w:hanging="1134"/>
      </w:pPr>
      <w:r w:rsidRPr="00426080">
        <w:t>« 2.1</w:t>
      </w:r>
      <w:r w:rsidRPr="00426080">
        <w:tab/>
        <w:t>“</w:t>
      </w:r>
      <w:r w:rsidRPr="00362E82">
        <w:rPr>
          <w:i/>
          <w:lang w:val="en-GB"/>
        </w:rPr>
        <w:t>Type of tyre</w:t>
      </w:r>
      <w:r w:rsidRPr="00CD5799">
        <w:rPr>
          <w:lang w:val="en-GB"/>
        </w:rPr>
        <w:t>” means tyres which do not differ in such essential characteristics as</w:t>
      </w:r>
      <w:r>
        <w:t> :</w:t>
      </w:r>
      <w:r w:rsidRPr="00426080">
        <w:t> »</w:t>
      </w:r>
      <w:r>
        <w:t>.</w:t>
      </w:r>
    </w:p>
    <w:p w14:paraId="20C61FCE" w14:textId="77777777" w:rsidR="00CD5799" w:rsidRPr="00426080" w:rsidRDefault="00CD5799" w:rsidP="00CD5799">
      <w:pPr>
        <w:pStyle w:val="SingleTxtG"/>
      </w:pPr>
      <w:r w:rsidRPr="00CD5799">
        <w:rPr>
          <w:i/>
        </w:rPr>
        <w:t>Paragraphe 5 et ses alinéas</w:t>
      </w:r>
      <w:r w:rsidRPr="00426080">
        <w:t>, lire</w:t>
      </w:r>
      <w:r>
        <w:t> :</w:t>
      </w:r>
    </w:p>
    <w:p w14:paraId="6BBED84E" w14:textId="77777777" w:rsidR="00CD5799" w:rsidRPr="00426080" w:rsidRDefault="00CD5799" w:rsidP="00CD5799">
      <w:pPr>
        <w:pStyle w:val="H1G"/>
        <w:ind w:left="2268"/>
      </w:pPr>
      <w:r w:rsidRPr="00CD5799">
        <w:rPr>
          <w:b w:val="0"/>
          <w:sz w:val="20"/>
        </w:rPr>
        <w:t>« </w:t>
      </w:r>
      <w:r w:rsidRPr="00426080">
        <w:t>5.</w:t>
      </w:r>
      <w:r w:rsidRPr="00426080">
        <w:tab/>
        <w:t>Homologation</w:t>
      </w:r>
    </w:p>
    <w:p w14:paraId="137D2A90" w14:textId="77777777" w:rsidR="00CD5799" w:rsidRPr="00426080" w:rsidRDefault="00CD5799" w:rsidP="00CD5799">
      <w:pPr>
        <w:pStyle w:val="SingleTxtG"/>
        <w:ind w:left="2268" w:hanging="1134"/>
        <w:rPr>
          <w:bCs/>
        </w:rPr>
      </w:pPr>
      <w:r w:rsidRPr="00426080">
        <w:t>5.1</w:t>
      </w:r>
      <w:r w:rsidRPr="00426080">
        <w:tab/>
      </w:r>
      <w:r w:rsidRPr="00426080">
        <w:tab/>
        <w:t>Si la dimension de pneumatique représentative du type de pneumatique soumis à l’homologation en application du présent Règlement satisfait aux prescriptions des paragraphes</w:t>
      </w:r>
      <w:r>
        <w:t xml:space="preserve"> </w:t>
      </w:r>
      <w:r w:rsidRPr="00426080">
        <w:t>6 et</w:t>
      </w:r>
      <w:r>
        <w:t xml:space="preserve"> </w:t>
      </w:r>
      <w:r w:rsidRPr="00426080">
        <w:t>7 ci-après, l’homologation est délivrée pour ce type de pneumatique.</w:t>
      </w:r>
    </w:p>
    <w:p w14:paraId="43D6A476" w14:textId="77777777" w:rsidR="00CD5799" w:rsidRPr="00426080" w:rsidRDefault="00CD5799" w:rsidP="00CD5799">
      <w:pPr>
        <w:pStyle w:val="SingleTxtG"/>
        <w:ind w:left="2268" w:hanging="1134"/>
        <w:rPr>
          <w:bCs/>
        </w:rPr>
      </w:pPr>
      <w:r w:rsidRPr="00426080">
        <w:t>5.2</w:t>
      </w:r>
      <w:r w:rsidRPr="00426080">
        <w:tab/>
        <w:t xml:space="preserve">Chaque type de pneumatique homologué reçoit un numéro d’homologation </w:t>
      </w:r>
      <w:r w:rsidRPr="00426080">
        <w:rPr>
          <w:bCs/>
        </w:rPr>
        <w:t>conformément aux dispositions de l’annexe</w:t>
      </w:r>
      <w:r>
        <w:rPr>
          <w:bCs/>
        </w:rPr>
        <w:t xml:space="preserve"> </w:t>
      </w:r>
      <w:r w:rsidRPr="00426080">
        <w:rPr>
          <w:bCs/>
        </w:rPr>
        <w:t>4 de la Révision</w:t>
      </w:r>
      <w:r>
        <w:rPr>
          <w:bCs/>
        </w:rPr>
        <w:t xml:space="preserve"> </w:t>
      </w:r>
      <w:r w:rsidRPr="00426080">
        <w:rPr>
          <w:bCs/>
        </w:rPr>
        <w:t>3 de l’Accord de 1958</w:t>
      </w:r>
      <w:r w:rsidRPr="00426080">
        <w:t>. Une même Partie contractante ne peut attribuer ce même numéro à un autre type de pneumatique.</w:t>
      </w:r>
    </w:p>
    <w:p w14:paraId="1C702E04" w14:textId="77777777" w:rsidR="00CD5799" w:rsidRPr="00426080" w:rsidRDefault="00CD5799" w:rsidP="00CD5799">
      <w:pPr>
        <w:pStyle w:val="SingleTxtG"/>
        <w:ind w:left="2268" w:hanging="1134"/>
        <w:rPr>
          <w:bCs/>
        </w:rPr>
      </w:pPr>
      <w:r w:rsidRPr="00426080">
        <w:t>5.2.1</w:t>
      </w:r>
      <w:r w:rsidRPr="00426080">
        <w:tab/>
      </w:r>
      <w:r w:rsidRPr="00426080">
        <w:rPr>
          <w:bCs/>
        </w:rPr>
        <w:t xml:space="preserve">Au lieu d’attribuer le numéro d’homologation de type d’origine conformément au Règlement ONU </w:t>
      </w:r>
      <w:r w:rsidRPr="00426080">
        <w:rPr>
          <w:rFonts w:eastAsia="MS Mincho"/>
          <w:bCs/>
          <w:szCs w:val="22"/>
        </w:rPr>
        <w:t>n</w:t>
      </w:r>
      <w:r w:rsidRPr="00426080">
        <w:rPr>
          <w:rFonts w:eastAsia="MS Mincho"/>
          <w:bCs/>
          <w:szCs w:val="22"/>
          <w:vertAlign w:val="superscript"/>
        </w:rPr>
        <w:t>o</w:t>
      </w:r>
      <w:r w:rsidRPr="00426080">
        <w:rPr>
          <w:bCs/>
        </w:rPr>
        <w:t xml:space="preserve"> 117, l’autorité d’homologation de type peut, à la demande du fabricant, attribuer le numéro d’homologation de type qui avait été précédemment attribué à ce type de pneumatique conformément aux Règlements ONU </w:t>
      </w:r>
      <w:r w:rsidRPr="00426080">
        <w:rPr>
          <w:rFonts w:eastAsia="MS Mincho"/>
          <w:bCs/>
          <w:szCs w:val="22"/>
        </w:rPr>
        <w:t>n</w:t>
      </w:r>
      <w:r w:rsidRPr="00426080">
        <w:rPr>
          <w:rFonts w:eastAsia="MS Mincho"/>
          <w:bCs/>
          <w:szCs w:val="22"/>
          <w:vertAlign w:val="superscript"/>
        </w:rPr>
        <w:t>os</w:t>
      </w:r>
      <w:r w:rsidRPr="00426080">
        <w:rPr>
          <w:bCs/>
        </w:rPr>
        <w:t> 30 ou</w:t>
      </w:r>
      <w:r>
        <w:rPr>
          <w:bCs/>
        </w:rPr>
        <w:t xml:space="preserve"> </w:t>
      </w:r>
      <w:r w:rsidRPr="00426080">
        <w:rPr>
          <w:bCs/>
        </w:rPr>
        <w:t>54 et y</w:t>
      </w:r>
      <w:r>
        <w:rPr>
          <w:bCs/>
        </w:rPr>
        <w:t xml:space="preserve"> </w:t>
      </w:r>
      <w:r w:rsidRPr="00426080">
        <w:rPr>
          <w:bCs/>
        </w:rPr>
        <w:t>ajouter un numéro d’extension.</w:t>
      </w:r>
    </w:p>
    <w:p w14:paraId="16A21F8E" w14:textId="77777777" w:rsidR="00CD5799" w:rsidRPr="00426080" w:rsidRDefault="00CD5799" w:rsidP="00CD5799">
      <w:pPr>
        <w:pStyle w:val="SingleTxtG"/>
        <w:ind w:left="2268" w:hanging="1134"/>
      </w:pPr>
      <w:r w:rsidRPr="00426080">
        <w:t>5.2.2</w:t>
      </w:r>
      <w:r w:rsidRPr="00426080">
        <w:tab/>
      </w:r>
      <w:r w:rsidRPr="00426080">
        <w:rPr>
          <w:bCs/>
        </w:rPr>
        <w:t>La fiche de communication mentionnée au paragraphe</w:t>
      </w:r>
      <w:r>
        <w:rPr>
          <w:bCs/>
        </w:rPr>
        <w:t xml:space="preserve"> </w:t>
      </w:r>
      <w:r w:rsidRPr="00426080">
        <w:rPr>
          <w:bCs/>
        </w:rPr>
        <w:t xml:space="preserve">5.3 ci-dessous doit indiquer les paramètres de performance spécifiques dans le cadre du Règlement ONU </w:t>
      </w:r>
      <w:r w:rsidRPr="00426080">
        <w:rPr>
          <w:rFonts w:eastAsia="MS Mincho"/>
          <w:bCs/>
          <w:szCs w:val="22"/>
        </w:rPr>
        <w:t>n</w:t>
      </w:r>
      <w:r w:rsidRPr="00426080">
        <w:rPr>
          <w:rFonts w:eastAsia="MS Mincho"/>
          <w:bCs/>
          <w:szCs w:val="22"/>
          <w:vertAlign w:val="superscript"/>
        </w:rPr>
        <w:t>o</w:t>
      </w:r>
      <w:r w:rsidRPr="00426080">
        <w:rPr>
          <w:bCs/>
        </w:rPr>
        <w:t> 117 par les suffixes suivants</w:t>
      </w:r>
      <w:r>
        <w:rPr>
          <w:bCs/>
        </w:rPr>
        <w:t> :</w:t>
      </w:r>
    </w:p>
    <w:p w14:paraId="64A144BA" w14:textId="77777777" w:rsidR="00CD5799" w:rsidRPr="00426080" w:rsidRDefault="00CD5799" w:rsidP="00CD5799">
      <w:pPr>
        <w:pStyle w:val="SingleTxtG"/>
        <w:ind w:left="2835" w:hanging="567"/>
      </w:pPr>
      <w:r w:rsidRPr="00426080">
        <w:rPr>
          <w:bCs/>
        </w:rPr>
        <w:t>S</w:t>
      </w:r>
      <w:r w:rsidRPr="00426080">
        <w:tab/>
      </w:r>
      <w:r w:rsidRPr="00426080">
        <w:rPr>
          <w:bCs/>
        </w:rPr>
        <w:t>Pour indiquer la conformité additionnelle aux prescriptions concernant les émissions de bruit de roulement</w:t>
      </w:r>
      <w:r>
        <w:rPr>
          <w:bCs/>
        </w:rPr>
        <w:t> ;</w:t>
      </w:r>
    </w:p>
    <w:p w14:paraId="19D691FA" w14:textId="77777777" w:rsidR="00CD5799" w:rsidRPr="00426080" w:rsidRDefault="00CD5799" w:rsidP="00CD5799">
      <w:pPr>
        <w:pStyle w:val="SingleTxtG"/>
        <w:ind w:left="2835" w:hanging="567"/>
      </w:pPr>
      <w:r w:rsidRPr="00426080">
        <w:rPr>
          <w:bCs/>
        </w:rPr>
        <w:t>W</w:t>
      </w:r>
      <w:r w:rsidRPr="00426080">
        <w:tab/>
      </w:r>
      <w:r w:rsidRPr="00426080">
        <w:rPr>
          <w:bCs/>
        </w:rPr>
        <w:t>Pour indiquer la conformité additionnelle aux prescriptions concernant l’adhérence sur sol mouillé</w:t>
      </w:r>
      <w:r>
        <w:rPr>
          <w:bCs/>
        </w:rPr>
        <w:t> ;</w:t>
      </w:r>
    </w:p>
    <w:p w14:paraId="57AAE7B4" w14:textId="77777777" w:rsidR="00CD5799" w:rsidRPr="00426080" w:rsidRDefault="00CD5799" w:rsidP="00CD5799">
      <w:pPr>
        <w:pStyle w:val="SingleTxtG"/>
        <w:ind w:left="2835" w:hanging="567"/>
      </w:pPr>
      <w:r w:rsidRPr="00426080">
        <w:rPr>
          <w:bCs/>
        </w:rPr>
        <w:t>R</w:t>
      </w:r>
      <w:r w:rsidRPr="00426080">
        <w:tab/>
      </w:r>
      <w:r w:rsidRPr="00426080">
        <w:rPr>
          <w:bCs/>
        </w:rPr>
        <w:t>Pour indiquer la conformité additionnelle aux prescriptions concernant la résistance au roulement</w:t>
      </w:r>
      <w:r>
        <w:rPr>
          <w:bCs/>
        </w:rPr>
        <w:t> ;</w:t>
      </w:r>
    </w:p>
    <w:p w14:paraId="5287D3F5" w14:textId="77777777" w:rsidR="00CD5799" w:rsidRPr="00426080" w:rsidRDefault="00CD5799" w:rsidP="00CD5799">
      <w:pPr>
        <w:pStyle w:val="SingleTxtG"/>
        <w:ind w:left="2268"/>
      </w:pPr>
      <w:r w:rsidRPr="00426080">
        <w:t>Compte tenu du fait que deux niveaux sont définis pour les prescriptions concernant les émissions de bruit de roulement et la résistance au roulement, aux paragraphes</w:t>
      </w:r>
      <w:r>
        <w:t xml:space="preserve"> </w:t>
      </w:r>
      <w:r w:rsidRPr="00426080">
        <w:t>6.1 et 6.3 ci-après, les suffixes S et R seront suivis soit du suffixe 1 pour la conformité au niveau 1, soit du suffixe</w:t>
      </w:r>
      <w:r>
        <w:t xml:space="preserve"> </w:t>
      </w:r>
      <w:r w:rsidRPr="00426080">
        <w:t>2 pour la conformité au niveau</w:t>
      </w:r>
      <w:r>
        <w:t xml:space="preserve"> </w:t>
      </w:r>
      <w:r w:rsidRPr="00426080">
        <w:t>2.</w:t>
      </w:r>
    </w:p>
    <w:p w14:paraId="3FDB499A" w14:textId="77777777" w:rsidR="00CD5799" w:rsidRPr="00426080" w:rsidRDefault="00CD5799" w:rsidP="00CD5799">
      <w:pPr>
        <w:pStyle w:val="SingleTxtG"/>
        <w:ind w:left="2268" w:hanging="1134"/>
        <w:rPr>
          <w:bCs/>
        </w:rPr>
      </w:pPr>
      <w:r w:rsidRPr="00426080">
        <w:t>5.3</w:t>
      </w:r>
      <w:r w:rsidRPr="00426080">
        <w:tab/>
      </w:r>
      <w:r w:rsidRPr="00426080">
        <w:tab/>
        <w:t>L’homologation ou l’extension ou le refus d’homologation d’un type de pneumatique conformément au présent Règlement est notifié aux Parties à l’Accord appliquant le présent Règlement, au moyen d’une fiche conforme au modèle de l’annexe 1 du présent Règlement.</w:t>
      </w:r>
    </w:p>
    <w:p w14:paraId="5AA36C7D" w14:textId="77777777" w:rsidR="00CD5799" w:rsidRPr="00426080" w:rsidRDefault="00CD5799" w:rsidP="00CD5799">
      <w:pPr>
        <w:pStyle w:val="SingleTxtG"/>
        <w:ind w:left="2268" w:hanging="1134"/>
      </w:pPr>
      <w:r w:rsidRPr="00426080">
        <w:t>5.3.1</w:t>
      </w:r>
      <w:r w:rsidRPr="00426080">
        <w:tab/>
      </w:r>
      <w:r w:rsidRPr="00426080">
        <w:tab/>
      </w:r>
      <w:r w:rsidRPr="00426080">
        <w:rPr>
          <w:bCs/>
        </w:rPr>
        <w:t>Ainsi qu’il est prévu au paragraphe</w:t>
      </w:r>
      <w:r>
        <w:rPr>
          <w:bCs/>
        </w:rPr>
        <w:t xml:space="preserve"> </w:t>
      </w:r>
      <w:r w:rsidRPr="00426080">
        <w:rPr>
          <w:bCs/>
        </w:rPr>
        <w:t>5.2.1 ci-dessus,</w:t>
      </w:r>
      <w:r w:rsidRPr="00426080">
        <w:t xml:space="preserve"> les fabricants de pneumatiques peuvent soumettre une demande d’extension de l’homologation de type conformément à d’autres Règlements s’appliquant au type de pneumatique. Dans ce cas, une copie des fiches d’homologation de type pertinentes, délivrées par l’autorité d’homologation de type concernée, doit être jointe à la demande d’extension d’homologation. Les extensions d’homologation(s) sont délivrées exclusivement par l’autorité qui a accordé l’homologation d’origine pour le pneumatique.</w:t>
      </w:r>
    </w:p>
    <w:p w14:paraId="4A85E58E" w14:textId="77777777" w:rsidR="00CD5799" w:rsidRPr="00426080" w:rsidRDefault="00CD5799" w:rsidP="00CD5799">
      <w:pPr>
        <w:pStyle w:val="SingleTxtG"/>
        <w:ind w:left="2268" w:hanging="1134"/>
      </w:pPr>
      <w:r w:rsidRPr="00426080">
        <w:t>5.3.1.1</w:t>
      </w:r>
      <w:r w:rsidRPr="00426080">
        <w:tab/>
      </w:r>
      <w:r w:rsidRPr="00426080">
        <w:tab/>
        <w:t>Lorsque l’extension d’homologation est accordée et que la fiche de communication (voir annexe</w:t>
      </w:r>
      <w:r>
        <w:t xml:space="preserve"> </w:t>
      </w:r>
      <w:r w:rsidRPr="00426080">
        <w:t xml:space="preserve">1 du présent Règlement) inclut des attestations de </w:t>
      </w:r>
      <w:r w:rsidRPr="00426080">
        <w:lastRenderedPageBreak/>
        <w:t xml:space="preserve">conformité à d’autres Règlements </w:t>
      </w:r>
      <w:r w:rsidRPr="00426080">
        <w:rPr>
          <w:bCs/>
        </w:rPr>
        <w:t>(tous)</w:t>
      </w:r>
      <w:r w:rsidRPr="00426080">
        <w:t xml:space="preserve"> les numéros spécifiques d’homologation de type et le numéro du Règlement lui-même doivent être ajoutés au point</w:t>
      </w:r>
      <w:r>
        <w:t xml:space="preserve"> </w:t>
      </w:r>
      <w:r w:rsidRPr="00426080">
        <w:t>9 de l’annexe</w:t>
      </w:r>
      <w:r>
        <w:t xml:space="preserve"> </w:t>
      </w:r>
      <w:r w:rsidRPr="00426080">
        <w:t>1 (fiche de communication).</w:t>
      </w:r>
    </w:p>
    <w:p w14:paraId="0DC452E1" w14:textId="77777777" w:rsidR="00CD5799" w:rsidRDefault="00CD5799" w:rsidP="00CD5799">
      <w:pPr>
        <w:pStyle w:val="SingleTxtG"/>
        <w:ind w:left="2268" w:hanging="1134"/>
      </w:pPr>
      <w:r w:rsidRPr="00426080">
        <w:t>5.3.1.2</w:t>
      </w:r>
      <w:r w:rsidRPr="00426080">
        <w:tab/>
      </w:r>
      <w:r w:rsidRPr="00426080">
        <w:rPr>
          <w:bCs/>
        </w:rPr>
        <w:t>Le ou les suffixes mentionnés au paragraphe 5.2.2 ci-dessus doivent être précédés des deux chiffres</w:t>
      </w:r>
      <w:r w:rsidRPr="00426080">
        <w:t xml:space="preserve"> indiqu</w:t>
      </w:r>
      <w:r w:rsidRPr="00426080">
        <w:rPr>
          <w:bCs/>
        </w:rPr>
        <w:t>ant</w:t>
      </w:r>
      <w:r w:rsidRPr="00426080">
        <w:t xml:space="preserve"> la série d’amendements des prescriptions s’appliquant au pneumatique pour le Règlement ONU</w:t>
      </w:r>
      <w:r>
        <w:t xml:space="preserve"> </w:t>
      </w:r>
      <w:r w:rsidRPr="00426080">
        <w:rPr>
          <w:rFonts w:eastAsia="MS Mincho"/>
          <w:bCs/>
          <w:szCs w:val="22"/>
        </w:rPr>
        <w:t>n</w:t>
      </w:r>
      <w:r w:rsidRPr="00426080">
        <w:rPr>
          <w:rFonts w:eastAsia="MS Mincho"/>
          <w:bCs/>
          <w:szCs w:val="22"/>
          <w:vertAlign w:val="superscript"/>
        </w:rPr>
        <w:t>o</w:t>
      </w:r>
      <w:r w:rsidRPr="00426080">
        <w:rPr>
          <w:bCs/>
        </w:rPr>
        <w:t> 117</w:t>
      </w:r>
      <w:r w:rsidRPr="00426080">
        <w:t>, par exemple</w:t>
      </w:r>
      <w:r>
        <w:t xml:space="preserve"> </w:t>
      </w:r>
      <w:r w:rsidRPr="00426080">
        <w:t>02S2 pour indiquer la série</w:t>
      </w:r>
      <w:r>
        <w:t xml:space="preserve"> </w:t>
      </w:r>
      <w:r w:rsidRPr="00426080">
        <w:t>02 d’amendements concernant les émissions de bruit de roulement au niveau</w:t>
      </w:r>
      <w:r>
        <w:t xml:space="preserve"> </w:t>
      </w:r>
      <w:r w:rsidRPr="00426080">
        <w:t>2, ou 02S1WR1 pour indiquer la série 02 d’amendements concernant les émissions de bruit de roulement au niveau</w:t>
      </w:r>
      <w:r>
        <w:t xml:space="preserve"> </w:t>
      </w:r>
      <w:r w:rsidRPr="00426080">
        <w:t>1, et l’adhérence sur sol mouillé et la résistance au roulement au niveau</w:t>
      </w:r>
      <w:r>
        <w:t xml:space="preserve"> </w:t>
      </w:r>
      <w:r w:rsidRPr="00426080">
        <w:t>1 (voir le paragraphe</w:t>
      </w:r>
      <w:r>
        <w:t xml:space="preserve"> </w:t>
      </w:r>
      <w:r w:rsidRPr="00426080">
        <w:t>6.1 ci-après pour les définitions du niveau</w:t>
      </w:r>
      <w:r>
        <w:t xml:space="preserve"> </w:t>
      </w:r>
      <w:r w:rsidRPr="00426080">
        <w:t>1 et du niveau</w:t>
      </w:r>
      <w:r w:rsidR="00D96FAA">
        <w:t xml:space="preserve"> </w:t>
      </w:r>
      <w:r w:rsidRPr="00426080">
        <w:t>2).</w:t>
      </w:r>
    </w:p>
    <w:p w14:paraId="3FAC307E" w14:textId="77777777" w:rsidR="00CD5799" w:rsidRPr="00426080" w:rsidRDefault="00CD5799" w:rsidP="00CD5799">
      <w:pPr>
        <w:pStyle w:val="SingleTxtG"/>
        <w:ind w:left="2268" w:hanging="1134"/>
        <w:rPr>
          <w:bCs/>
        </w:rPr>
      </w:pPr>
      <w:r w:rsidRPr="00426080">
        <w:t>5.4</w:t>
      </w:r>
      <w:r w:rsidRPr="00426080">
        <w:tab/>
        <w:t>Sur l’emplacement défini au paragraphe</w:t>
      </w:r>
      <w:r>
        <w:t xml:space="preserve"> </w:t>
      </w:r>
      <w:r w:rsidRPr="00426080">
        <w:t>4.3 et conformément aux prescriptions du paragraphe</w:t>
      </w:r>
      <w:r>
        <w:t xml:space="preserve"> </w:t>
      </w:r>
      <w:r w:rsidRPr="00426080">
        <w:t>4.4 ci-dessus, il est apposé sur toute dimension de pneumatique conforme à un type de pneumatique homologué en application du présent Règlement une marque d’homologation internationale composée</w:t>
      </w:r>
      <w:r>
        <w:t> :</w:t>
      </w:r>
    </w:p>
    <w:p w14:paraId="4BCD38CD" w14:textId="77777777" w:rsidR="00CD5799" w:rsidRPr="00426080" w:rsidRDefault="00CD5799" w:rsidP="00CD5799">
      <w:pPr>
        <w:pStyle w:val="SingleTxtG"/>
        <w:ind w:left="2268" w:hanging="1134"/>
        <w:rPr>
          <w:bCs/>
        </w:rPr>
      </w:pPr>
      <w:r w:rsidRPr="00426080">
        <w:t>5.4.1</w:t>
      </w:r>
      <w:r w:rsidRPr="00426080">
        <w:tab/>
        <w:t>D’un cercle à l’intérieur duquel est placée la lettre « E » suivie du numéro distinctif du pays qui a accordé l’homologation</w:t>
      </w:r>
      <w:r w:rsidRPr="00CC5B7B">
        <w:rPr>
          <w:sz w:val="18"/>
          <w:szCs w:val="18"/>
          <w:vertAlign w:val="superscript"/>
        </w:rPr>
        <w:t>12</w:t>
      </w:r>
      <w:r w:rsidRPr="00CC5B7B">
        <w:t xml:space="preserve"> ; </w:t>
      </w:r>
      <w:r w:rsidRPr="00426080">
        <w:t>et</w:t>
      </w:r>
    </w:p>
    <w:p w14:paraId="1B08E0F3" w14:textId="77777777" w:rsidR="00CD5799" w:rsidRPr="00426080" w:rsidRDefault="00CD5799" w:rsidP="00CD5799">
      <w:pPr>
        <w:pStyle w:val="SingleTxtG"/>
        <w:ind w:left="2268" w:hanging="1134"/>
      </w:pPr>
      <w:r w:rsidRPr="00426080">
        <w:t>5.4.2</w:t>
      </w:r>
      <w:r w:rsidRPr="00426080">
        <w:tab/>
      </w:r>
      <w:r w:rsidRPr="00CC5B7B">
        <w:rPr>
          <w:bCs/>
          <w:spacing w:val="-2"/>
        </w:rPr>
        <w:t>De la partie du</w:t>
      </w:r>
      <w:r w:rsidRPr="00CC5B7B">
        <w:rPr>
          <w:spacing w:val="-2"/>
        </w:rPr>
        <w:t xml:space="preserve"> numéro d’homologation </w:t>
      </w:r>
      <w:r w:rsidRPr="00CC5B7B">
        <w:rPr>
          <w:bCs/>
          <w:spacing w:val="-2"/>
        </w:rPr>
        <w:t>figurant au paragraphe</w:t>
      </w:r>
      <w:r w:rsidR="00CC5B7B" w:rsidRPr="00CC5B7B">
        <w:rPr>
          <w:bCs/>
          <w:spacing w:val="-2"/>
        </w:rPr>
        <w:t xml:space="preserve"> </w:t>
      </w:r>
      <w:r w:rsidRPr="00CC5B7B">
        <w:rPr>
          <w:bCs/>
          <w:spacing w:val="-2"/>
        </w:rPr>
        <w:t>3 de la section</w:t>
      </w:r>
      <w:r w:rsidR="00CC5B7B" w:rsidRPr="00CC5B7B">
        <w:rPr>
          <w:bCs/>
          <w:spacing w:val="-2"/>
        </w:rPr>
        <w:t xml:space="preserve"> </w:t>
      </w:r>
      <w:r w:rsidRPr="00CC5B7B">
        <w:rPr>
          <w:bCs/>
          <w:spacing w:val="-2"/>
        </w:rPr>
        <w:t xml:space="preserve">3 </w:t>
      </w:r>
      <w:r w:rsidRPr="00426080">
        <w:rPr>
          <w:bCs/>
        </w:rPr>
        <w:t>de l’annexe</w:t>
      </w:r>
      <w:r w:rsidR="00CC5B7B">
        <w:rPr>
          <w:bCs/>
        </w:rPr>
        <w:t xml:space="preserve"> </w:t>
      </w:r>
      <w:r w:rsidRPr="00426080">
        <w:rPr>
          <w:bCs/>
        </w:rPr>
        <w:t>4 de la Révision</w:t>
      </w:r>
      <w:r w:rsidR="00CC5B7B">
        <w:rPr>
          <w:bCs/>
        </w:rPr>
        <w:t xml:space="preserve"> </w:t>
      </w:r>
      <w:r w:rsidRPr="00426080">
        <w:rPr>
          <w:bCs/>
        </w:rPr>
        <w:t>3 de l’Accord de</w:t>
      </w:r>
      <w:r w:rsidR="00CC5B7B">
        <w:rPr>
          <w:bCs/>
        </w:rPr>
        <w:t xml:space="preserve"> </w:t>
      </w:r>
      <w:r w:rsidRPr="00426080">
        <w:rPr>
          <w:bCs/>
        </w:rPr>
        <w:t>1958</w:t>
      </w:r>
      <w:r w:rsidRPr="00426080">
        <w:t>, placée à proximité du cercle prescrit au paragraphe</w:t>
      </w:r>
      <w:r w:rsidR="00CC5B7B">
        <w:t xml:space="preserve"> </w:t>
      </w:r>
      <w:r w:rsidRPr="00426080">
        <w:t>5.4.1 ci-dessus, au-dessus ou au-dessous de la lettre « E » ou à gauche ou à droite de celle-ci.</w:t>
      </w:r>
    </w:p>
    <w:p w14:paraId="3EAA80E7" w14:textId="77777777" w:rsidR="00CD5799" w:rsidRPr="00426080" w:rsidRDefault="00CD5799" w:rsidP="00CD5799">
      <w:pPr>
        <w:pStyle w:val="SingleTxtG"/>
        <w:ind w:left="2268" w:hanging="1134"/>
        <w:rPr>
          <w:bCs/>
        </w:rPr>
      </w:pPr>
      <w:r w:rsidRPr="00426080">
        <w:t>5.4.3</w:t>
      </w:r>
      <w:r w:rsidRPr="00426080">
        <w:tab/>
      </w:r>
      <w:r w:rsidR="00CC5B7B">
        <w:t>…</w:t>
      </w:r>
      <w:r w:rsidRPr="00426080">
        <w:t> ».</w:t>
      </w:r>
    </w:p>
    <w:p w14:paraId="2E1FE15B" w14:textId="77777777" w:rsidR="00CD5799" w:rsidRPr="00426080" w:rsidRDefault="00CD5799" w:rsidP="00CD5799">
      <w:pPr>
        <w:pStyle w:val="SingleTxtG"/>
        <w:rPr>
          <w:i/>
        </w:rPr>
      </w:pPr>
      <w:r w:rsidRPr="00CC5B7B">
        <w:rPr>
          <w:iCs/>
        </w:rPr>
        <w:t>(</w:t>
      </w:r>
      <w:r w:rsidRPr="00426080">
        <w:rPr>
          <w:i/>
          <w:iCs/>
        </w:rPr>
        <w:t>La note de bas de page</w:t>
      </w:r>
      <w:r w:rsidR="00CC5B7B">
        <w:rPr>
          <w:i/>
          <w:iCs/>
        </w:rPr>
        <w:t xml:space="preserve"> </w:t>
      </w:r>
      <w:r w:rsidRPr="00426080">
        <w:rPr>
          <w:i/>
          <w:iCs/>
        </w:rPr>
        <w:t>12 demeure inchangée.</w:t>
      </w:r>
      <w:r w:rsidRPr="00CC5B7B">
        <w:rPr>
          <w:iCs/>
        </w:rPr>
        <w:t>)</w:t>
      </w:r>
    </w:p>
    <w:p w14:paraId="181525D2" w14:textId="77777777" w:rsidR="00CD5799" w:rsidRPr="00426080" w:rsidRDefault="00CD5799" w:rsidP="00CD5799">
      <w:pPr>
        <w:pStyle w:val="SingleTxtG"/>
      </w:pPr>
      <w:r w:rsidRPr="00CC5B7B">
        <w:rPr>
          <w:i/>
          <w:iCs/>
        </w:rPr>
        <w:t>Annexe 1, « Communication », partie introductive</w:t>
      </w:r>
      <w:r w:rsidRPr="00426080">
        <w:t>, lire</w:t>
      </w:r>
      <w:r>
        <w:t> :</w:t>
      </w:r>
    </w:p>
    <w:p w14:paraId="7E58A0E2" w14:textId="77777777" w:rsidR="00CD5799" w:rsidRPr="00426080" w:rsidRDefault="00412433" w:rsidP="00CD5799">
      <w:pPr>
        <w:pStyle w:val="HChG"/>
      </w:pPr>
      <w:r>
        <w:rPr>
          <w:sz w:val="20"/>
        </w:rPr>
        <w:tab/>
      </w:r>
      <w:r>
        <w:rPr>
          <w:sz w:val="20"/>
        </w:rPr>
        <w:tab/>
      </w:r>
      <w:r w:rsidR="00CD5799" w:rsidRPr="00426080">
        <w:rPr>
          <w:sz w:val="20"/>
        </w:rPr>
        <w:t>« </w:t>
      </w:r>
      <w:r w:rsidR="00CD5799" w:rsidRPr="00426080">
        <w:t>Annexe 1</w:t>
      </w:r>
    </w:p>
    <w:p w14:paraId="2920F5C4" w14:textId="77777777" w:rsidR="00CD5799" w:rsidRPr="00426080" w:rsidRDefault="00CD5799" w:rsidP="00CD5799">
      <w:pPr>
        <w:pStyle w:val="HChG"/>
      </w:pPr>
      <w:r w:rsidRPr="00426080">
        <w:tab/>
      </w:r>
      <w:r w:rsidRPr="00426080">
        <w:tab/>
        <w:t>Communication</w:t>
      </w:r>
    </w:p>
    <w:p w14:paraId="708116D3" w14:textId="77777777" w:rsidR="00CD5799" w:rsidRPr="00426080" w:rsidRDefault="00CD5799" w:rsidP="00CC5B7B">
      <w:pPr>
        <w:pStyle w:val="SingleTxtG"/>
        <w:rPr>
          <w:bCs/>
        </w:rPr>
      </w:pPr>
      <w:r w:rsidRPr="00426080">
        <w:t>(Format maximal</w:t>
      </w:r>
      <w:r>
        <w:t> :</w:t>
      </w:r>
      <w:r w:rsidRPr="00426080">
        <w:t xml:space="preserve"> A4 (210 x 297 mm))</w:t>
      </w:r>
    </w:p>
    <w:tbl>
      <w:tblPr>
        <w:tblW w:w="7371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9"/>
        <w:gridCol w:w="1559"/>
        <w:gridCol w:w="2693"/>
      </w:tblGrid>
      <w:tr w:rsidR="00CD5799" w:rsidRPr="00426080" w14:paraId="6F2BDB72" w14:textId="77777777" w:rsidTr="00722EDB">
        <w:tc>
          <w:tcPr>
            <w:tcW w:w="3119" w:type="dxa"/>
            <w:shd w:val="clear" w:color="auto" w:fill="auto"/>
          </w:tcPr>
          <w:p w14:paraId="23558674" w14:textId="77777777" w:rsidR="00CD5799" w:rsidRPr="00426080" w:rsidRDefault="00CD5799" w:rsidP="00722EDB">
            <w:pPr>
              <w:pStyle w:val="SingleTxtG"/>
              <w:spacing w:after="0" w:line="240" w:lineRule="auto"/>
              <w:ind w:left="0" w:right="0"/>
              <w:rPr>
                <w:bCs/>
              </w:rPr>
            </w:pPr>
            <w:r w:rsidRPr="00426080">
              <w:rPr>
                <w:noProof/>
                <w:lang w:eastAsia="fr-CH"/>
              </w:rPr>
              <w:drawing>
                <wp:inline distT="0" distB="0" distL="0" distR="0" wp14:anchorId="004DE33F" wp14:editId="47139C43">
                  <wp:extent cx="940435" cy="914400"/>
                  <wp:effectExtent l="0" t="0" r="0" b="0"/>
                  <wp:docPr id="5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043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shd w:val="clear" w:color="auto" w:fill="auto"/>
          </w:tcPr>
          <w:p w14:paraId="2313D5E7" w14:textId="77777777" w:rsidR="00CD5799" w:rsidRPr="00426080" w:rsidRDefault="00CD5799" w:rsidP="00722EDB">
            <w:pPr>
              <w:pStyle w:val="SingleTxtG"/>
              <w:spacing w:after="0" w:line="240" w:lineRule="auto"/>
              <w:ind w:left="0" w:right="0"/>
              <w:rPr>
                <w:bCs/>
              </w:rPr>
            </w:pPr>
            <w:r w:rsidRPr="00426080">
              <w:t>Établie par</w:t>
            </w:r>
            <w:r>
              <w:t> :</w:t>
            </w:r>
          </w:p>
        </w:tc>
        <w:tc>
          <w:tcPr>
            <w:tcW w:w="2693" w:type="dxa"/>
            <w:shd w:val="clear" w:color="auto" w:fill="auto"/>
          </w:tcPr>
          <w:p w14:paraId="4B01B684" w14:textId="77777777" w:rsidR="00CD5799" w:rsidRPr="00426080" w:rsidRDefault="00CD5799" w:rsidP="00722EDB">
            <w:pPr>
              <w:pStyle w:val="SingleTxtG"/>
              <w:tabs>
                <w:tab w:val="right" w:leader="dot" w:pos="7371"/>
              </w:tabs>
              <w:spacing w:after="0" w:line="240" w:lineRule="auto"/>
              <w:ind w:left="0" w:right="0"/>
            </w:pPr>
            <w:r w:rsidRPr="00426080">
              <w:t>Nom de l’administration</w:t>
            </w:r>
            <w:r>
              <w:t> :</w:t>
            </w:r>
          </w:p>
          <w:p w14:paraId="1BC3B741" w14:textId="77777777" w:rsidR="00CD5799" w:rsidRPr="00426080" w:rsidRDefault="00CD5799" w:rsidP="00722EDB">
            <w:pPr>
              <w:pStyle w:val="SingleTxtG"/>
              <w:tabs>
                <w:tab w:val="right" w:leader="dot" w:pos="7371"/>
              </w:tabs>
              <w:spacing w:after="0" w:line="240" w:lineRule="auto"/>
              <w:ind w:left="0" w:right="0"/>
            </w:pPr>
            <w:r w:rsidRPr="00426080">
              <w:tab/>
            </w:r>
          </w:p>
          <w:p w14:paraId="3E59EF29" w14:textId="77777777" w:rsidR="00CD5799" w:rsidRPr="00426080" w:rsidRDefault="00CD5799" w:rsidP="00722EDB">
            <w:pPr>
              <w:pStyle w:val="SingleTxtG"/>
              <w:tabs>
                <w:tab w:val="right" w:leader="dot" w:pos="7371"/>
              </w:tabs>
              <w:spacing w:after="0" w:line="240" w:lineRule="auto"/>
              <w:ind w:left="0" w:right="0"/>
            </w:pPr>
            <w:r w:rsidRPr="00426080">
              <w:tab/>
            </w:r>
          </w:p>
          <w:p w14:paraId="1B38DABA" w14:textId="77777777" w:rsidR="00CD5799" w:rsidRPr="00426080" w:rsidRDefault="00CD5799" w:rsidP="00722EDB">
            <w:pPr>
              <w:pStyle w:val="SingleTxtG"/>
              <w:tabs>
                <w:tab w:val="right" w:leader="dot" w:pos="7371"/>
              </w:tabs>
              <w:spacing w:after="0" w:line="240" w:lineRule="auto"/>
              <w:ind w:left="0" w:right="0"/>
            </w:pPr>
            <w:r w:rsidRPr="00426080">
              <w:tab/>
            </w:r>
          </w:p>
        </w:tc>
      </w:tr>
    </w:tbl>
    <w:p w14:paraId="008EA85E" w14:textId="77777777" w:rsidR="00CD5799" w:rsidRPr="00426080" w:rsidRDefault="00CD5799" w:rsidP="00CD5799">
      <w:pPr>
        <w:pStyle w:val="SingleTxtG"/>
        <w:spacing w:before="240"/>
        <w:ind w:left="2268" w:hanging="1134"/>
        <w:jc w:val="left"/>
        <w:rPr>
          <w:bCs/>
        </w:rPr>
      </w:pPr>
      <w:r w:rsidRPr="00426080">
        <w:t>Objet</w:t>
      </w:r>
      <w:r w:rsidRPr="00CC5B7B">
        <w:rPr>
          <w:sz w:val="18"/>
          <w:szCs w:val="18"/>
          <w:vertAlign w:val="superscript"/>
        </w:rPr>
        <w:t>2</w:t>
      </w:r>
      <w:r>
        <w:t> :</w:t>
      </w:r>
      <w:r w:rsidRPr="00426080">
        <w:tab/>
      </w:r>
      <w:r w:rsidRPr="00426080">
        <w:tab/>
        <w:t xml:space="preserve">Délivrance d’homologation </w:t>
      </w:r>
      <w:r w:rsidRPr="00426080">
        <w:rPr>
          <w:bCs/>
        </w:rPr>
        <w:br/>
      </w:r>
      <w:r w:rsidRPr="00426080">
        <w:tab/>
        <w:t xml:space="preserve">Extension d’homologation </w:t>
      </w:r>
      <w:r w:rsidRPr="00426080">
        <w:rPr>
          <w:bCs/>
        </w:rPr>
        <w:br/>
      </w:r>
      <w:r w:rsidRPr="00426080">
        <w:tab/>
        <w:t xml:space="preserve">Refus d’homologation </w:t>
      </w:r>
      <w:r w:rsidRPr="00426080">
        <w:rPr>
          <w:bCs/>
        </w:rPr>
        <w:br/>
      </w:r>
      <w:r w:rsidRPr="00426080">
        <w:tab/>
        <w:t xml:space="preserve">Retrait d’homologation </w:t>
      </w:r>
      <w:r w:rsidRPr="00426080">
        <w:rPr>
          <w:bCs/>
        </w:rPr>
        <w:br/>
      </w:r>
      <w:r w:rsidRPr="00426080">
        <w:tab/>
        <w:t>Arrêt définitif de la production</w:t>
      </w:r>
    </w:p>
    <w:p w14:paraId="7BDDCCAD" w14:textId="77777777" w:rsidR="00CD5799" w:rsidRPr="00426080" w:rsidRDefault="00CD5799" w:rsidP="00CD5799">
      <w:pPr>
        <w:pStyle w:val="SingleTxtG"/>
        <w:rPr>
          <w:bCs/>
        </w:rPr>
      </w:pPr>
      <w:proofErr w:type="gramStart"/>
      <w:r w:rsidRPr="00426080">
        <w:t>d’un</w:t>
      </w:r>
      <w:proofErr w:type="gramEnd"/>
      <w:r w:rsidRPr="00426080">
        <w:t xml:space="preserve"> type de pneumatique en ce qui concerne les caractéristiques “émissions de bruit de roulement” et/ou “adhérence sur sol mouillé” et/ou “résistance au roulement” en application du Règlement ONU </w:t>
      </w:r>
      <w:r w:rsidRPr="00426080">
        <w:rPr>
          <w:rFonts w:eastAsia="MS Mincho"/>
          <w:szCs w:val="22"/>
        </w:rPr>
        <w:t>n</w:t>
      </w:r>
      <w:r w:rsidRPr="00426080">
        <w:rPr>
          <w:rFonts w:eastAsia="MS Mincho"/>
          <w:szCs w:val="22"/>
          <w:vertAlign w:val="superscript"/>
        </w:rPr>
        <w:t>o</w:t>
      </w:r>
      <w:r w:rsidRPr="00426080">
        <w:t> 117</w:t>
      </w:r>
    </w:p>
    <w:p w14:paraId="07020156" w14:textId="77777777" w:rsidR="00CD5799" w:rsidRPr="00426080" w:rsidRDefault="00CD5799" w:rsidP="00CD5799">
      <w:pPr>
        <w:pStyle w:val="SingleTxtG"/>
        <w:tabs>
          <w:tab w:val="right" w:leader="dot" w:pos="4253"/>
          <w:tab w:val="left" w:pos="4820"/>
          <w:tab w:val="right" w:leader="dot" w:pos="8505"/>
        </w:tabs>
      </w:pPr>
      <w:r w:rsidRPr="00426080">
        <w:t xml:space="preserve">Homologation </w:t>
      </w:r>
      <w:r w:rsidRPr="00426080">
        <w:rPr>
          <w:rFonts w:eastAsia="MS Mincho"/>
          <w:szCs w:val="22"/>
        </w:rPr>
        <w:t>n</w:t>
      </w:r>
      <w:r w:rsidRPr="00426080">
        <w:rPr>
          <w:rFonts w:eastAsia="MS Mincho"/>
          <w:szCs w:val="22"/>
          <w:vertAlign w:val="superscript"/>
        </w:rPr>
        <w:t>o</w:t>
      </w:r>
      <w:r w:rsidRPr="00CC5B7B">
        <w:rPr>
          <w:sz w:val="18"/>
          <w:szCs w:val="18"/>
          <w:vertAlign w:val="superscript"/>
        </w:rPr>
        <w:t>3</w:t>
      </w:r>
      <w:r w:rsidRPr="00426080">
        <w:tab/>
      </w:r>
      <w:r w:rsidRPr="00426080">
        <w:tab/>
      </w:r>
      <w:r w:rsidRPr="00426080">
        <w:rPr>
          <w:bCs/>
        </w:rPr>
        <w:t>Suffixe(s)</w:t>
      </w:r>
      <w:r w:rsidRPr="00CC5B7B">
        <w:rPr>
          <w:bCs/>
          <w:sz w:val="18"/>
          <w:szCs w:val="18"/>
          <w:vertAlign w:val="superscript"/>
        </w:rPr>
        <w:t>4</w:t>
      </w:r>
      <w:r w:rsidRPr="00426080">
        <w:tab/>
      </w:r>
    </w:p>
    <w:p w14:paraId="72FA0240" w14:textId="77777777" w:rsidR="00CD5799" w:rsidRPr="00426080" w:rsidRDefault="00CD5799" w:rsidP="00CD5799">
      <w:pPr>
        <w:pStyle w:val="SingleTxtG"/>
      </w:pPr>
      <w:r w:rsidRPr="00426080">
        <w:t>1.</w:t>
      </w:r>
      <w:r w:rsidRPr="00426080">
        <w:tab/>
        <w:t>…</w:t>
      </w:r>
    </w:p>
    <w:p w14:paraId="7C35526C" w14:textId="77777777" w:rsidR="00CD5799" w:rsidRPr="00426080" w:rsidRDefault="00CD5799" w:rsidP="0008454A">
      <w:pPr>
        <w:pStyle w:val="SingleTxtG"/>
        <w:keepNext/>
      </w:pPr>
      <w:r w:rsidRPr="00426080">
        <w:t>…</w:t>
      </w:r>
    </w:p>
    <w:p w14:paraId="24A7FF22" w14:textId="77777777" w:rsidR="00CD5799" w:rsidRPr="00426080" w:rsidRDefault="00CD5799" w:rsidP="00CC5B7B">
      <w:pPr>
        <w:pStyle w:val="SingleTxtG"/>
        <w:ind w:left="680"/>
      </w:pPr>
      <w:r w:rsidRPr="00426080">
        <w:rPr>
          <w:u w:val="single"/>
        </w:rPr>
        <w:tab/>
      </w:r>
      <w:r w:rsidRPr="00426080">
        <w:rPr>
          <w:u w:val="single"/>
        </w:rPr>
        <w:tab/>
      </w:r>
      <w:r w:rsidRPr="00426080">
        <w:rPr>
          <w:u w:val="single"/>
        </w:rPr>
        <w:tab/>
      </w:r>
    </w:p>
    <w:p w14:paraId="5BF3859B" w14:textId="77777777" w:rsidR="00CD5799" w:rsidRPr="00426080" w:rsidRDefault="00CC5B7B" w:rsidP="00CC5B7B">
      <w:pPr>
        <w:pStyle w:val="FootnoteText"/>
      </w:pPr>
      <w:r>
        <w:tab/>
      </w:r>
      <w:r w:rsidR="00CD5799" w:rsidRPr="00CC5B7B">
        <w:rPr>
          <w:rStyle w:val="FootnoteReference"/>
        </w:rPr>
        <w:footnoteRef/>
      </w:r>
      <w:r>
        <w:tab/>
      </w:r>
      <w:r w:rsidR="00CD5799" w:rsidRPr="00426080">
        <w:t>Numéro distinctif du pays qui a délivré/étendu/refusé/retiré l’homologation (voir les dispositions du Règlement relatives à l’homologation).</w:t>
      </w:r>
    </w:p>
    <w:p w14:paraId="28596560" w14:textId="77777777" w:rsidR="00CD5799" w:rsidRPr="00426080" w:rsidRDefault="00CC5B7B" w:rsidP="00CC5B7B">
      <w:pPr>
        <w:pStyle w:val="FootnoteText"/>
      </w:pPr>
      <w:r>
        <w:rPr>
          <w:vertAlign w:val="superscript"/>
        </w:rPr>
        <w:lastRenderedPageBreak/>
        <w:tab/>
      </w:r>
      <w:r w:rsidR="00CD5799" w:rsidRPr="00CC5B7B">
        <w:rPr>
          <w:rStyle w:val="FootnoteReference"/>
        </w:rPr>
        <w:t>2</w:t>
      </w:r>
      <w:r>
        <w:rPr>
          <w:vertAlign w:val="superscript"/>
        </w:rPr>
        <w:tab/>
      </w:r>
      <w:r w:rsidR="00CD5799" w:rsidRPr="00426080">
        <w:t>Biffer la mention inutile.</w:t>
      </w:r>
    </w:p>
    <w:p w14:paraId="0892D418" w14:textId="77777777" w:rsidR="00CD5799" w:rsidRPr="00426080" w:rsidRDefault="00CC5B7B" w:rsidP="00CC5B7B">
      <w:pPr>
        <w:pStyle w:val="FootnoteText"/>
      </w:pPr>
      <w:r>
        <w:rPr>
          <w:vertAlign w:val="superscript"/>
        </w:rPr>
        <w:tab/>
      </w:r>
      <w:r w:rsidR="00CD5799" w:rsidRPr="00CC5B7B">
        <w:rPr>
          <w:rStyle w:val="FootnoteReference"/>
        </w:rPr>
        <w:t>3</w:t>
      </w:r>
      <w:r>
        <w:rPr>
          <w:vertAlign w:val="superscript"/>
        </w:rPr>
        <w:tab/>
      </w:r>
      <w:r w:rsidR="00CD5799" w:rsidRPr="00426080">
        <w:rPr>
          <w:bCs/>
        </w:rPr>
        <w:t>Selon l’annexe</w:t>
      </w:r>
      <w:r>
        <w:rPr>
          <w:bCs/>
        </w:rPr>
        <w:t xml:space="preserve"> </w:t>
      </w:r>
      <w:r w:rsidR="00CD5799" w:rsidRPr="00426080">
        <w:rPr>
          <w:bCs/>
        </w:rPr>
        <w:t>4 de la Révision</w:t>
      </w:r>
      <w:r>
        <w:rPr>
          <w:bCs/>
        </w:rPr>
        <w:t xml:space="preserve"> </w:t>
      </w:r>
      <w:r w:rsidR="00CD5799" w:rsidRPr="00426080">
        <w:rPr>
          <w:bCs/>
        </w:rPr>
        <w:t>3 de l’Accord de 1958</w:t>
      </w:r>
      <w:r w:rsidR="00CD5799" w:rsidRPr="00426080">
        <w:t>.</w:t>
      </w:r>
    </w:p>
    <w:p w14:paraId="03DF4363" w14:textId="77777777" w:rsidR="00CD5799" w:rsidRPr="00426080" w:rsidRDefault="00CC5B7B" w:rsidP="00CC5B7B">
      <w:pPr>
        <w:pStyle w:val="FootnoteText"/>
        <w:spacing w:after="240"/>
      </w:pPr>
      <w:r>
        <w:rPr>
          <w:vertAlign w:val="superscript"/>
        </w:rPr>
        <w:tab/>
      </w:r>
      <w:r w:rsidR="00CD5799" w:rsidRPr="00CC5B7B">
        <w:rPr>
          <w:rStyle w:val="FootnoteReference"/>
        </w:rPr>
        <w:t>4</w:t>
      </w:r>
      <w:r>
        <w:rPr>
          <w:vertAlign w:val="superscript"/>
        </w:rPr>
        <w:tab/>
      </w:r>
      <w:r w:rsidR="00CD5799" w:rsidRPr="00426080">
        <w:rPr>
          <w:bCs/>
        </w:rPr>
        <w:t>Conformément aux paragraphes 5.2.2 et 5.3.1.2 du présent Règlement.</w:t>
      </w:r>
      <w:r w:rsidR="00CD5799" w:rsidRPr="00CC5B7B">
        <w:rPr>
          <w:sz w:val="20"/>
        </w:rPr>
        <w:t> ».</w:t>
      </w:r>
    </w:p>
    <w:p w14:paraId="2728D5F4" w14:textId="77777777" w:rsidR="00CD5799" w:rsidRPr="00426080" w:rsidRDefault="00CD5799" w:rsidP="00CC5B7B">
      <w:pPr>
        <w:pStyle w:val="SingleTxtG"/>
      </w:pPr>
      <w:r w:rsidRPr="00CC5B7B">
        <w:rPr>
          <w:i/>
        </w:rPr>
        <w:t>Annexe 7, appendice 2, partie 2, paragraphe 5</w:t>
      </w:r>
      <w:r w:rsidRPr="00426080">
        <w:t>,</w:t>
      </w:r>
      <w:r>
        <w:t xml:space="preserve"> </w:t>
      </w:r>
      <w:r w:rsidRPr="00426080">
        <w:t>lire</w:t>
      </w:r>
      <w:r>
        <w:t> :</w:t>
      </w:r>
    </w:p>
    <w:p w14:paraId="64A4B2D4" w14:textId="77777777" w:rsidR="00CD5799" w:rsidRPr="00426080" w:rsidRDefault="00CD5799" w:rsidP="00CC5B7B">
      <w:pPr>
        <w:pStyle w:val="SingleTxtG"/>
        <w:ind w:left="2268" w:hanging="1134"/>
      </w:pPr>
      <w:r w:rsidRPr="00426080">
        <w:t>« 5.</w:t>
      </w:r>
      <w:r w:rsidRPr="00426080">
        <w:tab/>
        <w:t>Résultats de l’essai</w:t>
      </w:r>
      <w:r>
        <w:t> :</w:t>
      </w:r>
      <w:r w:rsidRPr="00426080">
        <w:t xml:space="preserve"> décélérations moyennes en régime (m/s</w:t>
      </w:r>
      <w:proofErr w:type="gramStart"/>
      <w:r w:rsidR="00CC5B7B" w:rsidRPr="00CC5B7B">
        <w:rPr>
          <w:vertAlign w:val="superscript"/>
        </w:rPr>
        <w:t>2</w:t>
      </w:r>
      <w:r w:rsidRPr="00426080">
        <w:t>)/</w:t>
      </w:r>
      <w:proofErr w:type="gramEnd"/>
      <w:r w:rsidRPr="00426080">
        <w:t>coefficient de traction</w:t>
      </w:r>
      <w:r w:rsidRPr="00426080">
        <w:rPr>
          <w:rStyle w:val="FootnoteReference"/>
        </w:rPr>
        <w:footnoteReference w:id="3"/>
      </w:r>
    </w:p>
    <w:tbl>
      <w:tblPr>
        <w:tblW w:w="7371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57"/>
        <w:gridCol w:w="1644"/>
        <w:gridCol w:w="851"/>
        <w:gridCol w:w="1134"/>
        <w:gridCol w:w="1134"/>
        <w:gridCol w:w="851"/>
      </w:tblGrid>
      <w:tr w:rsidR="00332C9C" w:rsidRPr="00CC5B7B" w14:paraId="6F9A97CB" w14:textId="77777777" w:rsidTr="00332C9C">
        <w:trPr>
          <w:tblHeader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6D49E8" w14:textId="77777777" w:rsidR="00CD5799" w:rsidRPr="00CC5B7B" w:rsidRDefault="00CD5799" w:rsidP="00CC5B7B">
            <w:pPr>
              <w:suppressAutoHyphens w:val="0"/>
              <w:spacing w:before="80" w:after="80" w:line="200" w:lineRule="exact"/>
              <w:ind w:left="57" w:right="57"/>
              <w:rPr>
                <w:bCs/>
                <w:i/>
                <w:sz w:val="16"/>
                <w:szCs w:val="16"/>
              </w:rPr>
            </w:pPr>
            <w:r w:rsidRPr="00CC5B7B">
              <w:rPr>
                <w:sz w:val="16"/>
                <w:szCs w:val="16"/>
              </w:rPr>
              <w:t>Numéro de l’essai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B9096C" w14:textId="77777777" w:rsidR="00CD5799" w:rsidRPr="00CC5B7B" w:rsidRDefault="00CD5799" w:rsidP="00CC5B7B">
            <w:pPr>
              <w:suppressAutoHyphens w:val="0"/>
              <w:spacing w:before="80" w:after="80" w:line="200" w:lineRule="exact"/>
              <w:ind w:left="57" w:right="57"/>
              <w:rPr>
                <w:bCs/>
                <w:i/>
                <w:sz w:val="16"/>
                <w:szCs w:val="16"/>
              </w:rPr>
            </w:pPr>
            <w:r w:rsidRPr="00CC5B7B">
              <w:rPr>
                <w:sz w:val="16"/>
                <w:szCs w:val="16"/>
              </w:rPr>
              <w:t>Spécification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AB3A4B" w14:textId="77777777" w:rsidR="00CD5799" w:rsidRPr="00CC5B7B" w:rsidRDefault="00CD5799" w:rsidP="00CC5B7B">
            <w:pPr>
              <w:suppressAutoHyphens w:val="0"/>
              <w:spacing w:before="80" w:after="80" w:line="200" w:lineRule="exact"/>
              <w:ind w:left="57" w:right="57"/>
              <w:rPr>
                <w:bCs/>
                <w:i/>
                <w:sz w:val="16"/>
                <w:szCs w:val="16"/>
              </w:rPr>
            </w:pPr>
            <w:r w:rsidRPr="00CC5B7B">
              <w:rPr>
                <w:sz w:val="16"/>
                <w:szCs w:val="16"/>
              </w:rPr>
              <w:t>SRTT (1</w:t>
            </w:r>
            <w:r w:rsidRPr="00CC5B7B">
              <w:rPr>
                <w:sz w:val="16"/>
                <w:szCs w:val="16"/>
                <w:vertAlign w:val="superscript"/>
              </w:rPr>
              <w:t>er</w:t>
            </w:r>
            <w:r w:rsidR="00CC5B7B">
              <w:rPr>
                <w:sz w:val="16"/>
                <w:szCs w:val="16"/>
              </w:rPr>
              <w:t> </w:t>
            </w:r>
            <w:r w:rsidRPr="00CC5B7B">
              <w:rPr>
                <w:sz w:val="16"/>
                <w:szCs w:val="16"/>
              </w:rPr>
              <w:t>essai)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E822B7" w14:textId="77777777" w:rsidR="00CD5799" w:rsidRPr="00CC5B7B" w:rsidRDefault="00CD5799" w:rsidP="00CC5B7B">
            <w:pPr>
              <w:suppressAutoHyphens w:val="0"/>
              <w:spacing w:before="80" w:after="80" w:line="200" w:lineRule="exact"/>
              <w:ind w:left="57" w:right="57"/>
              <w:rPr>
                <w:bCs/>
                <w:i/>
                <w:sz w:val="16"/>
                <w:szCs w:val="16"/>
              </w:rPr>
            </w:pPr>
            <w:r w:rsidRPr="00CC5B7B">
              <w:rPr>
                <w:i/>
                <w:iCs/>
                <w:sz w:val="16"/>
                <w:szCs w:val="16"/>
              </w:rPr>
              <w:t>Pneumatique à</w:t>
            </w:r>
            <w:r w:rsidR="0024487A">
              <w:rPr>
                <w:i/>
                <w:iCs/>
                <w:sz w:val="16"/>
                <w:szCs w:val="16"/>
              </w:rPr>
              <w:t> </w:t>
            </w:r>
            <w:r w:rsidRPr="00CC5B7B">
              <w:rPr>
                <w:i/>
                <w:iCs/>
                <w:sz w:val="16"/>
                <w:szCs w:val="16"/>
              </w:rPr>
              <w:t>contrôler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88ADA9" w14:textId="77777777" w:rsidR="00CD5799" w:rsidRPr="00CC5B7B" w:rsidRDefault="00CD5799" w:rsidP="00CC5B7B">
            <w:pPr>
              <w:suppressAutoHyphens w:val="0"/>
              <w:spacing w:before="80" w:after="80" w:line="200" w:lineRule="exact"/>
              <w:ind w:left="57" w:right="57"/>
              <w:rPr>
                <w:bCs/>
                <w:i/>
                <w:sz w:val="16"/>
                <w:szCs w:val="16"/>
              </w:rPr>
            </w:pPr>
            <w:r w:rsidRPr="00CC5B7B">
              <w:rPr>
                <w:i/>
                <w:iCs/>
                <w:sz w:val="16"/>
                <w:szCs w:val="16"/>
              </w:rPr>
              <w:t>Pneumatique à</w:t>
            </w:r>
            <w:r w:rsidR="0024487A">
              <w:rPr>
                <w:i/>
                <w:iCs/>
                <w:sz w:val="16"/>
                <w:szCs w:val="16"/>
              </w:rPr>
              <w:t> </w:t>
            </w:r>
            <w:r w:rsidRPr="00CC5B7B">
              <w:rPr>
                <w:i/>
                <w:iCs/>
                <w:sz w:val="16"/>
                <w:szCs w:val="16"/>
              </w:rPr>
              <w:t>contrôler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727AE470" w14:textId="77777777" w:rsidR="00CD5799" w:rsidRPr="00CC5B7B" w:rsidRDefault="00CD5799" w:rsidP="00CC5B7B">
            <w:pPr>
              <w:suppressAutoHyphens w:val="0"/>
              <w:spacing w:before="80" w:after="80" w:line="200" w:lineRule="exact"/>
              <w:ind w:left="57" w:right="57"/>
              <w:rPr>
                <w:bCs/>
                <w:i/>
                <w:sz w:val="16"/>
                <w:szCs w:val="16"/>
              </w:rPr>
            </w:pPr>
            <w:r w:rsidRPr="00CC5B7B">
              <w:rPr>
                <w:sz w:val="16"/>
                <w:szCs w:val="16"/>
              </w:rPr>
              <w:t>SRTT (2</w:t>
            </w:r>
            <w:r w:rsidRPr="00CC5B7B">
              <w:rPr>
                <w:sz w:val="16"/>
                <w:szCs w:val="16"/>
                <w:vertAlign w:val="superscript"/>
              </w:rPr>
              <w:t>e</w:t>
            </w:r>
            <w:r w:rsidR="00CC5B7B">
              <w:rPr>
                <w:sz w:val="16"/>
                <w:szCs w:val="16"/>
              </w:rPr>
              <w:t> </w:t>
            </w:r>
            <w:r w:rsidRPr="00CC5B7B">
              <w:rPr>
                <w:sz w:val="16"/>
                <w:szCs w:val="16"/>
              </w:rPr>
              <w:t>essai)</w:t>
            </w:r>
          </w:p>
        </w:tc>
      </w:tr>
      <w:tr w:rsidR="00332C9C" w:rsidRPr="00426080" w14:paraId="015A7C67" w14:textId="77777777" w:rsidTr="00332C9C">
        <w:tc>
          <w:tcPr>
            <w:tcW w:w="17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E315F" w14:textId="77777777" w:rsidR="00CD5799" w:rsidRPr="00426080" w:rsidRDefault="00CD5799" w:rsidP="00CC5B7B">
            <w:pPr>
              <w:suppressAutoHyphens w:val="0"/>
              <w:spacing w:before="40" w:after="40" w:line="220" w:lineRule="exact"/>
              <w:ind w:left="57" w:right="57"/>
              <w:rPr>
                <w:bCs/>
                <w:szCs w:val="18"/>
              </w:rPr>
            </w:pPr>
            <w:r w:rsidRPr="00426080">
              <w:t>1</w:t>
            </w:r>
          </w:p>
        </w:tc>
        <w:tc>
          <w:tcPr>
            <w:tcW w:w="16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8CF45" w14:textId="77777777" w:rsidR="00CD5799" w:rsidRPr="00426080" w:rsidRDefault="00CD5799" w:rsidP="00CC5B7B">
            <w:pPr>
              <w:suppressAutoHyphens w:val="0"/>
              <w:spacing w:before="40" w:after="40" w:line="220" w:lineRule="exact"/>
              <w:ind w:left="57" w:right="57"/>
              <w:rPr>
                <w:bCs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46806" w14:textId="77777777" w:rsidR="00CD5799" w:rsidRPr="00426080" w:rsidRDefault="00CD5799" w:rsidP="00CC5B7B">
            <w:pPr>
              <w:suppressAutoHyphens w:val="0"/>
              <w:spacing w:before="40" w:after="40" w:line="220" w:lineRule="exact"/>
              <w:ind w:left="57" w:right="57"/>
              <w:rPr>
                <w:bCs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7A5D8" w14:textId="77777777" w:rsidR="00CD5799" w:rsidRPr="00426080" w:rsidRDefault="00CD5799" w:rsidP="00CC5B7B">
            <w:pPr>
              <w:suppressAutoHyphens w:val="0"/>
              <w:spacing w:before="40" w:after="40" w:line="220" w:lineRule="exact"/>
              <w:ind w:left="57" w:right="57"/>
              <w:rPr>
                <w:bCs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20605" w14:textId="77777777" w:rsidR="00CD5799" w:rsidRPr="00426080" w:rsidRDefault="00CD5799" w:rsidP="00CC5B7B">
            <w:pPr>
              <w:suppressAutoHyphens w:val="0"/>
              <w:spacing w:before="40" w:after="40" w:line="220" w:lineRule="exact"/>
              <w:ind w:left="57" w:right="57"/>
              <w:rPr>
                <w:bCs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DAA4A" w14:textId="77777777" w:rsidR="00CD5799" w:rsidRPr="00426080" w:rsidRDefault="00CD5799" w:rsidP="00CC5B7B">
            <w:pPr>
              <w:suppressAutoHyphens w:val="0"/>
              <w:spacing w:before="40" w:after="40" w:line="220" w:lineRule="exact"/>
              <w:ind w:left="57" w:right="57"/>
              <w:rPr>
                <w:bCs/>
                <w:szCs w:val="18"/>
              </w:rPr>
            </w:pPr>
          </w:p>
        </w:tc>
      </w:tr>
      <w:tr w:rsidR="00332C9C" w:rsidRPr="00426080" w14:paraId="5E408ED1" w14:textId="77777777" w:rsidTr="00332C9C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332A5" w14:textId="77777777" w:rsidR="00CD5799" w:rsidRPr="00426080" w:rsidRDefault="00CD5799" w:rsidP="00CC5B7B">
            <w:pPr>
              <w:suppressAutoHyphens w:val="0"/>
              <w:spacing w:before="40" w:after="40" w:line="220" w:lineRule="exact"/>
              <w:ind w:left="57" w:right="57"/>
              <w:rPr>
                <w:bCs/>
                <w:szCs w:val="18"/>
              </w:rPr>
            </w:pPr>
            <w:r w:rsidRPr="00426080"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A9DE6" w14:textId="77777777" w:rsidR="00CD5799" w:rsidRPr="00426080" w:rsidRDefault="00CD5799" w:rsidP="00CC5B7B">
            <w:pPr>
              <w:suppressAutoHyphens w:val="0"/>
              <w:spacing w:before="40" w:after="40" w:line="220" w:lineRule="exact"/>
              <w:ind w:left="57" w:right="57"/>
              <w:rPr>
                <w:bCs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8435C" w14:textId="77777777" w:rsidR="00CD5799" w:rsidRPr="00426080" w:rsidRDefault="00CD5799" w:rsidP="00CC5B7B">
            <w:pPr>
              <w:suppressAutoHyphens w:val="0"/>
              <w:spacing w:before="40" w:after="40" w:line="220" w:lineRule="exact"/>
              <w:ind w:left="57" w:right="57"/>
              <w:rPr>
                <w:bCs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D1A1E" w14:textId="77777777" w:rsidR="00CD5799" w:rsidRPr="00426080" w:rsidRDefault="00CD5799" w:rsidP="00CC5B7B">
            <w:pPr>
              <w:suppressAutoHyphens w:val="0"/>
              <w:spacing w:before="40" w:after="40" w:line="220" w:lineRule="exact"/>
              <w:ind w:left="57" w:right="57"/>
              <w:rPr>
                <w:bCs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FB310" w14:textId="77777777" w:rsidR="00CD5799" w:rsidRPr="00426080" w:rsidRDefault="00CD5799" w:rsidP="00CC5B7B">
            <w:pPr>
              <w:suppressAutoHyphens w:val="0"/>
              <w:spacing w:before="40" w:after="40" w:line="220" w:lineRule="exact"/>
              <w:ind w:left="57" w:right="57"/>
              <w:rPr>
                <w:bCs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52F34" w14:textId="77777777" w:rsidR="00CD5799" w:rsidRPr="00426080" w:rsidRDefault="00CD5799" w:rsidP="00CC5B7B">
            <w:pPr>
              <w:suppressAutoHyphens w:val="0"/>
              <w:spacing w:before="40" w:after="40" w:line="220" w:lineRule="exact"/>
              <w:ind w:left="57" w:right="57"/>
              <w:rPr>
                <w:bCs/>
                <w:szCs w:val="18"/>
              </w:rPr>
            </w:pPr>
          </w:p>
        </w:tc>
      </w:tr>
      <w:tr w:rsidR="00332C9C" w:rsidRPr="00426080" w14:paraId="4DA3FC1A" w14:textId="77777777" w:rsidTr="00332C9C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3D937" w14:textId="77777777" w:rsidR="00CD5799" w:rsidRPr="00426080" w:rsidRDefault="00CD5799" w:rsidP="00CC5B7B">
            <w:pPr>
              <w:suppressAutoHyphens w:val="0"/>
              <w:spacing w:before="40" w:after="40" w:line="220" w:lineRule="exact"/>
              <w:ind w:left="57" w:right="57"/>
              <w:rPr>
                <w:bCs/>
                <w:szCs w:val="18"/>
              </w:rPr>
            </w:pPr>
            <w:r w:rsidRPr="00426080">
              <w:t>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10566" w14:textId="77777777" w:rsidR="00CD5799" w:rsidRPr="00426080" w:rsidRDefault="00CD5799" w:rsidP="00CC5B7B">
            <w:pPr>
              <w:suppressAutoHyphens w:val="0"/>
              <w:spacing w:before="40" w:after="40" w:line="220" w:lineRule="exact"/>
              <w:ind w:left="57" w:right="57"/>
              <w:rPr>
                <w:bCs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8DB9D" w14:textId="77777777" w:rsidR="00CD5799" w:rsidRPr="00426080" w:rsidRDefault="00CD5799" w:rsidP="00CC5B7B">
            <w:pPr>
              <w:suppressAutoHyphens w:val="0"/>
              <w:spacing w:before="40" w:after="40" w:line="220" w:lineRule="exact"/>
              <w:ind w:left="57" w:right="57"/>
              <w:rPr>
                <w:bCs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E13C4" w14:textId="77777777" w:rsidR="00CD5799" w:rsidRPr="00426080" w:rsidRDefault="00CD5799" w:rsidP="00CC5B7B">
            <w:pPr>
              <w:suppressAutoHyphens w:val="0"/>
              <w:spacing w:before="40" w:after="40" w:line="220" w:lineRule="exact"/>
              <w:ind w:left="57" w:right="57"/>
              <w:rPr>
                <w:bCs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9181B" w14:textId="77777777" w:rsidR="00CD5799" w:rsidRPr="00426080" w:rsidRDefault="00CD5799" w:rsidP="00CC5B7B">
            <w:pPr>
              <w:suppressAutoHyphens w:val="0"/>
              <w:spacing w:before="40" w:after="40" w:line="220" w:lineRule="exact"/>
              <w:ind w:left="57" w:right="57"/>
              <w:rPr>
                <w:bCs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E6560" w14:textId="77777777" w:rsidR="00CD5799" w:rsidRPr="00426080" w:rsidRDefault="00CD5799" w:rsidP="00CC5B7B">
            <w:pPr>
              <w:suppressAutoHyphens w:val="0"/>
              <w:spacing w:before="40" w:after="40" w:line="220" w:lineRule="exact"/>
              <w:ind w:left="57" w:right="57"/>
              <w:rPr>
                <w:bCs/>
                <w:szCs w:val="18"/>
              </w:rPr>
            </w:pPr>
          </w:p>
        </w:tc>
      </w:tr>
      <w:tr w:rsidR="00332C9C" w:rsidRPr="00426080" w14:paraId="4360E816" w14:textId="77777777" w:rsidTr="00332C9C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B3E66" w14:textId="77777777" w:rsidR="00CD5799" w:rsidRPr="00426080" w:rsidRDefault="00CD5799" w:rsidP="00CC5B7B">
            <w:pPr>
              <w:suppressAutoHyphens w:val="0"/>
              <w:spacing w:before="40" w:after="40" w:line="220" w:lineRule="exact"/>
              <w:ind w:left="57" w:right="57"/>
              <w:rPr>
                <w:bCs/>
                <w:szCs w:val="18"/>
              </w:rPr>
            </w:pPr>
            <w:r w:rsidRPr="00426080">
              <w:t>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5976F" w14:textId="77777777" w:rsidR="00CD5799" w:rsidRPr="00426080" w:rsidRDefault="00CD5799" w:rsidP="00CC5B7B">
            <w:pPr>
              <w:suppressAutoHyphens w:val="0"/>
              <w:spacing w:before="40" w:after="40" w:line="220" w:lineRule="exact"/>
              <w:ind w:left="57" w:right="57"/>
              <w:rPr>
                <w:bCs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F68FF" w14:textId="77777777" w:rsidR="00CD5799" w:rsidRPr="00426080" w:rsidRDefault="00CD5799" w:rsidP="00CC5B7B">
            <w:pPr>
              <w:suppressAutoHyphens w:val="0"/>
              <w:spacing w:before="40" w:after="40" w:line="220" w:lineRule="exact"/>
              <w:ind w:left="57" w:right="57"/>
              <w:rPr>
                <w:bCs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BD93A" w14:textId="77777777" w:rsidR="00CD5799" w:rsidRPr="00426080" w:rsidRDefault="00CD5799" w:rsidP="00CC5B7B">
            <w:pPr>
              <w:suppressAutoHyphens w:val="0"/>
              <w:spacing w:before="40" w:after="40" w:line="220" w:lineRule="exact"/>
              <w:ind w:left="57" w:right="57"/>
              <w:rPr>
                <w:bCs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950B2" w14:textId="77777777" w:rsidR="00CD5799" w:rsidRPr="00426080" w:rsidRDefault="00CD5799" w:rsidP="00CC5B7B">
            <w:pPr>
              <w:suppressAutoHyphens w:val="0"/>
              <w:spacing w:before="40" w:after="40" w:line="220" w:lineRule="exact"/>
              <w:ind w:left="57" w:right="57"/>
              <w:rPr>
                <w:bCs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9B992" w14:textId="77777777" w:rsidR="00CD5799" w:rsidRPr="00426080" w:rsidRDefault="00CD5799" w:rsidP="00CC5B7B">
            <w:pPr>
              <w:suppressAutoHyphens w:val="0"/>
              <w:spacing w:before="40" w:after="40" w:line="220" w:lineRule="exact"/>
              <w:ind w:left="57" w:right="57"/>
              <w:rPr>
                <w:bCs/>
                <w:szCs w:val="18"/>
              </w:rPr>
            </w:pPr>
          </w:p>
        </w:tc>
      </w:tr>
      <w:tr w:rsidR="00332C9C" w:rsidRPr="00426080" w14:paraId="4CAFC119" w14:textId="77777777" w:rsidTr="00332C9C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469DB" w14:textId="77777777" w:rsidR="00CD5799" w:rsidRPr="00426080" w:rsidRDefault="00CD5799" w:rsidP="00CC5B7B">
            <w:pPr>
              <w:suppressAutoHyphens w:val="0"/>
              <w:spacing w:before="40" w:after="40" w:line="220" w:lineRule="exact"/>
              <w:ind w:left="57" w:right="57"/>
              <w:rPr>
                <w:bCs/>
                <w:szCs w:val="18"/>
              </w:rPr>
            </w:pPr>
            <w:r w:rsidRPr="00426080">
              <w:t>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DFCE7" w14:textId="77777777" w:rsidR="00CD5799" w:rsidRPr="00426080" w:rsidRDefault="00CD5799" w:rsidP="00CC5B7B">
            <w:pPr>
              <w:suppressAutoHyphens w:val="0"/>
              <w:spacing w:before="40" w:after="40" w:line="220" w:lineRule="exact"/>
              <w:ind w:left="57" w:right="57"/>
              <w:rPr>
                <w:bCs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C1DFB" w14:textId="77777777" w:rsidR="00CD5799" w:rsidRPr="00426080" w:rsidRDefault="00CD5799" w:rsidP="00CC5B7B">
            <w:pPr>
              <w:suppressAutoHyphens w:val="0"/>
              <w:spacing w:before="40" w:after="40" w:line="220" w:lineRule="exact"/>
              <w:ind w:left="57" w:right="57"/>
              <w:rPr>
                <w:bCs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70DE2" w14:textId="77777777" w:rsidR="00CD5799" w:rsidRPr="00426080" w:rsidRDefault="00CD5799" w:rsidP="00CC5B7B">
            <w:pPr>
              <w:suppressAutoHyphens w:val="0"/>
              <w:spacing w:before="40" w:after="40" w:line="220" w:lineRule="exact"/>
              <w:ind w:left="57" w:right="57"/>
              <w:rPr>
                <w:bCs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C7FEE" w14:textId="77777777" w:rsidR="00CD5799" w:rsidRPr="00426080" w:rsidRDefault="00CD5799" w:rsidP="00CC5B7B">
            <w:pPr>
              <w:suppressAutoHyphens w:val="0"/>
              <w:spacing w:before="40" w:after="40" w:line="220" w:lineRule="exact"/>
              <w:ind w:left="57" w:right="57"/>
              <w:rPr>
                <w:bCs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4856E" w14:textId="77777777" w:rsidR="00CD5799" w:rsidRPr="00426080" w:rsidRDefault="00CD5799" w:rsidP="00CC5B7B">
            <w:pPr>
              <w:suppressAutoHyphens w:val="0"/>
              <w:spacing w:before="40" w:after="40" w:line="220" w:lineRule="exact"/>
              <w:ind w:left="57" w:right="57"/>
              <w:rPr>
                <w:bCs/>
                <w:szCs w:val="18"/>
              </w:rPr>
            </w:pPr>
          </w:p>
        </w:tc>
      </w:tr>
      <w:tr w:rsidR="00332C9C" w:rsidRPr="00426080" w14:paraId="74FC9768" w14:textId="77777777" w:rsidTr="00332C9C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FCAE8" w14:textId="77777777" w:rsidR="00CD5799" w:rsidRPr="00426080" w:rsidRDefault="00CD5799" w:rsidP="00CC5B7B">
            <w:pPr>
              <w:suppressAutoHyphens w:val="0"/>
              <w:spacing w:before="40" w:after="40" w:line="220" w:lineRule="exact"/>
              <w:ind w:left="57" w:right="57"/>
              <w:rPr>
                <w:bCs/>
                <w:szCs w:val="18"/>
              </w:rPr>
            </w:pPr>
            <w:r w:rsidRPr="00426080">
              <w:t>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7CC31" w14:textId="77777777" w:rsidR="00CD5799" w:rsidRPr="00426080" w:rsidRDefault="00CD5799" w:rsidP="00CC5B7B">
            <w:pPr>
              <w:suppressAutoHyphens w:val="0"/>
              <w:spacing w:before="40" w:after="40" w:line="220" w:lineRule="exact"/>
              <w:ind w:left="57" w:right="57"/>
              <w:rPr>
                <w:bCs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1708F" w14:textId="77777777" w:rsidR="00CD5799" w:rsidRPr="00426080" w:rsidRDefault="00CD5799" w:rsidP="00CC5B7B">
            <w:pPr>
              <w:suppressAutoHyphens w:val="0"/>
              <w:spacing w:before="40" w:after="40" w:line="220" w:lineRule="exact"/>
              <w:ind w:left="57" w:right="57"/>
              <w:rPr>
                <w:bCs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7E1FB" w14:textId="77777777" w:rsidR="00CD5799" w:rsidRPr="00426080" w:rsidRDefault="00CD5799" w:rsidP="00CC5B7B">
            <w:pPr>
              <w:suppressAutoHyphens w:val="0"/>
              <w:spacing w:before="40" w:after="40" w:line="220" w:lineRule="exact"/>
              <w:ind w:left="57" w:right="57"/>
              <w:rPr>
                <w:bCs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557B1" w14:textId="77777777" w:rsidR="00CD5799" w:rsidRPr="00426080" w:rsidRDefault="00CD5799" w:rsidP="00CC5B7B">
            <w:pPr>
              <w:suppressAutoHyphens w:val="0"/>
              <w:spacing w:before="40" w:after="40" w:line="220" w:lineRule="exact"/>
              <w:ind w:left="57" w:right="57"/>
              <w:rPr>
                <w:bCs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1DE5E" w14:textId="77777777" w:rsidR="00CD5799" w:rsidRPr="00426080" w:rsidRDefault="00CD5799" w:rsidP="00CC5B7B">
            <w:pPr>
              <w:suppressAutoHyphens w:val="0"/>
              <w:spacing w:before="40" w:after="40" w:line="220" w:lineRule="exact"/>
              <w:ind w:left="57" w:right="57"/>
              <w:rPr>
                <w:bCs/>
                <w:szCs w:val="18"/>
              </w:rPr>
            </w:pPr>
          </w:p>
        </w:tc>
      </w:tr>
      <w:tr w:rsidR="00332C9C" w:rsidRPr="00426080" w14:paraId="4301A69B" w14:textId="77777777" w:rsidTr="00332C9C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97A21" w14:textId="77777777" w:rsidR="00CD5799" w:rsidRPr="00426080" w:rsidRDefault="00CD5799" w:rsidP="00CC5B7B">
            <w:pPr>
              <w:suppressAutoHyphens w:val="0"/>
              <w:spacing w:before="40" w:after="40" w:line="220" w:lineRule="exact"/>
              <w:ind w:left="57" w:right="57"/>
              <w:rPr>
                <w:bCs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EF584" w14:textId="77777777" w:rsidR="00CD5799" w:rsidRPr="00426080" w:rsidRDefault="00CD5799" w:rsidP="00CC5B7B">
            <w:pPr>
              <w:suppressAutoHyphens w:val="0"/>
              <w:spacing w:before="40" w:after="40" w:line="220" w:lineRule="exact"/>
              <w:ind w:left="57" w:right="57"/>
              <w:rPr>
                <w:bCs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DA544" w14:textId="77777777" w:rsidR="00CD5799" w:rsidRPr="00426080" w:rsidRDefault="00CD5799" w:rsidP="00CC5B7B">
            <w:pPr>
              <w:suppressAutoHyphens w:val="0"/>
              <w:spacing w:before="40" w:after="40" w:line="220" w:lineRule="exact"/>
              <w:ind w:left="57" w:right="57"/>
              <w:rPr>
                <w:bCs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9F327" w14:textId="77777777" w:rsidR="00CD5799" w:rsidRPr="00426080" w:rsidRDefault="00CD5799" w:rsidP="00CC5B7B">
            <w:pPr>
              <w:suppressAutoHyphens w:val="0"/>
              <w:spacing w:before="40" w:after="40" w:line="220" w:lineRule="exact"/>
              <w:ind w:left="57" w:right="57"/>
              <w:rPr>
                <w:bCs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1E3A7" w14:textId="77777777" w:rsidR="00CD5799" w:rsidRPr="00426080" w:rsidRDefault="00CD5799" w:rsidP="00CC5B7B">
            <w:pPr>
              <w:suppressAutoHyphens w:val="0"/>
              <w:spacing w:before="40" w:after="40" w:line="220" w:lineRule="exact"/>
              <w:ind w:left="57" w:right="57"/>
              <w:rPr>
                <w:bCs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75843" w14:textId="77777777" w:rsidR="00CD5799" w:rsidRPr="00426080" w:rsidRDefault="00CD5799" w:rsidP="00CC5B7B">
            <w:pPr>
              <w:suppressAutoHyphens w:val="0"/>
              <w:spacing w:before="40" w:after="40" w:line="220" w:lineRule="exact"/>
              <w:ind w:left="57" w:right="57"/>
              <w:rPr>
                <w:bCs/>
                <w:szCs w:val="18"/>
              </w:rPr>
            </w:pPr>
          </w:p>
        </w:tc>
      </w:tr>
      <w:tr w:rsidR="00332C9C" w:rsidRPr="00426080" w14:paraId="3F8DC75D" w14:textId="77777777" w:rsidTr="00332C9C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15EDA" w14:textId="77777777" w:rsidR="00CD5799" w:rsidRPr="00426080" w:rsidRDefault="00CD5799" w:rsidP="00CC5B7B">
            <w:pPr>
              <w:suppressAutoHyphens w:val="0"/>
              <w:spacing w:before="40" w:after="40" w:line="220" w:lineRule="exact"/>
              <w:ind w:left="57" w:right="57"/>
              <w:rPr>
                <w:bCs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0A32A" w14:textId="77777777" w:rsidR="00CD5799" w:rsidRPr="00426080" w:rsidRDefault="00CD5799" w:rsidP="00CC5B7B">
            <w:pPr>
              <w:suppressAutoHyphens w:val="0"/>
              <w:spacing w:before="40" w:after="40" w:line="220" w:lineRule="exact"/>
              <w:ind w:left="57" w:right="57"/>
              <w:rPr>
                <w:bCs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07786" w14:textId="77777777" w:rsidR="00CD5799" w:rsidRPr="00426080" w:rsidRDefault="00CD5799" w:rsidP="00CC5B7B">
            <w:pPr>
              <w:suppressAutoHyphens w:val="0"/>
              <w:spacing w:before="40" w:after="40" w:line="220" w:lineRule="exact"/>
              <w:ind w:left="57" w:right="57"/>
              <w:rPr>
                <w:bCs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60D7E" w14:textId="77777777" w:rsidR="00CD5799" w:rsidRPr="00426080" w:rsidRDefault="00CD5799" w:rsidP="00CC5B7B">
            <w:pPr>
              <w:suppressAutoHyphens w:val="0"/>
              <w:spacing w:before="40" w:after="40" w:line="220" w:lineRule="exact"/>
              <w:ind w:left="57" w:right="57"/>
              <w:rPr>
                <w:bCs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0955B" w14:textId="77777777" w:rsidR="00CD5799" w:rsidRPr="00426080" w:rsidRDefault="00CD5799" w:rsidP="00CC5B7B">
            <w:pPr>
              <w:suppressAutoHyphens w:val="0"/>
              <w:spacing w:before="40" w:after="40" w:line="220" w:lineRule="exact"/>
              <w:ind w:left="57" w:right="57"/>
              <w:rPr>
                <w:bCs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EA430" w14:textId="77777777" w:rsidR="00CD5799" w:rsidRPr="00426080" w:rsidRDefault="00CD5799" w:rsidP="00CC5B7B">
            <w:pPr>
              <w:suppressAutoHyphens w:val="0"/>
              <w:spacing w:before="40" w:after="40" w:line="220" w:lineRule="exact"/>
              <w:ind w:left="57" w:right="57"/>
              <w:rPr>
                <w:bCs/>
                <w:szCs w:val="18"/>
              </w:rPr>
            </w:pPr>
          </w:p>
        </w:tc>
      </w:tr>
      <w:tr w:rsidR="00332C9C" w:rsidRPr="00426080" w14:paraId="1E6D599B" w14:textId="77777777" w:rsidTr="00332C9C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6136D" w14:textId="77777777" w:rsidR="00CD5799" w:rsidRPr="00426080" w:rsidRDefault="00CD5799" w:rsidP="00CC5B7B">
            <w:pPr>
              <w:suppressAutoHyphens w:val="0"/>
              <w:spacing w:before="40" w:after="40" w:line="220" w:lineRule="exact"/>
              <w:ind w:left="57" w:right="57"/>
              <w:rPr>
                <w:bCs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411DD" w14:textId="77777777" w:rsidR="00CD5799" w:rsidRPr="00426080" w:rsidRDefault="00CD5799" w:rsidP="00CC5B7B">
            <w:pPr>
              <w:suppressAutoHyphens w:val="0"/>
              <w:spacing w:before="40" w:after="40" w:line="220" w:lineRule="exact"/>
              <w:ind w:left="57" w:right="57"/>
              <w:rPr>
                <w:bCs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E4040" w14:textId="77777777" w:rsidR="00CD5799" w:rsidRPr="00426080" w:rsidRDefault="00CD5799" w:rsidP="00CC5B7B">
            <w:pPr>
              <w:suppressAutoHyphens w:val="0"/>
              <w:spacing w:before="40" w:after="40" w:line="220" w:lineRule="exact"/>
              <w:ind w:left="57" w:right="57"/>
              <w:rPr>
                <w:bCs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39F8F" w14:textId="77777777" w:rsidR="00CD5799" w:rsidRPr="00426080" w:rsidRDefault="00CD5799" w:rsidP="00CC5B7B">
            <w:pPr>
              <w:suppressAutoHyphens w:val="0"/>
              <w:spacing w:before="40" w:after="40" w:line="220" w:lineRule="exact"/>
              <w:ind w:left="57" w:right="57"/>
              <w:rPr>
                <w:bCs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CEF4A" w14:textId="77777777" w:rsidR="00CD5799" w:rsidRPr="00426080" w:rsidRDefault="00CD5799" w:rsidP="00CC5B7B">
            <w:pPr>
              <w:suppressAutoHyphens w:val="0"/>
              <w:spacing w:before="40" w:after="40" w:line="220" w:lineRule="exact"/>
              <w:ind w:left="57" w:right="57"/>
              <w:rPr>
                <w:bCs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4C884" w14:textId="77777777" w:rsidR="00CD5799" w:rsidRPr="00426080" w:rsidRDefault="00CD5799" w:rsidP="00CC5B7B">
            <w:pPr>
              <w:suppressAutoHyphens w:val="0"/>
              <w:spacing w:before="40" w:after="40" w:line="220" w:lineRule="exact"/>
              <w:ind w:left="57" w:right="57"/>
              <w:rPr>
                <w:bCs/>
                <w:szCs w:val="18"/>
              </w:rPr>
            </w:pPr>
          </w:p>
        </w:tc>
      </w:tr>
      <w:tr w:rsidR="00332C9C" w:rsidRPr="00426080" w14:paraId="4F41E724" w14:textId="77777777" w:rsidTr="00332C9C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34747" w14:textId="77777777" w:rsidR="00CD5799" w:rsidRPr="00426080" w:rsidRDefault="00CD5799" w:rsidP="00CC5B7B">
            <w:pPr>
              <w:suppressAutoHyphens w:val="0"/>
              <w:spacing w:before="40" w:after="40" w:line="220" w:lineRule="exact"/>
              <w:ind w:left="57" w:right="57"/>
              <w:rPr>
                <w:bCs/>
              </w:rPr>
            </w:pPr>
            <w:r w:rsidRPr="00426080">
              <w:t>Moyenne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262EE" w14:textId="77777777" w:rsidR="00CD5799" w:rsidRPr="00426080" w:rsidRDefault="00CD5799" w:rsidP="00CC5B7B">
            <w:pPr>
              <w:suppressAutoHyphens w:val="0"/>
              <w:spacing w:before="40" w:after="40" w:line="220" w:lineRule="exact"/>
              <w:ind w:left="57" w:right="57"/>
              <w:rPr>
                <w:bCs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A3321" w14:textId="77777777" w:rsidR="00CD5799" w:rsidRPr="00426080" w:rsidRDefault="00CD5799" w:rsidP="00CC5B7B">
            <w:pPr>
              <w:suppressAutoHyphens w:val="0"/>
              <w:spacing w:before="40" w:after="40" w:line="220" w:lineRule="exact"/>
              <w:ind w:left="57" w:right="57"/>
              <w:rPr>
                <w:bCs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85DB2" w14:textId="77777777" w:rsidR="00CD5799" w:rsidRPr="00426080" w:rsidRDefault="00CD5799" w:rsidP="00CC5B7B">
            <w:pPr>
              <w:suppressAutoHyphens w:val="0"/>
              <w:spacing w:before="40" w:after="40" w:line="220" w:lineRule="exact"/>
              <w:ind w:left="57" w:right="57"/>
              <w:rPr>
                <w:bCs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F2DF0" w14:textId="77777777" w:rsidR="00CD5799" w:rsidRPr="00426080" w:rsidRDefault="00CD5799" w:rsidP="00CC5B7B">
            <w:pPr>
              <w:suppressAutoHyphens w:val="0"/>
              <w:spacing w:before="40" w:after="40" w:line="220" w:lineRule="exact"/>
              <w:ind w:left="57" w:right="57"/>
              <w:rPr>
                <w:bCs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2137A" w14:textId="77777777" w:rsidR="00CD5799" w:rsidRPr="00426080" w:rsidRDefault="00CD5799" w:rsidP="00CC5B7B">
            <w:pPr>
              <w:suppressAutoHyphens w:val="0"/>
              <w:spacing w:before="40" w:after="40" w:line="220" w:lineRule="exact"/>
              <w:ind w:left="57" w:right="57"/>
              <w:rPr>
                <w:bCs/>
                <w:szCs w:val="18"/>
              </w:rPr>
            </w:pPr>
          </w:p>
        </w:tc>
      </w:tr>
      <w:tr w:rsidR="00332C9C" w:rsidRPr="00426080" w14:paraId="42E1E9C1" w14:textId="77777777" w:rsidTr="00332C9C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D3648" w14:textId="77777777" w:rsidR="00CD5799" w:rsidRPr="00426080" w:rsidRDefault="00CD5799" w:rsidP="00CC5B7B">
            <w:pPr>
              <w:suppressAutoHyphens w:val="0"/>
              <w:spacing w:before="40" w:after="40" w:line="220" w:lineRule="exact"/>
              <w:ind w:left="57" w:right="57"/>
              <w:rPr>
                <w:bCs/>
              </w:rPr>
            </w:pPr>
            <w:r w:rsidRPr="00426080">
              <w:t>Écart type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838B4" w14:textId="77777777" w:rsidR="00CD5799" w:rsidRPr="00426080" w:rsidRDefault="00CD5799" w:rsidP="00CC5B7B">
            <w:pPr>
              <w:suppressAutoHyphens w:val="0"/>
              <w:spacing w:before="40" w:after="40" w:line="220" w:lineRule="exact"/>
              <w:ind w:left="57" w:right="57"/>
              <w:rPr>
                <w:bCs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43559" w14:textId="77777777" w:rsidR="00CD5799" w:rsidRPr="00426080" w:rsidRDefault="00CD5799" w:rsidP="00CC5B7B">
            <w:pPr>
              <w:suppressAutoHyphens w:val="0"/>
              <w:spacing w:before="40" w:after="40" w:line="220" w:lineRule="exact"/>
              <w:ind w:left="57" w:right="57"/>
              <w:rPr>
                <w:bCs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F56A6" w14:textId="77777777" w:rsidR="00CD5799" w:rsidRPr="00426080" w:rsidRDefault="00CD5799" w:rsidP="00CC5B7B">
            <w:pPr>
              <w:suppressAutoHyphens w:val="0"/>
              <w:spacing w:before="40" w:after="40" w:line="220" w:lineRule="exact"/>
              <w:ind w:left="57" w:right="57"/>
              <w:rPr>
                <w:bCs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BE46F" w14:textId="77777777" w:rsidR="00CD5799" w:rsidRPr="00426080" w:rsidRDefault="00CD5799" w:rsidP="00CC5B7B">
            <w:pPr>
              <w:suppressAutoHyphens w:val="0"/>
              <w:spacing w:before="40" w:after="40" w:line="220" w:lineRule="exact"/>
              <w:ind w:left="57" w:right="57"/>
              <w:rPr>
                <w:bCs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77720" w14:textId="77777777" w:rsidR="00CD5799" w:rsidRPr="00426080" w:rsidRDefault="00CD5799" w:rsidP="00CC5B7B">
            <w:pPr>
              <w:suppressAutoHyphens w:val="0"/>
              <w:spacing w:before="40" w:after="40" w:line="220" w:lineRule="exact"/>
              <w:ind w:left="57" w:right="57"/>
              <w:rPr>
                <w:bCs/>
                <w:szCs w:val="18"/>
              </w:rPr>
            </w:pPr>
          </w:p>
        </w:tc>
      </w:tr>
      <w:tr w:rsidR="00332C9C" w:rsidRPr="00426080" w14:paraId="3774EA27" w14:textId="77777777" w:rsidTr="00332C9C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176DD" w14:textId="77777777" w:rsidR="00CD5799" w:rsidRPr="00426080" w:rsidRDefault="00CD5799" w:rsidP="00CC5B7B">
            <w:pPr>
              <w:suppressAutoHyphens w:val="0"/>
              <w:spacing w:before="40" w:after="40" w:line="220" w:lineRule="exact"/>
              <w:ind w:left="57" w:right="57"/>
              <w:rPr>
                <w:bCs/>
              </w:rPr>
            </w:pPr>
            <w:r w:rsidRPr="00426080">
              <w:t>CV (%)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9EFC0" w14:textId="77777777" w:rsidR="00CD5799" w:rsidRPr="00426080" w:rsidRDefault="00CD5799" w:rsidP="00CC5B7B">
            <w:pPr>
              <w:suppressAutoHyphens w:val="0"/>
              <w:spacing w:before="40" w:after="40" w:line="220" w:lineRule="exact"/>
              <w:ind w:left="57" w:right="57"/>
              <w:rPr>
                <w:bCs/>
                <w:szCs w:val="18"/>
              </w:rPr>
            </w:pPr>
            <w:r w:rsidRPr="00426080">
              <w:t>&lt;6</w:t>
            </w:r>
            <w:r w:rsidR="00332C9C">
              <w:t> </w:t>
            </w:r>
            <w:r w:rsidRPr="00426080"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F6F24" w14:textId="77777777" w:rsidR="00CD5799" w:rsidRPr="00426080" w:rsidRDefault="00CD5799" w:rsidP="00CC5B7B">
            <w:pPr>
              <w:suppressAutoHyphens w:val="0"/>
              <w:spacing w:before="40" w:after="40" w:line="220" w:lineRule="exact"/>
              <w:ind w:left="57" w:right="57"/>
              <w:rPr>
                <w:bCs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7A27A" w14:textId="77777777" w:rsidR="00CD5799" w:rsidRPr="00426080" w:rsidRDefault="00CD5799" w:rsidP="00CC5B7B">
            <w:pPr>
              <w:suppressAutoHyphens w:val="0"/>
              <w:spacing w:before="40" w:after="40" w:line="220" w:lineRule="exact"/>
              <w:ind w:left="57" w:right="57"/>
              <w:rPr>
                <w:bCs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0F976" w14:textId="77777777" w:rsidR="00CD5799" w:rsidRPr="00426080" w:rsidRDefault="00CD5799" w:rsidP="00CC5B7B">
            <w:pPr>
              <w:suppressAutoHyphens w:val="0"/>
              <w:spacing w:before="40" w:after="40" w:line="220" w:lineRule="exact"/>
              <w:ind w:left="57" w:right="57"/>
              <w:rPr>
                <w:bCs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F0739" w14:textId="77777777" w:rsidR="00CD5799" w:rsidRPr="00426080" w:rsidRDefault="00CD5799" w:rsidP="00CC5B7B">
            <w:pPr>
              <w:suppressAutoHyphens w:val="0"/>
              <w:spacing w:before="40" w:after="40" w:line="220" w:lineRule="exact"/>
              <w:ind w:left="57" w:right="57"/>
              <w:rPr>
                <w:bCs/>
                <w:szCs w:val="18"/>
              </w:rPr>
            </w:pPr>
          </w:p>
        </w:tc>
      </w:tr>
      <w:tr w:rsidR="00332C9C" w:rsidRPr="00426080" w14:paraId="1211252C" w14:textId="77777777" w:rsidTr="00332C9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8" w:type="dxa"/>
            <w:shd w:val="clear" w:color="auto" w:fill="auto"/>
          </w:tcPr>
          <w:p w14:paraId="1B47A8D8" w14:textId="77777777" w:rsidR="00CD5799" w:rsidRPr="00CC5B7B" w:rsidRDefault="00CD5799" w:rsidP="00CC5B7B">
            <w:pPr>
              <w:suppressAutoHyphens w:val="0"/>
              <w:spacing w:before="40" w:after="40" w:line="220" w:lineRule="exact"/>
              <w:ind w:left="57" w:right="57"/>
            </w:pPr>
            <w:r w:rsidRPr="00CC5B7B">
              <w:t>Validation SRTT</w:t>
            </w:r>
          </w:p>
        </w:tc>
        <w:tc>
          <w:tcPr>
            <w:tcW w:w="1644" w:type="dxa"/>
            <w:shd w:val="clear" w:color="auto" w:fill="auto"/>
          </w:tcPr>
          <w:p w14:paraId="272535AB" w14:textId="77777777" w:rsidR="00CD5799" w:rsidRPr="00426080" w:rsidRDefault="00CD5799" w:rsidP="00CC5B7B">
            <w:pPr>
              <w:suppressAutoHyphens w:val="0"/>
              <w:spacing w:before="40" w:after="40" w:line="220" w:lineRule="exact"/>
              <w:ind w:left="57" w:right="57"/>
              <w:rPr>
                <w:bCs/>
                <w:szCs w:val="18"/>
              </w:rPr>
            </w:pPr>
            <w:r w:rsidRPr="00426080">
              <w:t>(SRTT) ≤5</w:t>
            </w:r>
            <w:r w:rsidR="00332C9C">
              <w:t> </w:t>
            </w:r>
            <w:r w:rsidRPr="00426080">
              <w:t>%</w:t>
            </w:r>
          </w:p>
        </w:tc>
        <w:tc>
          <w:tcPr>
            <w:tcW w:w="851" w:type="dxa"/>
            <w:tcBorders>
              <w:tl2br w:val="single" w:sz="4" w:space="0" w:color="auto"/>
              <w:tr2bl w:val="single" w:sz="4" w:space="0" w:color="auto"/>
            </w:tcBorders>
          </w:tcPr>
          <w:p w14:paraId="5988BABC" w14:textId="77777777" w:rsidR="00CD5799" w:rsidRPr="00426080" w:rsidRDefault="00CD5799" w:rsidP="00CC5B7B">
            <w:pPr>
              <w:suppressAutoHyphens w:val="0"/>
              <w:spacing w:before="40" w:after="40" w:line="220" w:lineRule="exact"/>
              <w:ind w:left="57" w:right="57"/>
              <w:rPr>
                <w:bCs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6D70A16D" w14:textId="77777777" w:rsidR="00CD5799" w:rsidRPr="00426080" w:rsidRDefault="00CD5799" w:rsidP="00CC5B7B">
            <w:pPr>
              <w:suppressAutoHyphens w:val="0"/>
              <w:spacing w:before="40" w:after="40" w:line="220" w:lineRule="exact"/>
              <w:ind w:left="57" w:right="57"/>
              <w:rPr>
                <w:bCs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14EDB85A" w14:textId="77777777" w:rsidR="00CD5799" w:rsidRPr="00426080" w:rsidRDefault="00CD5799" w:rsidP="00CC5B7B">
            <w:pPr>
              <w:suppressAutoHyphens w:val="0"/>
              <w:spacing w:before="40" w:after="40" w:line="220" w:lineRule="exact"/>
              <w:ind w:left="57" w:right="57"/>
              <w:rPr>
                <w:bCs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7EC621F1" w14:textId="77777777" w:rsidR="00CD5799" w:rsidRPr="00426080" w:rsidRDefault="00CD5799" w:rsidP="00CC5B7B">
            <w:pPr>
              <w:suppressAutoHyphens w:val="0"/>
              <w:spacing w:before="40" w:after="40" w:line="220" w:lineRule="exact"/>
              <w:ind w:left="57" w:right="57"/>
              <w:rPr>
                <w:bCs/>
                <w:szCs w:val="18"/>
              </w:rPr>
            </w:pPr>
          </w:p>
        </w:tc>
      </w:tr>
      <w:tr w:rsidR="00332C9C" w:rsidRPr="00426080" w14:paraId="1DC552DC" w14:textId="77777777" w:rsidTr="00332C9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8" w:type="dxa"/>
            <w:tcBorders>
              <w:bottom w:val="single" w:sz="4" w:space="0" w:color="auto"/>
            </w:tcBorders>
            <w:shd w:val="clear" w:color="auto" w:fill="auto"/>
          </w:tcPr>
          <w:p w14:paraId="36CBBDF6" w14:textId="77777777" w:rsidR="00CD5799" w:rsidRPr="00CC5B7B" w:rsidRDefault="00CD5799" w:rsidP="00CC5B7B">
            <w:pPr>
              <w:suppressAutoHyphens w:val="0"/>
              <w:spacing w:before="40" w:after="40" w:line="220" w:lineRule="exact"/>
              <w:ind w:left="57" w:right="57"/>
            </w:pPr>
            <w:r w:rsidRPr="00CC5B7B">
              <w:t>Moyenne SRTT</w:t>
            </w:r>
          </w:p>
        </w:tc>
        <w:tc>
          <w:tcPr>
            <w:tcW w:w="1644" w:type="dxa"/>
            <w:tcBorders>
              <w:bottom w:val="single" w:sz="4" w:space="0" w:color="auto"/>
            </w:tcBorders>
            <w:shd w:val="clear" w:color="auto" w:fill="auto"/>
          </w:tcPr>
          <w:p w14:paraId="414349F4" w14:textId="77777777" w:rsidR="00CD5799" w:rsidRPr="00426080" w:rsidRDefault="00CD5799" w:rsidP="00CC5B7B">
            <w:pPr>
              <w:suppressAutoHyphens w:val="0"/>
              <w:spacing w:before="40" w:after="40" w:line="220" w:lineRule="exact"/>
              <w:ind w:left="57" w:right="57"/>
              <w:rPr>
                <w:bCs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4D78E956" w14:textId="77777777" w:rsidR="00CD5799" w:rsidRPr="00426080" w:rsidRDefault="00CD5799" w:rsidP="00CC5B7B">
            <w:pPr>
              <w:suppressAutoHyphens w:val="0"/>
              <w:spacing w:before="40" w:after="40" w:line="220" w:lineRule="exact"/>
              <w:ind w:left="57" w:right="57"/>
              <w:rPr>
                <w:bCs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329C5DF6" w14:textId="77777777" w:rsidR="00CD5799" w:rsidRPr="00426080" w:rsidRDefault="00CD5799" w:rsidP="00CC5B7B">
            <w:pPr>
              <w:suppressAutoHyphens w:val="0"/>
              <w:spacing w:before="40" w:after="40" w:line="220" w:lineRule="exact"/>
              <w:ind w:left="57" w:right="57"/>
              <w:rPr>
                <w:bCs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33CD786A" w14:textId="77777777" w:rsidR="00CD5799" w:rsidRPr="00426080" w:rsidRDefault="00CD5799" w:rsidP="00CC5B7B">
            <w:pPr>
              <w:suppressAutoHyphens w:val="0"/>
              <w:spacing w:before="40" w:after="40" w:line="220" w:lineRule="exact"/>
              <w:ind w:left="57" w:right="57"/>
              <w:rPr>
                <w:bCs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6C915060" w14:textId="77777777" w:rsidR="00CD5799" w:rsidRPr="00426080" w:rsidRDefault="00CD5799" w:rsidP="00CC5B7B">
            <w:pPr>
              <w:suppressAutoHyphens w:val="0"/>
              <w:spacing w:before="40" w:after="40" w:line="220" w:lineRule="exact"/>
              <w:ind w:left="57" w:right="57"/>
              <w:rPr>
                <w:bCs/>
                <w:szCs w:val="18"/>
              </w:rPr>
            </w:pPr>
          </w:p>
        </w:tc>
      </w:tr>
      <w:tr w:rsidR="00332C9C" w:rsidRPr="00426080" w14:paraId="467B5E8A" w14:textId="77777777" w:rsidTr="00332C9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8" w:type="dxa"/>
            <w:tcBorders>
              <w:bottom w:val="single" w:sz="12" w:space="0" w:color="auto"/>
            </w:tcBorders>
            <w:shd w:val="clear" w:color="auto" w:fill="auto"/>
          </w:tcPr>
          <w:p w14:paraId="36088FA0" w14:textId="77777777" w:rsidR="00CD5799" w:rsidRPr="00CC5B7B" w:rsidRDefault="00CD5799" w:rsidP="00CC5B7B">
            <w:pPr>
              <w:spacing w:beforeLines="40" w:before="96" w:afterLines="40" w:after="96" w:line="220" w:lineRule="exact"/>
              <w:ind w:left="57" w:right="57"/>
            </w:pPr>
            <w:r w:rsidRPr="00CC5B7B">
              <w:t>Indice neige</w:t>
            </w:r>
          </w:p>
        </w:tc>
        <w:tc>
          <w:tcPr>
            <w:tcW w:w="1644" w:type="dxa"/>
            <w:tcBorders>
              <w:bottom w:val="single" w:sz="12" w:space="0" w:color="auto"/>
            </w:tcBorders>
            <w:shd w:val="clear" w:color="auto" w:fill="auto"/>
          </w:tcPr>
          <w:p w14:paraId="017AAE77" w14:textId="77777777" w:rsidR="00CD5799" w:rsidRPr="00426080" w:rsidRDefault="00CD5799" w:rsidP="00CC5B7B">
            <w:pPr>
              <w:spacing w:beforeLines="40" w:before="96" w:afterLines="40" w:after="96" w:line="220" w:lineRule="exact"/>
              <w:ind w:left="57" w:right="57"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14:paraId="5A83CDB1" w14:textId="77777777" w:rsidR="00CD5799" w:rsidRPr="00426080" w:rsidRDefault="00CD5799" w:rsidP="00CC5B7B">
            <w:pPr>
              <w:spacing w:beforeLines="40" w:before="96" w:afterLines="40" w:after="96" w:line="220" w:lineRule="exact"/>
              <w:ind w:left="57" w:right="57"/>
              <w:jc w:val="center"/>
              <w:rPr>
                <w:strike/>
                <w:sz w:val="18"/>
                <w:szCs w:val="18"/>
              </w:rPr>
            </w:pPr>
            <w:r w:rsidRPr="00426080">
              <w:t>1,00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0D76DD91" w14:textId="77777777" w:rsidR="00CD5799" w:rsidRPr="00426080" w:rsidRDefault="00CD5799" w:rsidP="00CC5B7B">
            <w:pPr>
              <w:spacing w:beforeLines="40" w:before="96" w:afterLines="40" w:after="96" w:line="220" w:lineRule="exact"/>
              <w:ind w:left="57" w:right="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241EAF96" w14:textId="77777777" w:rsidR="00CD5799" w:rsidRPr="00426080" w:rsidRDefault="00CD5799" w:rsidP="00CC5B7B">
            <w:pPr>
              <w:spacing w:beforeLines="40" w:before="96" w:afterLines="40" w:after="96" w:line="220" w:lineRule="exact"/>
              <w:ind w:left="57" w:right="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12" w:space="0" w:color="auto"/>
              <w:tl2br w:val="single" w:sz="4" w:space="0" w:color="auto"/>
              <w:tr2bl w:val="single" w:sz="4" w:space="0" w:color="auto"/>
            </w:tcBorders>
          </w:tcPr>
          <w:p w14:paraId="4842D1E7" w14:textId="77777777" w:rsidR="00CD5799" w:rsidRPr="00426080" w:rsidRDefault="00CD5799" w:rsidP="00CC5B7B">
            <w:pPr>
              <w:spacing w:beforeLines="40" w:before="96" w:afterLines="40" w:after="96" w:line="220" w:lineRule="exact"/>
              <w:ind w:left="57" w:right="57"/>
              <w:jc w:val="center"/>
              <w:rPr>
                <w:bCs/>
                <w:sz w:val="18"/>
                <w:szCs w:val="18"/>
              </w:rPr>
            </w:pPr>
          </w:p>
        </w:tc>
      </w:tr>
    </w:tbl>
    <w:p w14:paraId="05E6A2E3" w14:textId="77777777" w:rsidR="00CD5799" w:rsidRPr="00426080" w:rsidRDefault="00CD5799" w:rsidP="00CD5799">
      <w:pPr>
        <w:pStyle w:val="SingleTxtG"/>
        <w:rPr>
          <w:bCs/>
          <w:color w:val="000000"/>
          <w:sz w:val="18"/>
          <w:szCs w:val="18"/>
        </w:rPr>
      </w:pPr>
      <w:r w:rsidRPr="00426080">
        <w:t>».</w:t>
      </w:r>
    </w:p>
    <w:p w14:paraId="7C038E44" w14:textId="77777777" w:rsidR="00F9573C" w:rsidRPr="00CD5799" w:rsidRDefault="00CD5799" w:rsidP="00CD5799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F9573C" w:rsidRPr="00CD5799" w:rsidSect="005062E5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6BE827" w14:textId="77777777" w:rsidR="002965EA" w:rsidRDefault="002965EA" w:rsidP="00F95C08">
      <w:pPr>
        <w:spacing w:line="240" w:lineRule="auto"/>
      </w:pPr>
    </w:p>
  </w:endnote>
  <w:endnote w:type="continuationSeparator" w:id="0">
    <w:p w14:paraId="68BEB006" w14:textId="77777777" w:rsidR="002965EA" w:rsidRPr="00AC3823" w:rsidRDefault="002965EA" w:rsidP="00AC3823">
      <w:pPr>
        <w:pStyle w:val="Footer"/>
      </w:pPr>
    </w:p>
  </w:endnote>
  <w:endnote w:type="continuationNotice" w:id="1">
    <w:p w14:paraId="540889E1" w14:textId="77777777" w:rsidR="002965EA" w:rsidRDefault="002965E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MaruGothicMPRO">
    <w:charset w:val="80"/>
    <w:family w:val="swiss"/>
    <w:pitch w:val="variable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939DD4" w14:textId="77777777" w:rsidR="005062E5" w:rsidRPr="005062E5" w:rsidRDefault="005062E5" w:rsidP="005062E5">
    <w:pPr>
      <w:pStyle w:val="Footer"/>
      <w:tabs>
        <w:tab w:val="right" w:pos="9638"/>
      </w:tabs>
    </w:pPr>
    <w:r w:rsidRPr="005062E5">
      <w:rPr>
        <w:b/>
        <w:sz w:val="18"/>
      </w:rPr>
      <w:fldChar w:fldCharType="begin"/>
    </w:r>
    <w:r w:rsidRPr="005062E5">
      <w:rPr>
        <w:b/>
        <w:sz w:val="18"/>
      </w:rPr>
      <w:instrText xml:space="preserve"> PAGE  \* MERGEFORMAT </w:instrText>
    </w:r>
    <w:r w:rsidRPr="005062E5">
      <w:rPr>
        <w:b/>
        <w:sz w:val="18"/>
      </w:rPr>
      <w:fldChar w:fldCharType="separate"/>
    </w:r>
    <w:r w:rsidRPr="005062E5">
      <w:rPr>
        <w:b/>
        <w:noProof/>
        <w:sz w:val="18"/>
      </w:rPr>
      <w:t>2</w:t>
    </w:r>
    <w:r w:rsidRPr="005062E5">
      <w:rPr>
        <w:b/>
        <w:sz w:val="18"/>
      </w:rPr>
      <w:fldChar w:fldCharType="end"/>
    </w:r>
    <w:r>
      <w:rPr>
        <w:b/>
        <w:sz w:val="18"/>
      </w:rPr>
      <w:tab/>
    </w:r>
    <w:r>
      <w:t>GE.19-06141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8D1D70" w14:textId="77777777" w:rsidR="005062E5" w:rsidRPr="005062E5" w:rsidRDefault="005062E5" w:rsidP="005062E5">
    <w:pPr>
      <w:pStyle w:val="Footer"/>
      <w:tabs>
        <w:tab w:val="right" w:pos="9638"/>
      </w:tabs>
      <w:rPr>
        <w:b/>
        <w:sz w:val="18"/>
      </w:rPr>
    </w:pPr>
    <w:r>
      <w:t>GE.19-06141</w:t>
    </w:r>
    <w:r>
      <w:tab/>
    </w:r>
    <w:r w:rsidRPr="005062E5">
      <w:rPr>
        <w:b/>
        <w:sz w:val="18"/>
      </w:rPr>
      <w:fldChar w:fldCharType="begin"/>
    </w:r>
    <w:r w:rsidRPr="005062E5">
      <w:rPr>
        <w:b/>
        <w:sz w:val="18"/>
      </w:rPr>
      <w:instrText xml:space="preserve"> PAGE  \* MERGEFORMAT </w:instrText>
    </w:r>
    <w:r w:rsidRPr="005062E5">
      <w:rPr>
        <w:b/>
        <w:sz w:val="18"/>
      </w:rPr>
      <w:fldChar w:fldCharType="separate"/>
    </w:r>
    <w:r w:rsidRPr="005062E5">
      <w:rPr>
        <w:b/>
        <w:noProof/>
        <w:sz w:val="18"/>
      </w:rPr>
      <w:t>3</w:t>
    </w:r>
    <w:r w:rsidRPr="005062E5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8840DE" w14:textId="77777777" w:rsidR="007F20FA" w:rsidRPr="005062E5" w:rsidRDefault="005062E5" w:rsidP="005062E5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05006442" wp14:editId="7B12FA6F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19-</w:t>
    </w:r>
    <w:proofErr w:type="gramStart"/>
    <w:r>
      <w:rPr>
        <w:sz w:val="20"/>
      </w:rPr>
      <w:t>06141  (</w:t>
    </w:r>
    <w:proofErr w:type="gramEnd"/>
    <w:r>
      <w:rPr>
        <w:sz w:val="20"/>
      </w:rPr>
      <w:t>F)    060519    070519</w:t>
    </w:r>
    <w:r>
      <w:rPr>
        <w:sz w:val="20"/>
      </w:rPr>
      <w:br/>
    </w:r>
    <w:r w:rsidRPr="005062E5">
      <w:rPr>
        <w:rFonts w:ascii="C39T30Lfz" w:hAnsi="C39T30Lfz"/>
        <w:sz w:val="56"/>
      </w:rPr>
      <w:t></w:t>
    </w:r>
    <w:r w:rsidRPr="005062E5">
      <w:rPr>
        <w:rFonts w:ascii="C39T30Lfz" w:hAnsi="C39T30Lfz"/>
        <w:sz w:val="56"/>
      </w:rPr>
      <w:t></w:t>
    </w:r>
    <w:r w:rsidRPr="005062E5">
      <w:rPr>
        <w:rFonts w:ascii="C39T30Lfz" w:hAnsi="C39T30Lfz"/>
        <w:sz w:val="56"/>
      </w:rPr>
      <w:t></w:t>
    </w:r>
    <w:r w:rsidRPr="005062E5">
      <w:rPr>
        <w:rFonts w:ascii="C39T30Lfz" w:hAnsi="C39T30Lfz"/>
        <w:sz w:val="56"/>
      </w:rPr>
      <w:t></w:t>
    </w:r>
    <w:r w:rsidRPr="005062E5">
      <w:rPr>
        <w:rFonts w:ascii="C39T30Lfz" w:hAnsi="C39T30Lfz"/>
        <w:sz w:val="56"/>
      </w:rPr>
      <w:t></w:t>
    </w:r>
    <w:r w:rsidRPr="005062E5">
      <w:rPr>
        <w:rFonts w:ascii="C39T30Lfz" w:hAnsi="C39T30Lfz"/>
        <w:sz w:val="56"/>
      </w:rPr>
      <w:t></w:t>
    </w:r>
    <w:r w:rsidRPr="005062E5">
      <w:rPr>
        <w:rFonts w:ascii="C39T30Lfz" w:hAnsi="C39T30Lfz"/>
        <w:sz w:val="56"/>
      </w:rPr>
      <w:t></w:t>
    </w:r>
    <w:r w:rsidRPr="005062E5">
      <w:rPr>
        <w:rFonts w:ascii="C39T30Lfz" w:hAnsi="C39T30Lfz"/>
        <w:sz w:val="56"/>
      </w:rPr>
      <w:t></w:t>
    </w:r>
    <w:r w:rsidRPr="005062E5">
      <w:rPr>
        <w:rFonts w:ascii="C39T30Lfz" w:hAnsi="C39T30Lfz"/>
        <w:sz w:val="56"/>
      </w:rPr>
      <w:t></w:t>
    </w:r>
    <w:r>
      <w:rPr>
        <w:noProof/>
        <w:sz w:val="20"/>
      </w:rPr>
      <w:drawing>
        <wp:anchor distT="0" distB="0" distL="114300" distR="114300" simplePos="0" relativeHeight="251658240" behindDoc="0" locked="0" layoutInCell="1" allowOverlap="1" wp14:anchorId="221E78F3" wp14:editId="0612C93D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ECE/TRANS/WP.29/2019/54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2019/54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5E8EE8" w14:textId="77777777" w:rsidR="002965EA" w:rsidRPr="00AC3823" w:rsidRDefault="002965EA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E529606" w14:textId="77777777" w:rsidR="002965EA" w:rsidRPr="00AC3823" w:rsidRDefault="002965EA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24D85FEA" w14:textId="77777777" w:rsidR="002965EA" w:rsidRPr="00AC3823" w:rsidRDefault="002965EA">
      <w:pPr>
        <w:spacing w:line="240" w:lineRule="auto"/>
        <w:rPr>
          <w:sz w:val="2"/>
          <w:szCs w:val="2"/>
        </w:rPr>
      </w:pPr>
    </w:p>
  </w:footnote>
  <w:footnote w:id="2">
    <w:p w14:paraId="19BEDD2A" w14:textId="77777777" w:rsidR="00CD5799" w:rsidRPr="00CD5799" w:rsidRDefault="00CD5799" w:rsidP="00CD5799">
      <w:pPr>
        <w:pStyle w:val="FootnoteText"/>
        <w:rPr>
          <w:spacing w:val="-1"/>
        </w:rPr>
      </w:pPr>
      <w:r w:rsidRPr="00CD5799">
        <w:rPr>
          <w:sz w:val="20"/>
        </w:rPr>
        <w:tab/>
        <w:t>*</w:t>
      </w:r>
      <w:r w:rsidRPr="00CD5799">
        <w:rPr>
          <w:sz w:val="20"/>
        </w:rPr>
        <w:tab/>
      </w:r>
      <w:r w:rsidRPr="00CD5799">
        <w:rPr>
          <w:spacing w:val="-1"/>
        </w:rPr>
        <w:t>Conformément au programme de travail du Comité des transports intérieurs pour la période 2018-2019 (ECE/TRANS/274, par.</w:t>
      </w:r>
      <w:r>
        <w:rPr>
          <w:spacing w:val="-1"/>
        </w:rPr>
        <w:t> </w:t>
      </w:r>
      <w:r w:rsidRPr="00CD5799">
        <w:rPr>
          <w:spacing w:val="-1"/>
        </w:rPr>
        <w:t>123, et ECE/TRANS/2018/21/Add.1, module 3.1), le Forum mondial a pour mission d’élaborer, d’harmoniser et de mettre à jour les Règlements ONU en vue d’améliorer les caractéristiques fonctionnelles des véhicules. Le présent document est soumis en vertu de ce mandat.</w:t>
      </w:r>
    </w:p>
  </w:footnote>
  <w:footnote w:id="3">
    <w:p w14:paraId="4A3749FB" w14:textId="77777777" w:rsidR="00CD5799" w:rsidRPr="00E24049" w:rsidRDefault="00CD5799" w:rsidP="00CD5799">
      <w:pPr>
        <w:pStyle w:val="FootnoteText"/>
      </w:pPr>
      <w:r w:rsidRPr="00622BD7">
        <w:tab/>
      </w:r>
      <w:r w:rsidRPr="00426080">
        <w:rPr>
          <w:rStyle w:val="FootnoteReference"/>
        </w:rPr>
        <w:footnoteRef/>
      </w:r>
      <w:r>
        <w:tab/>
        <w:t>Biffer la mention inutile.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414AE3" w14:textId="45725785" w:rsidR="005062E5" w:rsidRPr="005062E5" w:rsidRDefault="00935657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ECE/TRANS/WP.29/2019/54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E3F766" w14:textId="2F89F1BC" w:rsidR="005062E5" w:rsidRPr="005062E5" w:rsidRDefault="00935657" w:rsidP="005062E5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ECE/TRANS/WP.29/2019/54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5EA"/>
    <w:rsid w:val="00017F94"/>
    <w:rsid w:val="00023842"/>
    <w:rsid w:val="000334F9"/>
    <w:rsid w:val="00045FEB"/>
    <w:rsid w:val="0007796D"/>
    <w:rsid w:val="0008454A"/>
    <w:rsid w:val="000B7790"/>
    <w:rsid w:val="00111F2F"/>
    <w:rsid w:val="0014365E"/>
    <w:rsid w:val="00143C66"/>
    <w:rsid w:val="00176178"/>
    <w:rsid w:val="001F525A"/>
    <w:rsid w:val="00223272"/>
    <w:rsid w:val="0024487A"/>
    <w:rsid w:val="0024779E"/>
    <w:rsid w:val="00257168"/>
    <w:rsid w:val="002744B8"/>
    <w:rsid w:val="002832AC"/>
    <w:rsid w:val="002965EA"/>
    <w:rsid w:val="002D7C93"/>
    <w:rsid w:val="00305801"/>
    <w:rsid w:val="00332C9C"/>
    <w:rsid w:val="00362E82"/>
    <w:rsid w:val="003916DE"/>
    <w:rsid w:val="003E0DB9"/>
    <w:rsid w:val="00412433"/>
    <w:rsid w:val="00421996"/>
    <w:rsid w:val="00441C3B"/>
    <w:rsid w:val="00446FE5"/>
    <w:rsid w:val="00452396"/>
    <w:rsid w:val="004837D8"/>
    <w:rsid w:val="004E2EED"/>
    <w:rsid w:val="004E468C"/>
    <w:rsid w:val="005062E5"/>
    <w:rsid w:val="005505B7"/>
    <w:rsid w:val="00573BE5"/>
    <w:rsid w:val="00586ED3"/>
    <w:rsid w:val="00596AA9"/>
    <w:rsid w:val="0071601D"/>
    <w:rsid w:val="007A62E6"/>
    <w:rsid w:val="007E19A2"/>
    <w:rsid w:val="007F20FA"/>
    <w:rsid w:val="0080684C"/>
    <w:rsid w:val="00871C75"/>
    <w:rsid w:val="008776DC"/>
    <w:rsid w:val="00935657"/>
    <w:rsid w:val="009446C0"/>
    <w:rsid w:val="009705C8"/>
    <w:rsid w:val="009C1CF4"/>
    <w:rsid w:val="009F6B74"/>
    <w:rsid w:val="00A3029F"/>
    <w:rsid w:val="00A30353"/>
    <w:rsid w:val="00AC3823"/>
    <w:rsid w:val="00AE323C"/>
    <w:rsid w:val="00AF0CB5"/>
    <w:rsid w:val="00B00181"/>
    <w:rsid w:val="00B00B0D"/>
    <w:rsid w:val="00B45F2E"/>
    <w:rsid w:val="00B765F7"/>
    <w:rsid w:val="00BA0CA9"/>
    <w:rsid w:val="00C02897"/>
    <w:rsid w:val="00C97039"/>
    <w:rsid w:val="00CC5B7B"/>
    <w:rsid w:val="00CD5799"/>
    <w:rsid w:val="00D3439C"/>
    <w:rsid w:val="00D96FAA"/>
    <w:rsid w:val="00DB1831"/>
    <w:rsid w:val="00DD3BFD"/>
    <w:rsid w:val="00DF6678"/>
    <w:rsid w:val="00E0299A"/>
    <w:rsid w:val="00E85C74"/>
    <w:rsid w:val="00EA6547"/>
    <w:rsid w:val="00EF2E22"/>
    <w:rsid w:val="00F3208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C31E85B"/>
  <w15:docId w15:val="{CFED1191-8576-4541-888B-5BE377A67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E0299A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E0299A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0299A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,(Footnote Reference),-E Fußnotenzeichen,BVI fnr, BVI fnr,Footnote symbol,Footnote,Footnote Reference Superscript,SUPERS,Fußnotenzeichen"/>
    <w:basedOn w:val="DefaultParagraphFon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E0299A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E0299A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E0299A"/>
  </w:style>
  <w:style w:type="character" w:customStyle="1" w:styleId="EndnoteTextChar">
    <w:name w:val="Endnote Text Char"/>
    <w:aliases w:val="2_G Char"/>
    <w:basedOn w:val="DefaultParagraphFont"/>
    <w:link w:val="End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qFormat/>
    <w:rsid w:val="00CD5799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ChGChar">
    <w:name w:val="_ H _Ch_G Char"/>
    <w:link w:val="HChG"/>
    <w:rsid w:val="00CD5799"/>
    <w:rPr>
      <w:rFonts w:ascii="Times New Roman" w:eastAsiaTheme="minorHAnsi" w:hAnsi="Times New Roman" w:cs="Times New Roman"/>
      <w:b/>
      <w:sz w:val="28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gif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1054</Words>
  <Characters>6009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ECE/TRANS/WP.29/2019/54</vt:lpstr>
      <vt:lpstr>ECE/TRANS/WP.29/2019/54</vt:lpstr>
    </vt:vector>
  </TitlesOfParts>
  <Company>DCM</Company>
  <LinksUpToDate>false</LinksUpToDate>
  <CharactersWithSpaces>7049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ECE/TRANS/WP.29/2019/54</dc:title>
  <dc:subject/>
  <dc:creator>Nicolas MORIN</dc:creator>
  <cp:keywords/>
  <cp:lastModifiedBy>Marie-Claude Collet</cp:lastModifiedBy>
  <cp:revision>3</cp:revision>
  <cp:lastPrinted>2019-05-08T09:45:00Z</cp:lastPrinted>
  <dcterms:created xsi:type="dcterms:W3CDTF">2019-05-08T09:45:00Z</dcterms:created>
  <dcterms:modified xsi:type="dcterms:W3CDTF">2019-05-08T09:45:00Z</dcterms:modified>
</cp:coreProperties>
</file>