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F2C88" w14:paraId="03151233" w14:textId="77777777" w:rsidTr="00C97039">
        <w:trPr>
          <w:trHeight w:hRule="exact" w:val="851"/>
        </w:trPr>
        <w:tc>
          <w:tcPr>
            <w:tcW w:w="1276" w:type="dxa"/>
            <w:tcBorders>
              <w:bottom w:val="single" w:sz="4" w:space="0" w:color="auto"/>
            </w:tcBorders>
          </w:tcPr>
          <w:p w14:paraId="13401E1C" w14:textId="77777777" w:rsidR="00F35BAF" w:rsidRPr="009F2C88" w:rsidRDefault="00F35BAF" w:rsidP="00252498">
            <w:bookmarkStart w:id="0" w:name="_GoBack"/>
            <w:bookmarkEnd w:id="0"/>
          </w:p>
        </w:tc>
        <w:tc>
          <w:tcPr>
            <w:tcW w:w="2268" w:type="dxa"/>
            <w:tcBorders>
              <w:bottom w:val="single" w:sz="4" w:space="0" w:color="auto"/>
            </w:tcBorders>
            <w:vAlign w:val="bottom"/>
          </w:tcPr>
          <w:p w14:paraId="1DCFDB6C" w14:textId="77777777" w:rsidR="00F35BAF" w:rsidRPr="009F2C88" w:rsidRDefault="00F35BAF" w:rsidP="00C97039">
            <w:pPr>
              <w:spacing w:after="80" w:line="300" w:lineRule="exact"/>
              <w:rPr>
                <w:sz w:val="28"/>
              </w:rPr>
            </w:pPr>
            <w:r w:rsidRPr="009F2C88">
              <w:rPr>
                <w:sz w:val="28"/>
              </w:rPr>
              <w:t>Nations Unies</w:t>
            </w:r>
          </w:p>
        </w:tc>
        <w:tc>
          <w:tcPr>
            <w:tcW w:w="6095" w:type="dxa"/>
            <w:gridSpan w:val="2"/>
            <w:tcBorders>
              <w:bottom w:val="single" w:sz="4" w:space="0" w:color="auto"/>
            </w:tcBorders>
            <w:vAlign w:val="bottom"/>
          </w:tcPr>
          <w:p w14:paraId="4A2185C1" w14:textId="77777777" w:rsidR="00F35BAF" w:rsidRPr="009F2C88" w:rsidRDefault="00252498" w:rsidP="00252498">
            <w:pPr>
              <w:jc w:val="right"/>
            </w:pPr>
            <w:r w:rsidRPr="009F2C88">
              <w:rPr>
                <w:sz w:val="40"/>
              </w:rPr>
              <w:t>ECE</w:t>
            </w:r>
            <w:r w:rsidRPr="009F2C88">
              <w:t>/TRANS/WP.29/2019/50</w:t>
            </w:r>
          </w:p>
        </w:tc>
      </w:tr>
      <w:tr w:rsidR="00F35BAF" w:rsidRPr="009F2C88" w14:paraId="01B7BCE2" w14:textId="77777777" w:rsidTr="00C97039">
        <w:trPr>
          <w:trHeight w:hRule="exact" w:val="2835"/>
        </w:trPr>
        <w:tc>
          <w:tcPr>
            <w:tcW w:w="1276" w:type="dxa"/>
            <w:tcBorders>
              <w:top w:val="single" w:sz="4" w:space="0" w:color="auto"/>
              <w:bottom w:val="single" w:sz="12" w:space="0" w:color="auto"/>
            </w:tcBorders>
          </w:tcPr>
          <w:p w14:paraId="5A67D87C" w14:textId="77777777" w:rsidR="00F35BAF" w:rsidRPr="009F2C88" w:rsidRDefault="00F35BAF" w:rsidP="00C97039">
            <w:pPr>
              <w:spacing w:before="120"/>
              <w:jc w:val="center"/>
            </w:pPr>
            <w:r w:rsidRPr="009F2C88">
              <w:rPr>
                <w:noProof/>
                <w:lang w:eastAsia="fr-CH"/>
              </w:rPr>
              <w:drawing>
                <wp:inline distT="0" distB="0" distL="0" distR="0" wp14:anchorId="7E22E27C" wp14:editId="1B57AC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E90276" w14:textId="77777777" w:rsidR="00F35BAF" w:rsidRPr="009F2C88" w:rsidRDefault="00F35BAF" w:rsidP="00C97039">
            <w:pPr>
              <w:spacing w:before="120" w:line="420" w:lineRule="exact"/>
              <w:rPr>
                <w:b/>
                <w:sz w:val="40"/>
                <w:szCs w:val="40"/>
              </w:rPr>
            </w:pPr>
            <w:r w:rsidRPr="009F2C88">
              <w:rPr>
                <w:b/>
                <w:sz w:val="40"/>
                <w:szCs w:val="40"/>
              </w:rPr>
              <w:t>Conseil économique et social</w:t>
            </w:r>
          </w:p>
        </w:tc>
        <w:tc>
          <w:tcPr>
            <w:tcW w:w="2835" w:type="dxa"/>
            <w:tcBorders>
              <w:top w:val="single" w:sz="4" w:space="0" w:color="auto"/>
              <w:bottom w:val="single" w:sz="12" w:space="0" w:color="auto"/>
            </w:tcBorders>
          </w:tcPr>
          <w:p w14:paraId="72104B8C" w14:textId="77777777" w:rsidR="00F35BAF" w:rsidRPr="009F2C88" w:rsidRDefault="00252498" w:rsidP="00C97039">
            <w:pPr>
              <w:spacing w:before="240"/>
            </w:pPr>
            <w:r w:rsidRPr="009F2C88">
              <w:t xml:space="preserve">Distr. </w:t>
            </w:r>
            <w:proofErr w:type="gramStart"/>
            <w:r w:rsidRPr="009F2C88">
              <w:t>générale</w:t>
            </w:r>
            <w:proofErr w:type="gramEnd"/>
          </w:p>
          <w:p w14:paraId="762F1C2A" w14:textId="77777777" w:rsidR="00252498" w:rsidRPr="009F2C88" w:rsidRDefault="00252498" w:rsidP="00252498">
            <w:pPr>
              <w:spacing w:line="240" w:lineRule="exact"/>
            </w:pPr>
            <w:r w:rsidRPr="009F2C88">
              <w:t>12 avril 2019</w:t>
            </w:r>
          </w:p>
          <w:p w14:paraId="08585D17" w14:textId="77777777" w:rsidR="00252498" w:rsidRPr="009F2C88" w:rsidRDefault="00252498" w:rsidP="00252498">
            <w:pPr>
              <w:spacing w:line="240" w:lineRule="exact"/>
            </w:pPr>
            <w:r w:rsidRPr="009F2C88">
              <w:t>Français</w:t>
            </w:r>
          </w:p>
          <w:p w14:paraId="40F7E923" w14:textId="77777777" w:rsidR="00252498" w:rsidRPr="009F2C88" w:rsidRDefault="00252498" w:rsidP="00252498">
            <w:pPr>
              <w:spacing w:line="240" w:lineRule="exact"/>
            </w:pPr>
            <w:r w:rsidRPr="009F2C88">
              <w:t>Original</w:t>
            </w:r>
            <w:r w:rsidR="008442B4" w:rsidRPr="009F2C88">
              <w:t> :</w:t>
            </w:r>
            <w:r w:rsidRPr="009F2C88">
              <w:t xml:space="preserve"> anglais</w:t>
            </w:r>
          </w:p>
        </w:tc>
      </w:tr>
    </w:tbl>
    <w:p w14:paraId="00D5E36D" w14:textId="77777777" w:rsidR="007F20FA" w:rsidRPr="009F2C88" w:rsidRDefault="007F20FA" w:rsidP="007F20FA">
      <w:pPr>
        <w:spacing w:before="120"/>
        <w:rPr>
          <w:b/>
          <w:sz w:val="28"/>
          <w:szCs w:val="28"/>
        </w:rPr>
      </w:pPr>
      <w:r w:rsidRPr="009F2C88">
        <w:rPr>
          <w:b/>
          <w:sz w:val="28"/>
          <w:szCs w:val="28"/>
        </w:rPr>
        <w:t>Commission économique pour l’Europe</w:t>
      </w:r>
    </w:p>
    <w:p w14:paraId="28827E5B" w14:textId="77777777" w:rsidR="007F20FA" w:rsidRPr="009F2C88" w:rsidRDefault="007F20FA" w:rsidP="007F20FA">
      <w:pPr>
        <w:spacing w:before="120"/>
        <w:rPr>
          <w:sz w:val="28"/>
          <w:szCs w:val="28"/>
        </w:rPr>
      </w:pPr>
      <w:r w:rsidRPr="009F2C88">
        <w:rPr>
          <w:sz w:val="28"/>
          <w:szCs w:val="28"/>
        </w:rPr>
        <w:t>Comité des transports intérieurs</w:t>
      </w:r>
    </w:p>
    <w:p w14:paraId="3136248C" w14:textId="77777777" w:rsidR="008442B4" w:rsidRPr="009F2C88" w:rsidRDefault="008442B4" w:rsidP="008442B4">
      <w:pPr>
        <w:spacing w:before="120"/>
        <w:rPr>
          <w:b/>
          <w:sz w:val="24"/>
          <w:szCs w:val="24"/>
        </w:rPr>
      </w:pPr>
      <w:r w:rsidRPr="009F2C88">
        <w:rPr>
          <w:b/>
          <w:sz w:val="24"/>
          <w:szCs w:val="24"/>
        </w:rPr>
        <w:t>Forum mondial de l’harmonisation</w:t>
      </w:r>
      <w:r w:rsidRPr="009F2C88">
        <w:rPr>
          <w:b/>
          <w:sz w:val="24"/>
          <w:szCs w:val="24"/>
        </w:rPr>
        <w:br/>
        <w:t>des Règlements concernant les véhicules</w:t>
      </w:r>
    </w:p>
    <w:p w14:paraId="0524DE1A" w14:textId="77777777" w:rsidR="008442B4" w:rsidRPr="009F2C88" w:rsidRDefault="008442B4" w:rsidP="008442B4">
      <w:pPr>
        <w:spacing w:before="120"/>
        <w:jc w:val="both"/>
        <w:rPr>
          <w:b/>
          <w:szCs w:val="24"/>
        </w:rPr>
      </w:pPr>
      <w:r w:rsidRPr="009F2C88">
        <w:rPr>
          <w:b/>
          <w:bCs/>
          <w:szCs w:val="24"/>
        </w:rPr>
        <w:t>178</w:t>
      </w:r>
      <w:r w:rsidRPr="009F2C88">
        <w:rPr>
          <w:b/>
          <w:bCs/>
          <w:szCs w:val="24"/>
          <w:vertAlign w:val="superscript"/>
        </w:rPr>
        <w:t>e</w:t>
      </w:r>
      <w:r w:rsidRPr="009F2C88">
        <w:rPr>
          <w:b/>
          <w:bCs/>
          <w:szCs w:val="24"/>
        </w:rPr>
        <w:t xml:space="preserve"> session</w:t>
      </w:r>
    </w:p>
    <w:p w14:paraId="72692EFF" w14:textId="77777777" w:rsidR="008442B4" w:rsidRPr="009F2C88" w:rsidRDefault="008442B4" w:rsidP="008442B4">
      <w:pPr>
        <w:spacing w:line="0" w:lineRule="atLeast"/>
        <w:rPr>
          <w:szCs w:val="24"/>
        </w:rPr>
      </w:pPr>
      <w:r w:rsidRPr="009F2C88">
        <w:rPr>
          <w:szCs w:val="24"/>
        </w:rPr>
        <w:t>Genève, 25-28 juin 2019</w:t>
      </w:r>
    </w:p>
    <w:p w14:paraId="483CE0E3" w14:textId="77777777" w:rsidR="008442B4" w:rsidRPr="009F2C88" w:rsidRDefault="008442B4" w:rsidP="008442B4">
      <w:pPr>
        <w:jc w:val="both"/>
        <w:rPr>
          <w:szCs w:val="24"/>
        </w:rPr>
      </w:pPr>
      <w:r w:rsidRPr="009F2C88">
        <w:rPr>
          <w:szCs w:val="24"/>
        </w:rPr>
        <w:t>Point 4.9.1 de l’ordre du jour provisoire</w:t>
      </w:r>
    </w:p>
    <w:p w14:paraId="628C4A71" w14:textId="77777777" w:rsidR="008442B4" w:rsidRPr="009F2C88" w:rsidRDefault="008442B4" w:rsidP="008442B4">
      <w:pPr>
        <w:rPr>
          <w:b/>
          <w:bCs/>
          <w:szCs w:val="24"/>
        </w:rPr>
      </w:pPr>
      <w:r w:rsidRPr="009F2C88">
        <w:rPr>
          <w:b/>
          <w:bCs/>
          <w:szCs w:val="24"/>
        </w:rPr>
        <w:t xml:space="preserve">Accord de 1958 : Examen de projets d’amendements </w:t>
      </w:r>
      <w:r w:rsidRPr="009F2C88">
        <w:rPr>
          <w:b/>
          <w:bCs/>
          <w:szCs w:val="24"/>
        </w:rPr>
        <w:br/>
        <w:t>à des Règlements ONU existants, soumis par le GRB</w:t>
      </w:r>
    </w:p>
    <w:p w14:paraId="3B10B30F" w14:textId="77777777" w:rsidR="008442B4" w:rsidRPr="009F2C88" w:rsidRDefault="008442B4" w:rsidP="008442B4">
      <w:pPr>
        <w:pStyle w:val="HChG"/>
      </w:pPr>
      <w:r w:rsidRPr="009F2C88">
        <w:tab/>
      </w:r>
      <w:r w:rsidRPr="009F2C88">
        <w:tab/>
        <w:t>Proposition de complément 21 à la série 02 d’amendements au Règlement ONU n</w:t>
      </w:r>
      <w:r w:rsidRPr="009F2C88">
        <w:rPr>
          <w:vertAlign w:val="superscript"/>
        </w:rPr>
        <w:t>o</w:t>
      </w:r>
      <w:r w:rsidRPr="009F2C88">
        <w:t> 30 (Pneumatiques pour voitures particulières et leurs remorques)</w:t>
      </w:r>
    </w:p>
    <w:p w14:paraId="0AB21068" w14:textId="77777777" w:rsidR="008442B4" w:rsidRPr="009F2C88" w:rsidRDefault="008442B4" w:rsidP="008442B4">
      <w:pPr>
        <w:pStyle w:val="H1G"/>
      </w:pPr>
      <w:r w:rsidRPr="009F2C88">
        <w:tab/>
      </w:r>
      <w:r w:rsidRPr="009F2C88">
        <w:tab/>
        <w:t>Communication du Groupe de travail du bruit</w:t>
      </w:r>
      <w:r w:rsidRPr="009F2C88">
        <w:rPr>
          <w:b w:val="0"/>
          <w:sz w:val="20"/>
        </w:rPr>
        <w:footnoteReference w:customMarkFollows="1" w:id="2"/>
        <w:t>*</w:t>
      </w:r>
    </w:p>
    <w:p w14:paraId="6C2C23F8" w14:textId="77777777" w:rsidR="008442B4" w:rsidRPr="009F2C88" w:rsidRDefault="008442B4" w:rsidP="008442B4">
      <w:pPr>
        <w:pStyle w:val="SingleTxtG"/>
        <w:ind w:firstLine="567"/>
        <w:rPr>
          <w:szCs w:val="24"/>
        </w:rPr>
      </w:pPr>
      <w:r w:rsidRPr="009F2C88">
        <w:rPr>
          <w:szCs w:val="24"/>
        </w:rPr>
        <w:t>Le texte reproduit ci-après a été adopté par le Groupe de travail du bruit (GRB) à sa soixante-neuvième session (ECE/TRANS/WP.29/GRB/67, par. 16 et 17). Il a été établi sur la base des documents ECE/TRANS/WP.29/GRVA/2018/6 et ECE/TRANS/WP.29/GRB/ 2019/5 et de l’annexe III du rapport. Il est soumis au Forum mondial de l’harmonisation des Règlements concernant les véhicules (WP.29) et au Comité d’administration de l’Accord de 1958 (AC.1) pour examen à leurs sessions de juin 2019.</w:t>
      </w:r>
      <w:bookmarkStart w:id="1" w:name="_Hlk5811138"/>
      <w:bookmarkEnd w:id="1"/>
    </w:p>
    <w:p w14:paraId="746CD827" w14:textId="77777777" w:rsidR="008442B4" w:rsidRPr="009F2C88" w:rsidRDefault="008442B4" w:rsidP="008442B4">
      <w:pPr>
        <w:pStyle w:val="HChG"/>
      </w:pPr>
      <w:r w:rsidRPr="009F2C88">
        <w:rPr>
          <w:szCs w:val="24"/>
        </w:rPr>
        <w:br w:type="page"/>
      </w:r>
      <w:r w:rsidRPr="009F2C88">
        <w:lastRenderedPageBreak/>
        <w:tab/>
      </w:r>
      <w:r w:rsidRPr="009F2C88">
        <w:tab/>
        <w:t>Complément 21 à la série 02 d’amendements au Règlement ONU n</w:t>
      </w:r>
      <w:r w:rsidRPr="009F2C88">
        <w:rPr>
          <w:vertAlign w:val="superscript"/>
        </w:rPr>
        <w:t>o</w:t>
      </w:r>
      <w:r w:rsidRPr="009F2C88">
        <w:t> 30 (Pneumatiques pour voitures particulières et leurs remorques)</w:t>
      </w:r>
    </w:p>
    <w:p w14:paraId="0EAD4223" w14:textId="77777777" w:rsidR="008442B4" w:rsidRPr="009F2C88" w:rsidRDefault="008442B4" w:rsidP="008442B4">
      <w:pPr>
        <w:pStyle w:val="SingleTxtG"/>
      </w:pPr>
      <w:r w:rsidRPr="009F2C88">
        <w:rPr>
          <w:i/>
        </w:rPr>
        <w:t>Paragraphe 2.1</w:t>
      </w:r>
      <w:r w:rsidRPr="009F2C88">
        <w:t>, lire :</w:t>
      </w:r>
    </w:p>
    <w:p w14:paraId="27CEF6D5" w14:textId="77777777" w:rsidR="008442B4" w:rsidRPr="009F2C88" w:rsidRDefault="008442B4" w:rsidP="008442B4">
      <w:pPr>
        <w:pStyle w:val="SingleTxtG"/>
        <w:ind w:left="2268" w:hanging="1134"/>
      </w:pPr>
      <w:r w:rsidRPr="009F2C88">
        <w:t>« 2.1</w:t>
      </w:r>
      <w:r w:rsidRPr="009F2C88">
        <w:tab/>
        <w:t>“</w:t>
      </w:r>
      <w:r w:rsidRPr="005958C2">
        <w:rPr>
          <w:i/>
        </w:rPr>
        <w:t>Type de pneumatique</w:t>
      </w:r>
      <w:r w:rsidRPr="009F2C88">
        <w:t>”, des pneumatiques ne présentant pas entre eux de différences en ce qui concerne des éléments essentiels, tels que :</w:t>
      </w:r>
    </w:p>
    <w:p w14:paraId="49E0131C" w14:textId="77777777" w:rsidR="008442B4" w:rsidRPr="009F2C88" w:rsidRDefault="008442B4" w:rsidP="008442B4">
      <w:pPr>
        <w:pStyle w:val="SingleTxtG"/>
        <w:ind w:left="2268"/>
      </w:pPr>
      <w:r w:rsidRPr="009F2C88">
        <w:t>…</w:t>
      </w:r>
    </w:p>
    <w:p w14:paraId="3449E8D2" w14:textId="77777777" w:rsidR="008442B4" w:rsidRPr="009F2C88" w:rsidRDefault="008442B4" w:rsidP="008442B4">
      <w:pPr>
        <w:pStyle w:val="SingleTxtG"/>
        <w:ind w:left="2268"/>
      </w:pPr>
      <w:r w:rsidRPr="009F2C88">
        <w:t>d)</w:t>
      </w:r>
      <w:r w:rsidRPr="009F2C88">
        <w:tab/>
        <w:t>La structure (diagonale, ceinturée croisée, radiale, pour roulage à plat) ; ».</w:t>
      </w:r>
    </w:p>
    <w:p w14:paraId="12759D5A" w14:textId="77777777" w:rsidR="008442B4" w:rsidRPr="009F2C88" w:rsidRDefault="008442B4" w:rsidP="00706F88">
      <w:pPr>
        <w:pStyle w:val="SingleTxtG"/>
      </w:pPr>
      <w:r w:rsidRPr="009F2C88">
        <w:rPr>
          <w:i/>
        </w:rPr>
        <w:t>Les paragraphes 2.8 à 2.8.2</w:t>
      </w:r>
      <w:r w:rsidRPr="009F2C88">
        <w:t xml:space="preserve"> deviennent les paragraphes 2.9 à 2.9.2.</w:t>
      </w:r>
    </w:p>
    <w:p w14:paraId="45225019" w14:textId="77777777" w:rsidR="008442B4" w:rsidRPr="009F2C88" w:rsidRDefault="008442B4" w:rsidP="00706F88">
      <w:pPr>
        <w:pStyle w:val="SingleTxtG"/>
      </w:pPr>
      <w:r w:rsidRPr="009F2C88">
        <w:rPr>
          <w:i/>
        </w:rPr>
        <w:t>Le paragraphe 2.8.3</w:t>
      </w:r>
      <w:r w:rsidRPr="009F2C88">
        <w:t xml:space="preserve"> devient le paragraphe 2.9.3 et est modifié comme suit :</w:t>
      </w:r>
    </w:p>
    <w:p w14:paraId="5067B715" w14:textId="77777777" w:rsidR="008442B4" w:rsidRPr="009F2C88" w:rsidRDefault="008442B4" w:rsidP="008442B4">
      <w:pPr>
        <w:pStyle w:val="SingleTxtG"/>
        <w:ind w:left="2268" w:hanging="1134"/>
      </w:pPr>
      <w:r w:rsidRPr="009F2C88">
        <w:t>« 2.9.3</w:t>
      </w:r>
      <w:r w:rsidRPr="009F2C88">
        <w:tab/>
        <w:t>“</w:t>
      </w:r>
      <w:r w:rsidRPr="005958C2">
        <w:rPr>
          <w:i/>
        </w:rPr>
        <w:t>Radial</w:t>
      </w:r>
      <w:r w:rsidRPr="009F2C88">
        <w:t>”, ou “</w:t>
      </w:r>
      <w:r w:rsidRPr="005958C2">
        <w:rPr>
          <w:i/>
        </w:rPr>
        <w:t>à structure radiale</w:t>
      </w:r>
      <w:r w:rsidRPr="009F2C88">
        <w:t>”, un pneumatique dont les câblés des plis s’étendent jusqu’aux talons et sont orientés de façon à former un angle sensiblement égal à 90° par rapport à la ligne médiane de la bande de roulement et dont la carcasse est stabilisée par une ceinture circonférentielle essentiellement inextensible ; ».</w:t>
      </w:r>
    </w:p>
    <w:p w14:paraId="35E77EF7" w14:textId="77777777" w:rsidR="008442B4" w:rsidRPr="009F2C88" w:rsidRDefault="008442B4" w:rsidP="00706F88">
      <w:pPr>
        <w:pStyle w:val="SingleTxtG"/>
      </w:pPr>
      <w:r w:rsidRPr="009F2C88">
        <w:rPr>
          <w:i/>
        </w:rPr>
        <w:t>Le paragraphe 2.8.4</w:t>
      </w:r>
      <w:r w:rsidRPr="009F2C88">
        <w:t xml:space="preserve"> devient le paragraphe 2.10. Supprimer </w:t>
      </w:r>
      <w:r w:rsidR="00706F88" w:rsidRPr="009F2C88">
        <w:t>“</w:t>
      </w:r>
      <w:r w:rsidRPr="009F2C88">
        <w:t>structure</w:t>
      </w:r>
      <w:r w:rsidR="00706F88" w:rsidRPr="009F2C88">
        <w:t>”</w:t>
      </w:r>
      <w:r w:rsidRPr="009F2C88">
        <w:t>.</w:t>
      </w:r>
    </w:p>
    <w:p w14:paraId="0CFE9782" w14:textId="77777777" w:rsidR="008442B4" w:rsidRPr="009F2C88" w:rsidRDefault="008442B4" w:rsidP="00706F88">
      <w:pPr>
        <w:pStyle w:val="SingleTxtG"/>
      </w:pPr>
      <w:r w:rsidRPr="009F2C88">
        <w:rPr>
          <w:i/>
        </w:rPr>
        <w:t>Le paragraphe 2.8.5</w:t>
      </w:r>
      <w:r w:rsidRPr="009F2C88">
        <w:t xml:space="preserve"> devient le paragraphe 2.8.</w:t>
      </w:r>
    </w:p>
    <w:p w14:paraId="1E071E89" w14:textId="77777777" w:rsidR="008442B4" w:rsidRPr="009F2C88" w:rsidRDefault="008442B4" w:rsidP="00706F88">
      <w:pPr>
        <w:pStyle w:val="SingleTxtG"/>
      </w:pPr>
      <w:r w:rsidRPr="009F2C88">
        <w:rPr>
          <w:i/>
        </w:rPr>
        <w:t>Le paragraphe 2.8.6</w:t>
      </w:r>
      <w:r w:rsidRPr="009F2C88">
        <w:t xml:space="preserve"> devient le paragraphe 2.8.1.</w:t>
      </w:r>
    </w:p>
    <w:p w14:paraId="122B2C1D" w14:textId="77777777" w:rsidR="008442B4" w:rsidRPr="009F2C88" w:rsidRDefault="008442B4" w:rsidP="00706F88">
      <w:pPr>
        <w:pStyle w:val="SingleTxtG"/>
      </w:pPr>
      <w:r w:rsidRPr="009F2C88">
        <w:rPr>
          <w:i/>
        </w:rPr>
        <w:t>Le paragraphe 2.8.7</w:t>
      </w:r>
      <w:r w:rsidRPr="009F2C88">
        <w:t xml:space="preserve"> devient le paragraphe 2.9.4 et se lit comme suit :</w:t>
      </w:r>
    </w:p>
    <w:p w14:paraId="1D480CCF" w14:textId="77777777" w:rsidR="008442B4" w:rsidRPr="009F2C88" w:rsidRDefault="008442B4" w:rsidP="008442B4">
      <w:pPr>
        <w:pStyle w:val="SingleTxtG"/>
        <w:ind w:left="2268" w:hanging="1134"/>
      </w:pPr>
      <w:r w:rsidRPr="009F2C88">
        <w:t>« 2.9.4</w:t>
      </w:r>
      <w:r w:rsidRPr="009F2C88">
        <w:tab/>
        <w:t>“</w:t>
      </w:r>
      <w:r w:rsidRPr="005958C2">
        <w:rPr>
          <w:i/>
        </w:rPr>
        <w:t>Pneumatique pour roulage à plat</w:t>
      </w:r>
      <w:r w:rsidRPr="009F2C88">
        <w:t>” ou “</w:t>
      </w:r>
      <w:r w:rsidRPr="005958C2">
        <w:rPr>
          <w:i/>
        </w:rPr>
        <w:t>pneumatique à flancs porteurs</w:t>
      </w:r>
      <w:r w:rsidRPr="009F2C88">
        <w:t>”, un pneumatique qui, moyennant une solution technique (renforcement des flancs, par exemple), lorsqu’il est monté sur la roue appropriée et en l’absence de tout autre élément supplémentaire, peut assurer les fonctions de base d’un pneumatique, au minimum, à une vitesse de 80</w:t>
      </w:r>
      <w:r w:rsidR="00706F88" w:rsidRPr="009F2C88">
        <w:t> </w:t>
      </w:r>
      <w:r w:rsidRPr="009F2C88">
        <w:t>km/h et sur une distance de 80</w:t>
      </w:r>
      <w:r w:rsidR="00706F88" w:rsidRPr="009F2C88">
        <w:t> </w:t>
      </w:r>
      <w:r w:rsidRPr="009F2C88">
        <w:t>km, en mode roulage à plat. ».</w:t>
      </w:r>
    </w:p>
    <w:p w14:paraId="7020247B" w14:textId="77777777" w:rsidR="008442B4" w:rsidRPr="009F2C88" w:rsidRDefault="008442B4" w:rsidP="00706F88">
      <w:pPr>
        <w:pStyle w:val="SingleTxtG"/>
      </w:pPr>
      <w:r w:rsidRPr="009F2C88">
        <w:rPr>
          <w:i/>
        </w:rPr>
        <w:t>Les paragraphes 2.9 à 2.15</w:t>
      </w:r>
      <w:r w:rsidRPr="009F2C88">
        <w:t xml:space="preserve"> deviennent les paragraphes 2.12 à 2.18.</w:t>
      </w:r>
    </w:p>
    <w:p w14:paraId="1C24873C" w14:textId="77777777" w:rsidR="008442B4" w:rsidRPr="009F2C88" w:rsidRDefault="008442B4" w:rsidP="00706F88">
      <w:pPr>
        <w:pStyle w:val="SingleTxtG"/>
      </w:pPr>
      <w:r w:rsidRPr="009F2C88">
        <w:rPr>
          <w:i/>
        </w:rPr>
        <w:t>Ajouter un nouveau paragraphe, 2.11</w:t>
      </w:r>
      <w:r w:rsidRPr="009F2C88">
        <w:t>, libellé comme suit :</w:t>
      </w:r>
    </w:p>
    <w:p w14:paraId="4064C8B6" w14:textId="77777777" w:rsidR="008442B4" w:rsidRPr="009F2C88" w:rsidRDefault="008442B4" w:rsidP="008442B4">
      <w:pPr>
        <w:pStyle w:val="SingleTxtG"/>
        <w:ind w:left="2268" w:hanging="1134"/>
      </w:pPr>
      <w:r w:rsidRPr="009F2C88">
        <w:t>« 2.11</w:t>
      </w:r>
      <w:r w:rsidRPr="009F2C88">
        <w:tab/>
      </w:r>
      <w:r w:rsidRPr="009F2C88">
        <w:tab/>
        <w:t>“Pneumatique de mobilité prolongée”, un pneumatique à structure radiale qui, lorsqu’il est monté sur la roue appropriée et en l’absence de tout autre élément supplémentaire, peut assurer les fonctions de base d’un pneumatique, au minimum, à une vitesse de 80</w:t>
      </w:r>
      <w:r w:rsidR="00706F88" w:rsidRPr="009F2C88">
        <w:t> </w:t>
      </w:r>
      <w:r w:rsidRPr="009F2C88">
        <w:t>km/h et sur une distance de 80 km, en mode roulage à plat. ».</w:t>
      </w:r>
    </w:p>
    <w:p w14:paraId="7574C5A1" w14:textId="77777777" w:rsidR="00706F88" w:rsidRPr="009F2C88" w:rsidRDefault="008442B4" w:rsidP="00706F88">
      <w:pPr>
        <w:pStyle w:val="SingleTxtG"/>
      </w:pPr>
      <w:r w:rsidRPr="009F2C88">
        <w:rPr>
          <w:i/>
        </w:rPr>
        <w:t>Le paragraphe 2.15.1</w:t>
      </w:r>
      <w:r w:rsidRPr="009F2C88">
        <w:t xml:space="preserve"> devient le paragraphe 2.18.1 et le paragraphe 3.1.10 est remplacé par le paragraphe 2.27.1.</w:t>
      </w:r>
    </w:p>
    <w:p w14:paraId="1BCEB7B0" w14:textId="77777777" w:rsidR="008442B4" w:rsidRPr="009F2C88" w:rsidRDefault="008442B4" w:rsidP="00706F88">
      <w:pPr>
        <w:pStyle w:val="SingleTxtG"/>
      </w:pPr>
      <w:r w:rsidRPr="009F2C88">
        <w:rPr>
          <w:i/>
        </w:rPr>
        <w:t>Les paragraphes 2.16 à 2.21</w:t>
      </w:r>
      <w:r w:rsidRPr="009F2C88">
        <w:t xml:space="preserve"> deviennent les paragraphes 2.19 à 2.24.</w:t>
      </w:r>
    </w:p>
    <w:p w14:paraId="64699AB3" w14:textId="77777777" w:rsidR="008442B4" w:rsidRPr="009F2C88" w:rsidRDefault="008442B4" w:rsidP="00706F88">
      <w:pPr>
        <w:pStyle w:val="SingleTxtG"/>
      </w:pPr>
      <w:r w:rsidRPr="009F2C88">
        <w:rPr>
          <w:i/>
        </w:rPr>
        <w:t>Le paragraphe 2.22</w:t>
      </w:r>
      <w:r w:rsidRPr="009F2C88">
        <w:t xml:space="preserve"> devient le paragraphe 2.25 et se lit comme suit :</w:t>
      </w:r>
    </w:p>
    <w:p w14:paraId="4260B4F8" w14:textId="77777777" w:rsidR="008442B4" w:rsidRPr="009F2C88" w:rsidRDefault="008442B4" w:rsidP="008442B4">
      <w:pPr>
        <w:pStyle w:val="SingleTxtG"/>
        <w:ind w:left="2268" w:hanging="1134"/>
      </w:pPr>
      <w:r w:rsidRPr="009F2C88">
        <w:t>« 2.25</w:t>
      </w:r>
      <w:r w:rsidRPr="009F2C88">
        <w:tab/>
      </w:r>
      <w:r w:rsidRPr="009F2C88">
        <w:tab/>
        <w:t>“</w:t>
      </w:r>
      <w:r w:rsidRPr="009F2C88">
        <w:rPr>
          <w:i/>
        </w:rPr>
        <w:t>Désignation de la dimension du pneumatique</w:t>
      </w:r>
      <w:r w:rsidRPr="009F2C88">
        <w:t>”, une désignation faisant apparaître : ».</w:t>
      </w:r>
    </w:p>
    <w:p w14:paraId="130B762C" w14:textId="77777777" w:rsidR="008442B4" w:rsidRPr="009F2C88" w:rsidRDefault="008442B4" w:rsidP="00706F88">
      <w:pPr>
        <w:pStyle w:val="SingleTxtG"/>
        <w:rPr>
          <w:i/>
        </w:rPr>
      </w:pPr>
      <w:r w:rsidRPr="009F2C88">
        <w:rPr>
          <w:i/>
        </w:rPr>
        <w:t>Paragraphe 2.22.1</w:t>
      </w:r>
      <w:r w:rsidRPr="009F2C88">
        <w:t>, supprimer.</w:t>
      </w:r>
    </w:p>
    <w:p w14:paraId="39C134ED" w14:textId="77777777" w:rsidR="008442B4" w:rsidRPr="009F2C88" w:rsidRDefault="008442B4" w:rsidP="00706F88">
      <w:pPr>
        <w:pStyle w:val="SingleTxtG"/>
      </w:pPr>
      <w:r w:rsidRPr="009F2C88">
        <w:rPr>
          <w:i/>
        </w:rPr>
        <w:t>Les paragraphes 2.22.1.1 et 2.22.1.2</w:t>
      </w:r>
      <w:r w:rsidRPr="009F2C88">
        <w:t xml:space="preserve"> deviennent les paragraphe 2.25.1 et 2.25.2.</w:t>
      </w:r>
    </w:p>
    <w:p w14:paraId="441831C1" w14:textId="77777777" w:rsidR="008442B4" w:rsidRPr="009F2C88" w:rsidRDefault="008442B4" w:rsidP="00706F88">
      <w:pPr>
        <w:pStyle w:val="SingleTxtG"/>
      </w:pPr>
      <w:r w:rsidRPr="009F2C88">
        <w:rPr>
          <w:i/>
        </w:rPr>
        <w:t>Ajouter les nouveaux paragraphes 2.25.3 à 2.25.3.5</w:t>
      </w:r>
      <w:r w:rsidRPr="009F2C88">
        <w:t>, libellés comme suit :</w:t>
      </w:r>
    </w:p>
    <w:p w14:paraId="6F3981CB" w14:textId="77777777" w:rsidR="008442B4" w:rsidRPr="009F2C88" w:rsidRDefault="008442B4" w:rsidP="008442B4">
      <w:pPr>
        <w:pStyle w:val="SingleTxtG"/>
        <w:ind w:left="2268" w:hanging="1134"/>
      </w:pPr>
      <w:r w:rsidRPr="009F2C88">
        <w:t>« 2.25.3</w:t>
      </w:r>
      <w:r w:rsidRPr="009F2C88">
        <w:tab/>
        <w:t>L’indication de la structure :</w:t>
      </w:r>
    </w:p>
    <w:p w14:paraId="0C3529EE" w14:textId="77777777" w:rsidR="008442B4" w:rsidRPr="009F2C88" w:rsidRDefault="008442B4" w:rsidP="008442B4">
      <w:pPr>
        <w:pStyle w:val="SingleTxtG"/>
        <w:ind w:left="2268" w:hanging="1134"/>
      </w:pPr>
      <w:r w:rsidRPr="009F2C88">
        <w:t>2.25.3.1</w:t>
      </w:r>
      <w:r w:rsidRPr="009F2C88">
        <w:tab/>
      </w:r>
      <w:r w:rsidR="00706F88" w:rsidRPr="009F2C88">
        <w:t xml:space="preserve">Pour </w:t>
      </w:r>
      <w:r w:rsidRPr="009F2C88">
        <w:t>les pneumatiques à structure diagonale, pas d’indication ou la lettre “D” située avant l’indication du diamètre de la jante ;</w:t>
      </w:r>
    </w:p>
    <w:p w14:paraId="6E965990" w14:textId="77777777" w:rsidR="008442B4" w:rsidRPr="009F2C88" w:rsidRDefault="008442B4" w:rsidP="008442B4">
      <w:pPr>
        <w:pStyle w:val="SingleTxtG"/>
        <w:ind w:left="2268" w:hanging="1134"/>
      </w:pPr>
      <w:r w:rsidRPr="009F2C88">
        <w:lastRenderedPageBreak/>
        <w:t>2.25.3.2</w:t>
      </w:r>
      <w:r w:rsidRPr="009F2C88">
        <w:tab/>
      </w:r>
      <w:r w:rsidR="00706F88" w:rsidRPr="009F2C88">
        <w:t xml:space="preserve">Pour </w:t>
      </w:r>
      <w:r w:rsidRPr="009F2C88">
        <w:t>les pneumatiques à structure radiale, la lettre “R” située avant l’indication du diamètre de la jante et, éventuellement, le mot “RADIAL” ;</w:t>
      </w:r>
    </w:p>
    <w:p w14:paraId="18F6DBCE" w14:textId="77777777" w:rsidR="008442B4" w:rsidRPr="009F2C88" w:rsidRDefault="008442B4" w:rsidP="008442B4">
      <w:pPr>
        <w:pStyle w:val="SingleTxtG"/>
        <w:ind w:left="2268" w:hanging="1134"/>
      </w:pPr>
      <w:r w:rsidRPr="009F2C88">
        <w:t>2.25.3.3</w:t>
      </w:r>
      <w:r w:rsidRPr="009F2C88">
        <w:tab/>
      </w:r>
      <w:r w:rsidR="00706F88" w:rsidRPr="009F2C88">
        <w:t xml:space="preserve">Pour </w:t>
      </w:r>
      <w:r w:rsidRPr="009F2C88">
        <w:t>les pneumatiques à structure ceinturée croisée, la lettre “B” située avant l’indication du diamètre de la jante et, en outre, les mots “BIAS-BELTED” ;</w:t>
      </w:r>
    </w:p>
    <w:p w14:paraId="515B364A" w14:textId="77777777" w:rsidR="008442B4" w:rsidRPr="009F2C88" w:rsidRDefault="008442B4" w:rsidP="008442B4">
      <w:pPr>
        <w:pStyle w:val="SingleTxtG"/>
        <w:ind w:left="2268" w:hanging="1134"/>
      </w:pPr>
      <w:r w:rsidRPr="009F2C88">
        <w:t>2.25.3.4</w:t>
      </w:r>
      <w:r w:rsidRPr="009F2C88">
        <w:tab/>
      </w:r>
      <w:r w:rsidR="00706F88" w:rsidRPr="009F2C88">
        <w:t xml:space="preserve">Pour </w:t>
      </w:r>
      <w:r w:rsidRPr="009F2C88">
        <w:t>les pneumatiques à structure radiale conçus pour des vitesses dépassant 240 km/h mais pas 300 km/h (pneus portant un code de service composé du symbole de catégorie de vitesse “W” ou “Y”), la lettre “R” placée avant l’indication du diamètre de la jante peut être remplacée par l’inscription “ZR” ; pour les pneumatiques conçus pour des vitesses supérieures à 300 km/h, la lettre “R” placée avant l’indication du diamètre de la jante doit être remplacée par l’inscription “ZR” ;</w:t>
      </w:r>
    </w:p>
    <w:p w14:paraId="333EA786" w14:textId="77777777" w:rsidR="008442B4" w:rsidRPr="009F2C88" w:rsidRDefault="008442B4" w:rsidP="008442B4">
      <w:pPr>
        <w:pStyle w:val="SingleTxtG"/>
        <w:ind w:left="2268" w:hanging="1134"/>
      </w:pPr>
      <w:r w:rsidRPr="009F2C88">
        <w:t>2.25.3.5</w:t>
      </w:r>
      <w:r w:rsidRPr="009F2C88">
        <w:tab/>
      </w:r>
      <w:r w:rsidR="00706F88" w:rsidRPr="009F2C88">
        <w:t xml:space="preserve">Sur </w:t>
      </w:r>
      <w:r w:rsidRPr="009F2C88">
        <w:t>les pneumatiques “</w:t>
      </w:r>
      <w:r w:rsidRPr="009F2C88">
        <w:rPr>
          <w:i/>
        </w:rPr>
        <w:t>capables de rouler à plat</w:t>
      </w:r>
      <w:r w:rsidRPr="009F2C88">
        <w:t>” ou les pneumatiques “</w:t>
      </w:r>
      <w:r w:rsidRPr="009F2C88">
        <w:rPr>
          <w:i/>
        </w:rPr>
        <w:t>autoportants</w:t>
      </w:r>
      <w:r w:rsidRPr="009F2C88">
        <w:t>”, la lettre “F” placée devant l’indication du diamètre de la jante. ».</w:t>
      </w:r>
    </w:p>
    <w:p w14:paraId="05AD9613" w14:textId="77777777" w:rsidR="008442B4" w:rsidRPr="009F2C88" w:rsidRDefault="008442B4" w:rsidP="00706F88">
      <w:pPr>
        <w:pStyle w:val="SingleTxtG"/>
      </w:pPr>
      <w:bookmarkStart w:id="2" w:name="_Hlk506794094"/>
      <w:r w:rsidRPr="009F2C88">
        <w:rPr>
          <w:i/>
        </w:rPr>
        <w:t xml:space="preserve">Les paragraphes 2.22.1.3 et 2.22.1.4 </w:t>
      </w:r>
      <w:r w:rsidRPr="009F2C88">
        <w:t>deviennent les paragraphes 2.25.4 et 2.25.5.</w:t>
      </w:r>
    </w:p>
    <w:bookmarkEnd w:id="2"/>
    <w:p w14:paraId="6F631AEF" w14:textId="77777777" w:rsidR="008442B4" w:rsidRPr="009F2C88" w:rsidRDefault="008442B4" w:rsidP="00706F88">
      <w:pPr>
        <w:pStyle w:val="SingleTxtG"/>
      </w:pPr>
      <w:r w:rsidRPr="009F2C88">
        <w:rPr>
          <w:i/>
        </w:rPr>
        <w:t>Ajouter un nouveau paragraphe, 2.25.6</w:t>
      </w:r>
      <w:r w:rsidRPr="00BD6A55">
        <w:t xml:space="preserve">, </w:t>
      </w:r>
      <w:r w:rsidRPr="009F2C88">
        <w:t>libellé comme suit :</w:t>
      </w:r>
    </w:p>
    <w:p w14:paraId="480D4054" w14:textId="77777777" w:rsidR="008442B4" w:rsidRPr="009F2C88" w:rsidRDefault="008442B4" w:rsidP="008442B4">
      <w:pPr>
        <w:pStyle w:val="SingleTxtG"/>
        <w:ind w:left="2268" w:hanging="1134"/>
      </w:pPr>
      <w:r w:rsidRPr="009F2C88">
        <w:t>«</w:t>
      </w:r>
      <w:r w:rsidR="00706F88" w:rsidRPr="009F2C88">
        <w:t> </w:t>
      </w:r>
      <w:r w:rsidRPr="009F2C88">
        <w:t>2.25.6</w:t>
      </w:r>
      <w:r w:rsidRPr="009F2C88">
        <w:tab/>
        <w:t>Éventuellement, la lettre “P” devant l’indication de la grosseur nominale du boudin ; ».</w:t>
      </w:r>
    </w:p>
    <w:p w14:paraId="3F69B9F2" w14:textId="77777777" w:rsidR="008442B4" w:rsidRPr="009F2C88" w:rsidRDefault="008442B4" w:rsidP="00706F88">
      <w:pPr>
        <w:pStyle w:val="SingleTxtG"/>
      </w:pPr>
      <w:r w:rsidRPr="009F2C88">
        <w:rPr>
          <w:i/>
        </w:rPr>
        <w:t xml:space="preserve">Le paragraphe 2.22.1.5 </w:t>
      </w:r>
      <w:r w:rsidRPr="009F2C88">
        <w:t>devient le paragraphe 2.25.7.</w:t>
      </w:r>
    </w:p>
    <w:p w14:paraId="560F542D" w14:textId="77777777" w:rsidR="008442B4" w:rsidRPr="009F2C88" w:rsidRDefault="008442B4" w:rsidP="00706F88">
      <w:pPr>
        <w:pStyle w:val="SingleTxtG"/>
      </w:pPr>
      <w:r w:rsidRPr="009F2C88">
        <w:rPr>
          <w:i/>
        </w:rPr>
        <w:t xml:space="preserve">Les paragraphes 2.23 à 2.39 </w:t>
      </w:r>
      <w:r w:rsidRPr="009F2C88">
        <w:t>deviennent les paragraphes 2.26 à 2.42 respectivement.</w:t>
      </w:r>
    </w:p>
    <w:p w14:paraId="251D2554" w14:textId="77777777" w:rsidR="008442B4" w:rsidRPr="009F2C88" w:rsidRDefault="008442B4" w:rsidP="00706F88">
      <w:pPr>
        <w:pStyle w:val="SingleTxtG"/>
      </w:pPr>
      <w:r w:rsidRPr="009F2C88">
        <w:rPr>
          <w:i/>
        </w:rPr>
        <w:t>Paragraphe 2.40</w:t>
      </w:r>
      <w:r w:rsidRPr="009F2C88">
        <w:t>, supprimer.</w:t>
      </w:r>
    </w:p>
    <w:p w14:paraId="6A2DDF54" w14:textId="77777777" w:rsidR="008442B4" w:rsidRPr="009F2C88" w:rsidRDefault="008442B4" w:rsidP="00706F88">
      <w:pPr>
        <w:pStyle w:val="SingleTxtG"/>
      </w:pPr>
      <w:r w:rsidRPr="009F2C88">
        <w:rPr>
          <w:i/>
        </w:rPr>
        <w:t>Le paragraphe 2.41</w:t>
      </w:r>
      <w:r w:rsidRPr="009F2C88">
        <w:t xml:space="preserve"> devient le paragraphe 2.43 et se lit comme suit :</w:t>
      </w:r>
    </w:p>
    <w:p w14:paraId="7CDD9538" w14:textId="77777777" w:rsidR="008442B4" w:rsidRPr="009F2C88" w:rsidRDefault="00706F88" w:rsidP="008442B4">
      <w:pPr>
        <w:pStyle w:val="SingleTxtG"/>
        <w:ind w:left="2268" w:hanging="1134"/>
      </w:pPr>
      <w:r w:rsidRPr="009F2C88">
        <w:t>« </w:t>
      </w:r>
      <w:r w:rsidR="008442B4" w:rsidRPr="009F2C88">
        <w:t>2.43</w:t>
      </w:r>
      <w:r w:rsidR="008442B4" w:rsidRPr="009F2C88">
        <w:tab/>
      </w:r>
      <w:r w:rsidR="008442B4" w:rsidRPr="009F2C88">
        <w:tab/>
        <w:t>“</w:t>
      </w:r>
      <w:r w:rsidR="008442B4" w:rsidRPr="009F2C88">
        <w:rPr>
          <w:i/>
        </w:rPr>
        <w:t>Hauteur de la partie comprimée</w:t>
      </w:r>
      <w:r w:rsidR="008442B4" w:rsidRPr="009F2C88">
        <w:t>”, la différence entre le rayon du pneumatique comprimé, mesuré à partir du centre de la jante jusqu’à la surface du tambour, et la moitié du diamètre nominal de la jante, tel qu’il est défini au paragraphe 2.26 du présent Règlement.</w:t>
      </w:r>
      <w:r w:rsidRPr="009F2C88">
        <w:t> »</w:t>
      </w:r>
      <w:r w:rsidR="008442B4" w:rsidRPr="009F2C88">
        <w:t>.</w:t>
      </w:r>
    </w:p>
    <w:p w14:paraId="5BB28146" w14:textId="77777777" w:rsidR="008442B4" w:rsidRPr="009F2C88" w:rsidRDefault="008442B4" w:rsidP="00706F88">
      <w:pPr>
        <w:pStyle w:val="SingleTxtG"/>
        <w:rPr>
          <w:i/>
        </w:rPr>
      </w:pPr>
      <w:r w:rsidRPr="009F2C88">
        <w:rPr>
          <w:i/>
        </w:rPr>
        <w:t>Paragraphes 3.1.4 à 3.1.4.5</w:t>
      </w:r>
      <w:r w:rsidRPr="009F2C88">
        <w:t>, supprimer.</w:t>
      </w:r>
    </w:p>
    <w:p w14:paraId="6A16450D" w14:textId="77777777" w:rsidR="008442B4" w:rsidRPr="009F2C88" w:rsidRDefault="008442B4" w:rsidP="00706F88">
      <w:pPr>
        <w:pStyle w:val="SingleTxtG"/>
      </w:pPr>
      <w:r w:rsidRPr="009F2C88">
        <w:rPr>
          <w:i/>
        </w:rPr>
        <w:t>Paragraphe 3.1.5.1</w:t>
      </w:r>
      <w:r w:rsidRPr="009F2C88">
        <w:t xml:space="preserve">, </w:t>
      </w:r>
      <w:proofErr w:type="gramStart"/>
      <w:r w:rsidRPr="009F2C88">
        <w:t>lire  :</w:t>
      </w:r>
      <w:proofErr w:type="gramEnd"/>
    </w:p>
    <w:p w14:paraId="7363EFC4" w14:textId="77777777" w:rsidR="008442B4" w:rsidRPr="009F2C88" w:rsidRDefault="008442B4" w:rsidP="008442B4">
      <w:pPr>
        <w:pStyle w:val="SingleTxtG"/>
        <w:ind w:left="2268" w:hanging="1134"/>
      </w:pPr>
      <w:r w:rsidRPr="009F2C88">
        <w:t>« 3.1.5.1</w:t>
      </w:r>
      <w:r w:rsidRPr="009F2C88">
        <w:tab/>
        <w:t>Sur les pneumatiques conçus pour des vitesses supérieures à 300</w:t>
      </w:r>
      <w:r w:rsidR="00706F88" w:rsidRPr="009F2C88">
        <w:t> </w:t>
      </w:r>
      <w:r w:rsidRPr="009F2C88">
        <w:t>km/h, outre ce qui est déjà prévu au paragraphe 2.24.3.4, un code de service composé du code de vitesse “Y” et d’un indice de capacité de charge correspondant. Le code de service doit figurer entre parenthèses, par exemple “(95Y)”. ».</w:t>
      </w:r>
    </w:p>
    <w:p w14:paraId="5BF22F8F" w14:textId="77777777" w:rsidR="008442B4" w:rsidRPr="009F2C88" w:rsidRDefault="008442B4" w:rsidP="00706F88">
      <w:pPr>
        <w:pStyle w:val="SingleTxtG"/>
      </w:pPr>
      <w:r w:rsidRPr="009F2C88">
        <w:rPr>
          <w:i/>
        </w:rPr>
        <w:t>Le paragraphe 3.1.8</w:t>
      </w:r>
      <w:r w:rsidRPr="009F2C88">
        <w:t xml:space="preserve"> devient le paragraphe 3.1.4.</w:t>
      </w:r>
    </w:p>
    <w:p w14:paraId="75175671" w14:textId="77777777" w:rsidR="008442B4" w:rsidRPr="009F2C88" w:rsidRDefault="008442B4" w:rsidP="00706F88">
      <w:pPr>
        <w:pStyle w:val="SingleTxtG"/>
        <w:rPr>
          <w:i/>
        </w:rPr>
      </w:pPr>
      <w:r w:rsidRPr="009F2C88">
        <w:rPr>
          <w:i/>
        </w:rPr>
        <w:t>Les paragraphes 3.1.9 à 3.1.11</w:t>
      </w:r>
      <w:r w:rsidRPr="009F2C88">
        <w:t xml:space="preserve"> deviennent les paragraphes 3.1.8 à 3.1.10.</w:t>
      </w:r>
    </w:p>
    <w:p w14:paraId="1B5C108F" w14:textId="77777777" w:rsidR="008442B4" w:rsidRPr="009F2C88" w:rsidRDefault="008442B4" w:rsidP="00706F88">
      <w:pPr>
        <w:pStyle w:val="SingleTxtG"/>
        <w:rPr>
          <w:i/>
        </w:rPr>
      </w:pPr>
      <w:r w:rsidRPr="009F2C88">
        <w:rPr>
          <w:i/>
        </w:rPr>
        <w:t>Le paragraphe 3.1.12</w:t>
      </w:r>
      <w:r w:rsidRPr="009F2C88">
        <w:t xml:space="preserve"> devient le paragraphe 3.1.11 et se lit comme suit :</w:t>
      </w:r>
    </w:p>
    <w:p w14:paraId="35F3F9D1" w14:textId="77777777" w:rsidR="008442B4" w:rsidRPr="009F2C88" w:rsidRDefault="00706F88" w:rsidP="008442B4">
      <w:pPr>
        <w:pStyle w:val="SingleTxtG"/>
        <w:ind w:left="2268" w:hanging="1134"/>
      </w:pPr>
      <w:r w:rsidRPr="009F2C88">
        <w:t>« </w:t>
      </w:r>
      <w:r w:rsidR="008442B4" w:rsidRPr="009F2C88">
        <w:t>3.1.11</w:t>
      </w:r>
      <w:r w:rsidR="008442B4" w:rsidRPr="009F2C88">
        <w:tab/>
        <w:t>Dans le cas de pneumatiques homologu</w:t>
      </w:r>
      <w:r w:rsidRPr="009F2C88">
        <w:t>é</w:t>
      </w:r>
      <w:r w:rsidR="008442B4" w:rsidRPr="009F2C88">
        <w:t>s pour la premi</w:t>
      </w:r>
      <w:r w:rsidRPr="009F2C88">
        <w:t>è</w:t>
      </w:r>
      <w:r w:rsidR="008442B4" w:rsidRPr="009F2C88">
        <w:t>re fois apr</w:t>
      </w:r>
      <w:r w:rsidRPr="009F2C88">
        <w:t>è</w:t>
      </w:r>
      <w:r w:rsidR="008442B4" w:rsidRPr="009F2C88">
        <w:t>s l’entr</w:t>
      </w:r>
      <w:r w:rsidRPr="009F2C88">
        <w:t>é</w:t>
      </w:r>
      <w:r w:rsidR="008442B4" w:rsidRPr="009F2C88">
        <w:t>e en vigueur du compl</w:t>
      </w:r>
      <w:r w:rsidRPr="009F2C88">
        <w:t>é</w:t>
      </w:r>
      <w:r w:rsidR="008442B4" w:rsidRPr="009F2C88">
        <w:t>ment 13 à la s</w:t>
      </w:r>
      <w:r w:rsidRPr="009F2C88">
        <w:t>é</w:t>
      </w:r>
      <w:r w:rsidR="008442B4" w:rsidRPr="009F2C88">
        <w:t>rie 02 d’amendements au R</w:t>
      </w:r>
      <w:r w:rsidRPr="009F2C88">
        <w:t>è</w:t>
      </w:r>
      <w:r w:rsidR="008442B4" w:rsidRPr="009F2C88">
        <w:t>glement ONU n</w:t>
      </w:r>
      <w:r w:rsidR="008442B4" w:rsidRPr="005205B2">
        <w:rPr>
          <w:vertAlign w:val="superscript"/>
        </w:rPr>
        <w:t>o</w:t>
      </w:r>
      <w:r w:rsidR="008442B4" w:rsidRPr="009F2C88">
        <w:t> 30, le symbole d’identification visé au paragraphe 2.25.7 doit être placé imm</w:t>
      </w:r>
      <w:r w:rsidRPr="009F2C88">
        <w:t>é</w:t>
      </w:r>
      <w:r w:rsidR="008442B4" w:rsidRPr="009F2C88">
        <w:t>diatement apr</w:t>
      </w:r>
      <w:r w:rsidRPr="009F2C88">
        <w:t>è</w:t>
      </w:r>
      <w:r w:rsidR="008442B4" w:rsidRPr="009F2C88">
        <w:t>s l’indication du diam</w:t>
      </w:r>
      <w:r w:rsidRPr="009F2C88">
        <w:t>è</w:t>
      </w:r>
      <w:r w:rsidR="008442B4" w:rsidRPr="009F2C88">
        <w:t>tre de la jante telle qu’elle est d</w:t>
      </w:r>
      <w:r w:rsidRPr="009F2C88">
        <w:t>é</w:t>
      </w:r>
      <w:r w:rsidR="008442B4" w:rsidRPr="009F2C88">
        <w:t>finie au paragraphe 2.25.4.</w:t>
      </w:r>
      <w:r w:rsidRPr="009F2C88">
        <w:t> »</w:t>
      </w:r>
      <w:r w:rsidR="008442B4" w:rsidRPr="009F2C88">
        <w:t>.</w:t>
      </w:r>
    </w:p>
    <w:p w14:paraId="6BC3A5C8" w14:textId="77777777" w:rsidR="008442B4" w:rsidRPr="009F2C88" w:rsidRDefault="008442B4" w:rsidP="00706F88">
      <w:pPr>
        <w:pStyle w:val="SingleTxtG"/>
      </w:pPr>
      <w:r w:rsidRPr="009F2C88">
        <w:rPr>
          <w:i/>
        </w:rPr>
        <w:t>Les paragraphes 3.1.13 et 3.1.14</w:t>
      </w:r>
      <w:r w:rsidRPr="009F2C88">
        <w:t xml:space="preserve"> deviennent les paragraphes 3.1.12 et 3.1.13.</w:t>
      </w:r>
    </w:p>
    <w:p w14:paraId="4BBBE836" w14:textId="77777777" w:rsidR="008442B4" w:rsidRPr="009F2C88" w:rsidRDefault="008442B4" w:rsidP="00706F88">
      <w:pPr>
        <w:pStyle w:val="SingleTxtG"/>
      </w:pPr>
      <w:r w:rsidRPr="009F2C88">
        <w:rPr>
          <w:i/>
        </w:rPr>
        <w:t>Ajouter un nouveau paragraphe, 3.1.15</w:t>
      </w:r>
      <w:r w:rsidRPr="009F2C88">
        <w:t>, libellé comme suit :</w:t>
      </w:r>
    </w:p>
    <w:p w14:paraId="02C83185" w14:textId="77777777" w:rsidR="008442B4" w:rsidRPr="009F2C88" w:rsidRDefault="008442B4" w:rsidP="008442B4">
      <w:pPr>
        <w:pStyle w:val="SingleTxtG"/>
        <w:ind w:left="2268" w:hanging="1134"/>
      </w:pPr>
      <w:r w:rsidRPr="009F2C88">
        <w:t>« 3.1.15</w:t>
      </w:r>
      <w:r w:rsidRPr="009F2C88">
        <w:tab/>
        <w:t>Le symbole ci-dessous s’il s’agit d’un pneumatique de mobilité prolongée, la lettre “h” devant avoir au moins 12</w:t>
      </w:r>
      <w:r w:rsidR="00706F88" w:rsidRPr="009F2C88">
        <w:t> </w:t>
      </w:r>
      <w:r w:rsidRPr="009F2C88">
        <w:t>mm de hauteur.</w:t>
      </w:r>
    </w:p>
    <w:p w14:paraId="55205CE2" w14:textId="77777777" w:rsidR="008442B4" w:rsidRPr="009F2C88" w:rsidRDefault="008442B4" w:rsidP="00706F88">
      <w:pPr>
        <w:pStyle w:val="SingleTxtG"/>
      </w:pPr>
      <w:r w:rsidRPr="009F2C88">
        <w:rPr>
          <w:noProof/>
          <w:color w:val="FF0000"/>
          <w:lang w:eastAsia="fr-CH"/>
        </w:rPr>
        <w:lastRenderedPageBreak/>
        <w:drawing>
          <wp:inline distT="0" distB="0" distL="0" distR="0" wp14:anchorId="0D6F617C" wp14:editId="04FB9CD4">
            <wp:extent cx="2072640" cy="1638300"/>
            <wp:effectExtent l="0" t="0" r="3810" b="0"/>
            <wp:docPr id="36" name="Picture 36" descr="16992_ed3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6992_ed3fig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638300"/>
                    </a:xfrm>
                    <a:prstGeom prst="rect">
                      <a:avLst/>
                    </a:prstGeom>
                    <a:noFill/>
                    <a:ln>
                      <a:noFill/>
                    </a:ln>
                  </pic:spPr>
                </pic:pic>
              </a:graphicData>
            </a:graphic>
          </wp:inline>
        </w:drawing>
      </w:r>
      <w:r w:rsidR="00706F88" w:rsidRPr="009F2C88">
        <w:t> ».</w:t>
      </w:r>
    </w:p>
    <w:p w14:paraId="55983254" w14:textId="77777777" w:rsidR="008442B4" w:rsidRPr="009F2C88" w:rsidRDefault="008442B4" w:rsidP="00706F88">
      <w:pPr>
        <w:pStyle w:val="SingleTxtG"/>
      </w:pPr>
      <w:r w:rsidRPr="009F2C88">
        <w:rPr>
          <w:i/>
        </w:rPr>
        <w:t>Paragraphe 3.4</w:t>
      </w:r>
      <w:r w:rsidRPr="009F2C88">
        <w:t xml:space="preserve">, </w:t>
      </w:r>
      <w:proofErr w:type="gramStart"/>
      <w:r w:rsidRPr="009F2C88">
        <w:t>lire  :</w:t>
      </w:r>
      <w:proofErr w:type="gramEnd"/>
    </w:p>
    <w:p w14:paraId="4ACFA465" w14:textId="77777777" w:rsidR="008442B4" w:rsidRPr="009F2C88" w:rsidRDefault="008442B4" w:rsidP="008442B4">
      <w:pPr>
        <w:pStyle w:val="SingleTxtG"/>
        <w:ind w:left="2268" w:hanging="1134"/>
      </w:pPr>
      <w:r w:rsidRPr="009F2C88">
        <w:t>« 3.4</w:t>
      </w:r>
      <w:r w:rsidRPr="009F2C88">
        <w:tab/>
      </w:r>
      <w:r w:rsidRPr="009F2C88">
        <w:tab/>
        <w:t>Les inscriptions mentionnées au paragraphe 3.1 et la marque d’homologation prévue par le paragraphe 5.4 du présent Règlement doivent être moulées en relief ou en creux sur les pneumatiques. Elles doivent être nettement lisibles et situées dans la zone basse du pneumatique sur au moins un des flancs, à l’exception de l’inscription mentionnée aux paragraphes</w:t>
      </w:r>
      <w:r w:rsidR="00706F88" w:rsidRPr="009F2C88">
        <w:t xml:space="preserve"> </w:t>
      </w:r>
      <w:r w:rsidRPr="009F2C88">
        <w:t>3.1.1, 3.1.2 et 3.1.12. ».</w:t>
      </w:r>
    </w:p>
    <w:p w14:paraId="1AE29567" w14:textId="77777777" w:rsidR="008442B4" w:rsidRPr="009F2C88" w:rsidRDefault="008442B4" w:rsidP="00706F88">
      <w:pPr>
        <w:pStyle w:val="SingleTxtG"/>
      </w:pPr>
      <w:r w:rsidRPr="009F2C88">
        <w:rPr>
          <w:i/>
        </w:rPr>
        <w:t>Paragraphe 3.4.1</w:t>
      </w:r>
      <w:r w:rsidRPr="009F2C88">
        <w:t>, remplacer 3.1.10 par 2.27.1.</w:t>
      </w:r>
    </w:p>
    <w:p w14:paraId="018A5AAD" w14:textId="77777777" w:rsidR="008442B4" w:rsidRPr="009F2C88" w:rsidRDefault="008442B4" w:rsidP="00706F88">
      <w:pPr>
        <w:pStyle w:val="SingleTxtG"/>
      </w:pPr>
      <w:r w:rsidRPr="009F2C88">
        <w:rPr>
          <w:i/>
        </w:rPr>
        <w:t>Ajouter un nouveau paragraphe, 4.1.9</w:t>
      </w:r>
      <w:r w:rsidRPr="009F2C88">
        <w:t>, libellé comme suit :</w:t>
      </w:r>
    </w:p>
    <w:p w14:paraId="33C5528D" w14:textId="77777777" w:rsidR="008442B4" w:rsidRPr="009F2C88" w:rsidRDefault="008442B4" w:rsidP="008442B4">
      <w:pPr>
        <w:pStyle w:val="SingleTxtG"/>
        <w:ind w:left="2268" w:hanging="1134"/>
        <w:rPr>
          <w:bCs/>
        </w:rPr>
      </w:pPr>
      <w:r w:rsidRPr="009F2C88">
        <w:t>« 4.1.9</w:t>
      </w:r>
      <w:r w:rsidRPr="009F2C88">
        <w:tab/>
      </w:r>
      <w:r w:rsidRPr="009F2C88">
        <w:tab/>
        <w:t>S’il s’agit d’un pneumatique de mobilité prolongée ; ».</w:t>
      </w:r>
    </w:p>
    <w:p w14:paraId="33FCAB70" w14:textId="77777777" w:rsidR="008442B4" w:rsidRPr="009F2C88" w:rsidRDefault="008442B4" w:rsidP="00706F88">
      <w:pPr>
        <w:pStyle w:val="SingleTxtG"/>
      </w:pPr>
      <w:r w:rsidRPr="009F2C88">
        <w:rPr>
          <w:i/>
        </w:rPr>
        <w:t>Les paragraphes 4.1.9 à 4.1.16</w:t>
      </w:r>
      <w:r w:rsidRPr="009F2C88">
        <w:t xml:space="preserve"> deviennent les paragraphes 4.1.10 à 4.1.17.</w:t>
      </w:r>
    </w:p>
    <w:p w14:paraId="7F49C036" w14:textId="77777777" w:rsidR="008442B4" w:rsidRPr="009F2C88" w:rsidRDefault="008442B4" w:rsidP="00706F88">
      <w:pPr>
        <w:pStyle w:val="SingleTxtG"/>
        <w:rPr>
          <w:i/>
        </w:rPr>
      </w:pPr>
      <w:r w:rsidRPr="009F2C88">
        <w:rPr>
          <w:i/>
        </w:rPr>
        <w:t>Paragraphe 4.1.15 (ancien paragraphe 4.1.14)</w:t>
      </w:r>
      <w:r w:rsidRPr="009F2C88">
        <w:t>, lire :</w:t>
      </w:r>
    </w:p>
    <w:p w14:paraId="4B5FDBFA" w14:textId="77777777" w:rsidR="008442B4" w:rsidRPr="009F2C88" w:rsidRDefault="008442B4" w:rsidP="008442B4">
      <w:pPr>
        <w:pStyle w:val="SingleTxtG"/>
        <w:ind w:left="2268" w:hanging="1134"/>
      </w:pPr>
      <w:r w:rsidRPr="009F2C88">
        <w:t>« 4.1.14</w:t>
      </w:r>
      <w:r w:rsidRPr="009F2C88">
        <w:tab/>
        <w:t>Le coefficient x mentionné au paragraphe 2.28 ci-dessus. ».</w:t>
      </w:r>
    </w:p>
    <w:p w14:paraId="3786EDE6" w14:textId="77777777" w:rsidR="008442B4" w:rsidRPr="009F2C88" w:rsidRDefault="008442B4" w:rsidP="00706F88">
      <w:pPr>
        <w:pStyle w:val="SingleTxtG"/>
      </w:pPr>
      <w:r w:rsidRPr="009F2C88">
        <w:rPr>
          <w:i/>
        </w:rPr>
        <w:t>Paragraphe 6.1.1.3</w:t>
      </w:r>
      <w:r w:rsidRPr="009F2C88">
        <w:t>, remplacer 3.1.10 par 2.27.1.</w:t>
      </w:r>
    </w:p>
    <w:p w14:paraId="4E614F7E" w14:textId="77777777" w:rsidR="008442B4" w:rsidRPr="009F2C88" w:rsidRDefault="008442B4" w:rsidP="00706F88">
      <w:pPr>
        <w:pStyle w:val="SingleTxtG"/>
      </w:pPr>
      <w:r w:rsidRPr="009F2C88">
        <w:rPr>
          <w:i/>
        </w:rPr>
        <w:t>Paragraphe 6.1.2.1</w:t>
      </w:r>
      <w:r w:rsidRPr="009F2C88">
        <w:t>, remplacer 2.23 par 2.26.</w:t>
      </w:r>
    </w:p>
    <w:p w14:paraId="063384CC" w14:textId="77777777" w:rsidR="008442B4" w:rsidRPr="009F2C88" w:rsidRDefault="008442B4" w:rsidP="00706F88">
      <w:pPr>
        <w:pStyle w:val="SingleTxtG"/>
      </w:pPr>
      <w:r w:rsidRPr="009F2C88">
        <w:rPr>
          <w:i/>
        </w:rPr>
        <w:t>Paragraphe 6.1.2.3</w:t>
      </w:r>
      <w:r w:rsidRPr="009F2C88">
        <w:t xml:space="preserve">, remplacer 3.1.10. </w:t>
      </w:r>
      <w:proofErr w:type="gramStart"/>
      <w:r w:rsidRPr="009F2C88">
        <w:t>par</w:t>
      </w:r>
      <w:proofErr w:type="gramEnd"/>
      <w:r w:rsidRPr="009F2C88">
        <w:t xml:space="preserve"> 2.27.1.</w:t>
      </w:r>
    </w:p>
    <w:p w14:paraId="017A286E" w14:textId="77777777" w:rsidR="008442B4" w:rsidRPr="009F2C88" w:rsidRDefault="008442B4" w:rsidP="00706F88">
      <w:pPr>
        <w:pStyle w:val="SingleTxtG"/>
      </w:pPr>
      <w:r w:rsidRPr="009F2C88">
        <w:rPr>
          <w:i/>
        </w:rPr>
        <w:t>Paragraphe 6.1.4.2.4</w:t>
      </w:r>
      <w:r w:rsidRPr="009F2C88">
        <w:t>, remplacer 3.1.10 par 2.27.1.</w:t>
      </w:r>
    </w:p>
    <w:p w14:paraId="466DBEC8" w14:textId="77777777" w:rsidR="008442B4" w:rsidRPr="009F2C88" w:rsidRDefault="008442B4" w:rsidP="00706F88">
      <w:pPr>
        <w:pStyle w:val="SingleTxtG"/>
      </w:pPr>
      <w:r w:rsidRPr="009F2C88">
        <w:rPr>
          <w:i/>
        </w:rPr>
        <w:t>Paragraphe 6.1.5.1</w:t>
      </w:r>
      <w:r w:rsidRPr="009F2C88">
        <w:t>, remplacer 3.1.10 par 2.27.1.</w:t>
      </w:r>
    </w:p>
    <w:p w14:paraId="7B3CC8AF" w14:textId="77777777" w:rsidR="008442B4" w:rsidRPr="009F2C88" w:rsidRDefault="008442B4" w:rsidP="00706F88">
      <w:pPr>
        <w:pStyle w:val="SingleTxtG"/>
      </w:pPr>
      <w:r w:rsidRPr="009F2C88">
        <w:rPr>
          <w:i/>
        </w:rPr>
        <w:t>Paragraphe 6.2.1.1</w:t>
      </w:r>
      <w:r w:rsidRPr="009F2C88">
        <w:t>, remplacer deux fois 4.1.15 par 4.1.16.</w:t>
      </w:r>
    </w:p>
    <w:p w14:paraId="65EBD88F" w14:textId="77777777" w:rsidR="008442B4" w:rsidRPr="009F2C88" w:rsidRDefault="008442B4" w:rsidP="00706F88">
      <w:pPr>
        <w:pStyle w:val="SingleTxtG"/>
      </w:pPr>
      <w:r w:rsidRPr="009F2C88">
        <w:rPr>
          <w:i/>
        </w:rPr>
        <w:t>Paragraphe 6.2.1.2</w:t>
      </w:r>
      <w:r w:rsidRPr="009F2C88">
        <w:t xml:space="preserve">, </w:t>
      </w:r>
      <w:proofErr w:type="gramStart"/>
      <w:r w:rsidRPr="009F2C88">
        <w:t>lire  :</w:t>
      </w:r>
      <w:proofErr w:type="gramEnd"/>
    </w:p>
    <w:p w14:paraId="23DFD0E0" w14:textId="77777777" w:rsidR="008442B4" w:rsidRPr="009F2C88" w:rsidRDefault="008442B4" w:rsidP="008442B4">
      <w:pPr>
        <w:pStyle w:val="SingleTxtG"/>
        <w:ind w:left="2268" w:hanging="1134"/>
      </w:pPr>
      <w:r w:rsidRPr="009F2C88">
        <w:t>« 6.2.1.2</w:t>
      </w:r>
      <w:r w:rsidRPr="009F2C88">
        <w:tab/>
        <w:t>En cas de demande d’homologation d’un système pneumatique “de roulage à plat”, l’essai charge/vitesse ci-dessus est effectué sur un seul pneumatique, gonflé conformément aux prescriptions du paragraphe 1.2 de l’annexe 7, aux conditions de charge et de vitesse telles qu’elles sont indiquées dans le marquage du pneumatique (voir par.</w:t>
      </w:r>
      <w:r w:rsidR="00AE24F0" w:rsidRPr="009F2C88">
        <w:t> </w:t>
      </w:r>
      <w:r w:rsidRPr="009F2C88">
        <w:t>3.1.5 et 3.1.8). Un autre essai charge/vitesse doit être effectué sur un second échantillon du même type de pneumatique, selon la procédure décrite au paragraphe 3 de l’annexe 7. Avec l’accord du fabricant, le second essai peut être effectué sur le même échantillon. ».</w:t>
      </w:r>
    </w:p>
    <w:p w14:paraId="5C5CDC91" w14:textId="77777777" w:rsidR="008442B4" w:rsidRPr="009F2C88" w:rsidRDefault="008442B4" w:rsidP="00706F88">
      <w:pPr>
        <w:pStyle w:val="SingleTxtG"/>
      </w:pPr>
      <w:r w:rsidRPr="009F2C88">
        <w:rPr>
          <w:i/>
        </w:rPr>
        <w:t>Ajouter un nouveau paragraphe, 6.2.1.3</w:t>
      </w:r>
      <w:r w:rsidRPr="009F2C88">
        <w:t>, libellé comme suit :</w:t>
      </w:r>
    </w:p>
    <w:p w14:paraId="7186938B" w14:textId="77777777" w:rsidR="008442B4" w:rsidRPr="009F2C88" w:rsidRDefault="008442B4" w:rsidP="008442B4">
      <w:pPr>
        <w:pStyle w:val="SingleTxtG"/>
        <w:ind w:left="2268" w:hanging="1134"/>
      </w:pPr>
      <w:r w:rsidRPr="009F2C88">
        <w:t>« 6.2.1.3</w:t>
      </w:r>
      <w:r w:rsidRPr="009F2C88">
        <w:tab/>
        <w:t>Lorsque la demande d’homologation de type concerne un pneumatique de mobilité prolongée, l’essai charge/vitesse ci-dessus est effectué sur un seul pneumatique, gonflé conformément aux prescriptions du paragraphe 1.2 de l’annexe 7, aux conditions de charge et de vitesse telles qu’elles sont indiquées dans le marquage du pneumatique (voir par.</w:t>
      </w:r>
      <w:r w:rsidR="00AE24F0" w:rsidRPr="009F2C88">
        <w:t> </w:t>
      </w:r>
      <w:r w:rsidRPr="009F2C88">
        <w:t>3.1.5 et 3.1.8). Un autre essai charge/vitesse doit être effectué sur un second échantillon du même type de pneumatique, selon la procédure décrite au paragraphe 4 de l’annexe 7. Avec l’accord du fabricant, le second essai peut être effectué sur le même échantillon. ».</w:t>
      </w:r>
    </w:p>
    <w:p w14:paraId="52D738C6" w14:textId="77777777" w:rsidR="008442B4" w:rsidRPr="009F2C88" w:rsidRDefault="008442B4" w:rsidP="00706F88">
      <w:pPr>
        <w:pStyle w:val="SingleTxtG"/>
      </w:pPr>
      <w:r w:rsidRPr="009F2C88">
        <w:rPr>
          <w:i/>
        </w:rPr>
        <w:lastRenderedPageBreak/>
        <w:t>Paragraphe 6.2.2.2</w:t>
      </w:r>
      <w:r w:rsidRPr="009F2C88">
        <w:t xml:space="preserve">, </w:t>
      </w:r>
      <w:proofErr w:type="gramStart"/>
      <w:r w:rsidRPr="009F2C88">
        <w:t>lire  :</w:t>
      </w:r>
      <w:proofErr w:type="gramEnd"/>
    </w:p>
    <w:p w14:paraId="25A9F8BF" w14:textId="77777777" w:rsidR="008442B4" w:rsidRPr="009F2C88" w:rsidRDefault="008442B4" w:rsidP="008442B4">
      <w:pPr>
        <w:pStyle w:val="SingleTxtG"/>
        <w:ind w:left="2268" w:hanging="1134"/>
      </w:pPr>
      <w:r w:rsidRPr="009F2C88">
        <w:t>« 6.2.2.2</w:t>
      </w:r>
      <w:r w:rsidRPr="009F2C88">
        <w:tab/>
        <w:t>Un “système pneumatique de roulage à plat” qui, après avoir été soumis à l’essai spécifié au paragraphe 3 de l’annexe 7, ne présente pas de diminution de la hauteur de la partie comprimée du pneumatique, par rapport au début de l’essai, supérieure à 20</w:t>
      </w:r>
      <w:r w:rsidR="00AE24F0" w:rsidRPr="009F2C88">
        <w:t> </w:t>
      </w:r>
      <w:r w:rsidRPr="009F2C88">
        <w:t>% et dont la bande de roulement continue d’adhérer aux deux flancs, est réputé avoir subi l’essai avec succès. ».</w:t>
      </w:r>
    </w:p>
    <w:p w14:paraId="04B871AF" w14:textId="77777777" w:rsidR="008442B4" w:rsidRPr="009F2C88" w:rsidRDefault="008442B4" w:rsidP="00706F88">
      <w:pPr>
        <w:pStyle w:val="SingleTxtG"/>
      </w:pPr>
      <w:r w:rsidRPr="009F2C88">
        <w:rPr>
          <w:i/>
        </w:rPr>
        <w:t>Ajouter un nouveau paragraphe, 6.2.2.3</w:t>
      </w:r>
      <w:r w:rsidRPr="009F2C88">
        <w:t>, libellé comme suit :</w:t>
      </w:r>
    </w:p>
    <w:p w14:paraId="32EE0631" w14:textId="77777777" w:rsidR="008442B4" w:rsidRPr="009F2C88" w:rsidRDefault="008442B4" w:rsidP="008442B4">
      <w:pPr>
        <w:pStyle w:val="SingleTxtG"/>
        <w:ind w:left="2268" w:hanging="1134"/>
      </w:pPr>
      <w:r w:rsidRPr="009F2C88">
        <w:t>« 6.2.2.3</w:t>
      </w:r>
      <w:r w:rsidRPr="009F2C88">
        <w:tab/>
        <w:t>Un pneumatique de mobilité prolongée qui, après avoir été soumis à l’essai spécifié au paragraphe 4 de l’annexe 7, ne présente pas de diminution de la hauteur de la partie comprimée du pneumatique, par rapport au début de l’essai, supérieure à 20</w:t>
      </w:r>
      <w:r w:rsidR="00AE24F0" w:rsidRPr="009F2C88">
        <w:t> </w:t>
      </w:r>
      <w:r w:rsidRPr="009F2C88">
        <w:t>% et dont la bande de roulement continue d’adhérer aux deux flancs, est réputé avoir subi l’essai avec succès. ».</w:t>
      </w:r>
    </w:p>
    <w:p w14:paraId="70704171" w14:textId="77777777" w:rsidR="008442B4" w:rsidRPr="009F2C88" w:rsidRDefault="008442B4" w:rsidP="00706F88">
      <w:pPr>
        <w:pStyle w:val="SingleTxtG"/>
        <w:rPr>
          <w:i/>
        </w:rPr>
      </w:pPr>
      <w:r w:rsidRPr="009F2C88">
        <w:rPr>
          <w:i/>
        </w:rPr>
        <w:t>Annexe 1</w:t>
      </w:r>
      <w:r w:rsidRPr="009F2C88">
        <w:t>,</w:t>
      </w:r>
    </w:p>
    <w:p w14:paraId="1D8B7C5F" w14:textId="77777777" w:rsidR="008442B4" w:rsidRPr="009F2C88" w:rsidRDefault="008442B4" w:rsidP="00706F88">
      <w:pPr>
        <w:pStyle w:val="SingleTxtG"/>
      </w:pPr>
      <w:r w:rsidRPr="009F2C88">
        <w:rPr>
          <w:i/>
        </w:rPr>
        <w:t>Ajouter un nouveau point, 4.6</w:t>
      </w:r>
      <w:r w:rsidRPr="009F2C88">
        <w:t>, ainsi libellé :</w:t>
      </w:r>
    </w:p>
    <w:p w14:paraId="0B2F06C8" w14:textId="77777777" w:rsidR="008442B4" w:rsidRPr="009F2C88" w:rsidRDefault="008442B4" w:rsidP="00AE24F0">
      <w:pPr>
        <w:pStyle w:val="SingleTxtG"/>
        <w:tabs>
          <w:tab w:val="right" w:leader="dot" w:pos="8505"/>
        </w:tabs>
        <w:ind w:left="2268" w:hanging="1134"/>
      </w:pPr>
      <w:r w:rsidRPr="009F2C88">
        <w:t>« 4.6</w:t>
      </w:r>
      <w:r w:rsidRPr="009F2C88">
        <w:tab/>
        <w:t>Pneumatique à mobilité prolongée : (oui/non)</w:t>
      </w:r>
      <w:r w:rsidR="00AE24F0" w:rsidRPr="009F2C88">
        <w:rPr>
          <w:sz w:val="18"/>
          <w:szCs w:val="18"/>
          <w:vertAlign w:val="superscript"/>
        </w:rPr>
        <w:t>2</w:t>
      </w:r>
      <w:r w:rsidR="00AE24F0" w:rsidRPr="009F2C88">
        <w:tab/>
      </w:r>
      <w:r w:rsidRPr="009F2C88">
        <w:t> ».</w:t>
      </w:r>
    </w:p>
    <w:p w14:paraId="2623D7F6" w14:textId="77777777" w:rsidR="008442B4" w:rsidRPr="009F2C88" w:rsidRDefault="008442B4" w:rsidP="00706F88">
      <w:pPr>
        <w:pStyle w:val="SingleTxtG"/>
        <w:rPr>
          <w:i/>
        </w:rPr>
      </w:pPr>
      <w:r w:rsidRPr="009F2C88">
        <w:rPr>
          <w:i/>
        </w:rPr>
        <w:t>Annexe 3</w:t>
      </w:r>
      <w:r w:rsidRPr="009F2C88">
        <w:t>,</w:t>
      </w:r>
    </w:p>
    <w:p w14:paraId="4820BFC6" w14:textId="77777777" w:rsidR="008442B4" w:rsidRPr="009F2C88" w:rsidRDefault="008442B4" w:rsidP="00706F88">
      <w:pPr>
        <w:pStyle w:val="SingleTxtG"/>
      </w:pPr>
      <w:r w:rsidRPr="009F2C88">
        <w:rPr>
          <w:i/>
        </w:rPr>
        <w:t>Paragraphe 2</w:t>
      </w:r>
      <w:r w:rsidRPr="009F2C88">
        <w:t>, remplacer 3.1.3 par 2.25.3.</w:t>
      </w:r>
    </w:p>
    <w:p w14:paraId="2B69ECBE" w14:textId="77777777" w:rsidR="008442B4" w:rsidRPr="009F2C88" w:rsidRDefault="008442B4" w:rsidP="00706F88">
      <w:pPr>
        <w:pStyle w:val="SingleTxtG"/>
      </w:pPr>
      <w:r w:rsidRPr="009F2C88">
        <w:rPr>
          <w:i/>
        </w:rPr>
        <w:t>Paragraphe 3</w:t>
      </w:r>
      <w:r w:rsidRPr="009F2C88">
        <w:t xml:space="preserve">, </w:t>
      </w:r>
      <w:proofErr w:type="gramStart"/>
      <w:r w:rsidRPr="009F2C88">
        <w:t>lire  :</w:t>
      </w:r>
      <w:proofErr w:type="gramEnd"/>
    </w:p>
    <w:p w14:paraId="19ABF863" w14:textId="77777777" w:rsidR="008442B4" w:rsidRPr="009F2C88" w:rsidRDefault="008442B4" w:rsidP="008442B4">
      <w:pPr>
        <w:pStyle w:val="SingleTxtG"/>
        <w:ind w:left="2268" w:hanging="1134"/>
      </w:pPr>
      <w:r w:rsidRPr="009F2C88">
        <w:t>« 3.</w:t>
      </w:r>
      <w:r w:rsidRPr="009F2C88">
        <w:tab/>
        <w:t>L’emplacement et l’ordre des inscriptions composant la désignation du pneumatique doivent être les suivants :</w:t>
      </w:r>
    </w:p>
    <w:p w14:paraId="7564ACC0" w14:textId="77777777" w:rsidR="008442B4" w:rsidRPr="009F2C88" w:rsidRDefault="008442B4" w:rsidP="008442B4">
      <w:pPr>
        <w:pStyle w:val="para"/>
        <w:ind w:left="2835" w:right="1042" w:hanging="561"/>
        <w:rPr>
          <w:spacing w:val="-2"/>
          <w:lang w:val="fr-CH"/>
        </w:rPr>
      </w:pPr>
      <w:r w:rsidRPr="009F2C88">
        <w:rPr>
          <w:lang w:val="fr-CH"/>
        </w:rPr>
        <w:t>a)</w:t>
      </w:r>
      <w:r w:rsidRPr="009F2C88">
        <w:rPr>
          <w:lang w:val="fr-CH"/>
        </w:rPr>
        <w:tab/>
      </w:r>
      <w:r w:rsidRPr="009F2C88">
        <w:rPr>
          <w:spacing w:val="-2"/>
          <w:lang w:val="fr-CH"/>
        </w:rPr>
        <w:t>La désignation de la dimension telle que définie au paragraphe 2.25 du présent Règlement doit être groupée comme indiqué dans les exemples ci-dessus : 185/70 R 14, P185/70 R 14, T185/70 R 14 et 185-560 R 400A ou 185-560 R 400U ;</w:t>
      </w:r>
    </w:p>
    <w:p w14:paraId="32444A32" w14:textId="77777777" w:rsidR="008442B4" w:rsidRPr="009F2C88" w:rsidRDefault="008442B4" w:rsidP="008442B4">
      <w:pPr>
        <w:pStyle w:val="para"/>
        <w:ind w:left="2835" w:right="1042" w:hanging="561"/>
        <w:rPr>
          <w:lang w:val="fr-CH"/>
        </w:rPr>
      </w:pPr>
      <w:r w:rsidRPr="009F2C88">
        <w:rPr>
          <w:lang w:val="fr-CH"/>
        </w:rPr>
        <w:t>b)</w:t>
      </w:r>
      <w:r w:rsidRPr="009F2C88">
        <w:rPr>
          <w:lang w:val="fr-CH"/>
        </w:rPr>
        <w:tab/>
        <w:t>La description de service comportant l’indice de charge et le code de vitesse doit être placée immédiatement après la désignation de la dimension du pneumatique telle que définie au paragraphe 2.25 du présent Règlement ;</w:t>
      </w:r>
    </w:p>
    <w:p w14:paraId="00DF312A" w14:textId="77777777" w:rsidR="008442B4" w:rsidRPr="009F2C88" w:rsidRDefault="008442B4" w:rsidP="0070513B">
      <w:pPr>
        <w:pStyle w:val="para"/>
        <w:ind w:left="2835" w:right="1042" w:hanging="561"/>
        <w:rPr>
          <w:lang w:val="fr-CH"/>
        </w:rPr>
      </w:pPr>
      <w:r w:rsidRPr="009F2C88">
        <w:rPr>
          <w:lang w:val="fr-CH"/>
        </w:rPr>
        <w:t>c)</w:t>
      </w:r>
      <w:r w:rsidRPr="009F2C88">
        <w:rPr>
          <w:lang w:val="fr-CH"/>
        </w:rPr>
        <w:tab/>
        <w:t>Les symboles “TUBELESS”, “REINFORCED” et “M+S” et “ET” et “POR” peuvent être éloignés de la désignation de la dimension. ».</w:t>
      </w:r>
    </w:p>
    <w:p w14:paraId="0D6DD94D" w14:textId="77777777" w:rsidR="008442B4" w:rsidRPr="009F2C88" w:rsidRDefault="008442B4" w:rsidP="00706F88">
      <w:pPr>
        <w:pStyle w:val="SingleTxtG"/>
        <w:rPr>
          <w:i/>
        </w:rPr>
      </w:pPr>
      <w:r w:rsidRPr="009F2C88">
        <w:rPr>
          <w:i/>
        </w:rPr>
        <w:t>Annexe 6</w:t>
      </w:r>
      <w:r w:rsidRPr="009F2C88">
        <w:t>,</w:t>
      </w:r>
    </w:p>
    <w:p w14:paraId="4A360590" w14:textId="77777777" w:rsidR="008442B4" w:rsidRPr="009F2C88" w:rsidRDefault="008442B4" w:rsidP="00706F88">
      <w:pPr>
        <w:pStyle w:val="SingleTxtG"/>
      </w:pPr>
      <w:r w:rsidRPr="009F2C88">
        <w:rPr>
          <w:i/>
        </w:rPr>
        <w:t>Paragraphe 1.1</w:t>
      </w:r>
      <w:r w:rsidRPr="009F2C88">
        <w:t>, remplacer 4.1.12 par 4.1.13.</w:t>
      </w:r>
    </w:p>
    <w:p w14:paraId="15803933" w14:textId="77777777" w:rsidR="008442B4" w:rsidRPr="009F2C88" w:rsidRDefault="008442B4" w:rsidP="00706F88">
      <w:pPr>
        <w:pStyle w:val="SingleTxtG"/>
      </w:pPr>
      <w:r w:rsidRPr="009F2C88">
        <w:rPr>
          <w:i/>
        </w:rPr>
        <w:t>Paragraphe 1.2.3</w:t>
      </w:r>
      <w:r w:rsidRPr="009F2C88">
        <w:t xml:space="preserve">, </w:t>
      </w:r>
      <w:proofErr w:type="gramStart"/>
      <w:r w:rsidRPr="009F2C88">
        <w:t>lire  :</w:t>
      </w:r>
      <w:proofErr w:type="gramEnd"/>
    </w:p>
    <w:p w14:paraId="731F0715" w14:textId="77777777" w:rsidR="008442B4" w:rsidRPr="009F2C88" w:rsidRDefault="008442B4" w:rsidP="008442B4">
      <w:pPr>
        <w:pStyle w:val="SingleTxtG"/>
        <w:ind w:left="2268" w:hanging="1134"/>
      </w:pPr>
      <w:r w:rsidRPr="009F2C88">
        <w:t>« 1.2.3</w:t>
      </w:r>
      <w:r w:rsidRPr="009F2C88">
        <w:tab/>
      </w:r>
      <w:r w:rsidR="00BE3E9F" w:rsidRPr="009F2C88">
        <w:t xml:space="preserve">Pour </w:t>
      </w:r>
      <w:r w:rsidRPr="009F2C88">
        <w:t>les pneumatiques standard à structure radiale et les pneumatiques standard à roulage à plat : 1,8 bar ; ».</w:t>
      </w:r>
    </w:p>
    <w:p w14:paraId="085F9B41" w14:textId="77777777" w:rsidR="008442B4" w:rsidRPr="009F2C88" w:rsidRDefault="008442B4" w:rsidP="00706F88">
      <w:pPr>
        <w:pStyle w:val="SingleTxtG"/>
      </w:pPr>
      <w:r w:rsidRPr="009F2C88">
        <w:rPr>
          <w:i/>
        </w:rPr>
        <w:t>Paragraphe 1.2.4</w:t>
      </w:r>
      <w:r w:rsidRPr="009F2C88">
        <w:t xml:space="preserve">, </w:t>
      </w:r>
      <w:proofErr w:type="gramStart"/>
      <w:r w:rsidRPr="009F2C88">
        <w:t>lire  :</w:t>
      </w:r>
      <w:proofErr w:type="gramEnd"/>
    </w:p>
    <w:p w14:paraId="56D3D25F" w14:textId="77777777" w:rsidR="008442B4" w:rsidRPr="009F2C88" w:rsidRDefault="008442B4" w:rsidP="008442B4">
      <w:pPr>
        <w:pStyle w:val="SingleTxtG"/>
        <w:ind w:left="2268" w:hanging="1134"/>
      </w:pPr>
      <w:r w:rsidRPr="009F2C88">
        <w:t>« 1.2.4</w:t>
      </w:r>
      <w:r w:rsidRPr="009F2C88">
        <w:tab/>
      </w:r>
      <w:r w:rsidR="00BE3E9F" w:rsidRPr="009F2C88">
        <w:t xml:space="preserve">Pour </w:t>
      </w:r>
      <w:r w:rsidRPr="009F2C88">
        <w:t>les pneumatiques renforcés à structure radiale et les pneumatiques renforcés à roulage à plat : 2,2</w:t>
      </w:r>
      <w:r w:rsidR="003606A1">
        <w:t> </w:t>
      </w:r>
      <w:proofErr w:type="gramStart"/>
      <w:r w:rsidRPr="009F2C88">
        <w:t>bar</w:t>
      </w:r>
      <w:proofErr w:type="gramEnd"/>
      <w:r w:rsidRPr="009F2C88">
        <w:t> ; ».</w:t>
      </w:r>
    </w:p>
    <w:p w14:paraId="173A647A" w14:textId="77777777" w:rsidR="008442B4" w:rsidRPr="009F2C88" w:rsidRDefault="008442B4" w:rsidP="00706F88">
      <w:pPr>
        <w:pStyle w:val="SingleTxtG"/>
        <w:rPr>
          <w:i/>
        </w:rPr>
      </w:pPr>
      <w:r w:rsidRPr="009F2C88">
        <w:rPr>
          <w:i/>
        </w:rPr>
        <w:t>Annexe 7</w:t>
      </w:r>
      <w:r w:rsidRPr="009F2C88">
        <w:t>,</w:t>
      </w:r>
    </w:p>
    <w:p w14:paraId="362D4741" w14:textId="77777777" w:rsidR="008442B4" w:rsidRPr="009F2C88" w:rsidRDefault="008442B4" w:rsidP="00706F88">
      <w:pPr>
        <w:pStyle w:val="SingleTxtG"/>
      </w:pPr>
      <w:r w:rsidRPr="009F2C88">
        <w:rPr>
          <w:i/>
        </w:rPr>
        <w:t>Paragraphe 1.1</w:t>
      </w:r>
      <w:r w:rsidRPr="009F2C88">
        <w:t>, remplacer 4.1.12 par 4.1.13.</w:t>
      </w:r>
    </w:p>
    <w:p w14:paraId="02136587" w14:textId="77777777" w:rsidR="008442B4" w:rsidRPr="009F2C88" w:rsidRDefault="008442B4" w:rsidP="00706F88">
      <w:pPr>
        <w:pStyle w:val="SingleTxtG"/>
      </w:pPr>
      <w:r w:rsidRPr="0022633F">
        <w:rPr>
          <w:i/>
        </w:rPr>
        <w:t>Paragraphe 1.2, tableau, en-tête de la troisième colonne</w:t>
      </w:r>
      <w:r w:rsidRPr="009F2C88">
        <w:t xml:space="preserve">, remplacer </w:t>
      </w:r>
      <w:r w:rsidR="00A91C73" w:rsidRPr="009F2C88">
        <w:t>« </w:t>
      </w:r>
      <w:r w:rsidRPr="009F2C88">
        <w:t>Système à structure radiale et/ou de roulage à plat</w:t>
      </w:r>
      <w:r w:rsidR="00A91C73" w:rsidRPr="009F2C88">
        <w:t> »</w:t>
      </w:r>
      <w:r w:rsidRPr="009F2C88">
        <w:t xml:space="preserve"> par </w:t>
      </w:r>
      <w:r w:rsidR="00A91C73" w:rsidRPr="009F2C88">
        <w:t>« </w:t>
      </w:r>
      <w:r w:rsidRPr="009F2C88">
        <w:t>Pneumatiques à structure radiale et de roulage à plat</w:t>
      </w:r>
      <w:r w:rsidR="00A91C73" w:rsidRPr="009F2C88">
        <w:t>. »</w:t>
      </w:r>
      <w:r w:rsidRPr="009F2C88">
        <w:t>.</w:t>
      </w:r>
    </w:p>
    <w:p w14:paraId="3D2AA883" w14:textId="77777777" w:rsidR="008442B4" w:rsidRPr="009F2C88" w:rsidRDefault="008442B4" w:rsidP="00706F88">
      <w:pPr>
        <w:pStyle w:val="SingleTxtG"/>
      </w:pPr>
      <w:r w:rsidRPr="009F2C88">
        <w:rPr>
          <w:i/>
        </w:rPr>
        <w:t>Paragraphe 2.2.2</w:t>
      </w:r>
      <w:r w:rsidRPr="009F2C88">
        <w:t>, remplacer 2.37.2 par 2.40.2.</w:t>
      </w:r>
    </w:p>
    <w:p w14:paraId="288F7379" w14:textId="77777777" w:rsidR="008442B4" w:rsidRPr="009F2C88" w:rsidRDefault="008442B4" w:rsidP="00706F88">
      <w:pPr>
        <w:pStyle w:val="SingleTxtG"/>
      </w:pPr>
      <w:r w:rsidRPr="009F2C88">
        <w:rPr>
          <w:i/>
        </w:rPr>
        <w:t>Paragraphe 2.2.3</w:t>
      </w:r>
      <w:r w:rsidRPr="009F2C88">
        <w:t>, remplacer 2.37.3 par 2.40.3.</w:t>
      </w:r>
    </w:p>
    <w:p w14:paraId="224DB72F" w14:textId="77777777" w:rsidR="008442B4" w:rsidRPr="009F2C88" w:rsidRDefault="008442B4" w:rsidP="00706F88">
      <w:pPr>
        <w:pStyle w:val="SingleTxtG"/>
      </w:pPr>
      <w:r w:rsidRPr="009F2C88">
        <w:rPr>
          <w:i/>
        </w:rPr>
        <w:t>Paragraphe 2.2.4</w:t>
      </w:r>
      <w:r w:rsidRPr="009F2C88">
        <w:t>, remplacer 2.37.4 par 2.40.4.</w:t>
      </w:r>
    </w:p>
    <w:p w14:paraId="1A7951D4" w14:textId="77777777" w:rsidR="008442B4" w:rsidRPr="009F2C88" w:rsidRDefault="008442B4" w:rsidP="00706F88">
      <w:pPr>
        <w:pStyle w:val="SingleTxtG"/>
      </w:pPr>
      <w:r w:rsidRPr="009F2C88">
        <w:rPr>
          <w:i/>
        </w:rPr>
        <w:t>Paragraphe 2.5.2</w:t>
      </w:r>
      <w:r w:rsidRPr="009F2C88">
        <w:t>, remplacer 2.34.1 par 2.37.1.</w:t>
      </w:r>
    </w:p>
    <w:p w14:paraId="3B44FDFE" w14:textId="77777777" w:rsidR="008442B4" w:rsidRPr="009F2C88" w:rsidRDefault="008442B4" w:rsidP="00706F88">
      <w:pPr>
        <w:pStyle w:val="SingleTxtG"/>
      </w:pPr>
      <w:r w:rsidRPr="009F2C88">
        <w:rPr>
          <w:i/>
        </w:rPr>
        <w:lastRenderedPageBreak/>
        <w:t>Paragraphe 2.6.1</w:t>
      </w:r>
      <w:r w:rsidRPr="009F2C88">
        <w:t>, remplacer 4.1.15 par 4.1.16.</w:t>
      </w:r>
    </w:p>
    <w:p w14:paraId="60D0DA27" w14:textId="77777777" w:rsidR="008442B4" w:rsidRPr="009F2C88" w:rsidRDefault="008442B4" w:rsidP="00706F88">
      <w:pPr>
        <w:pStyle w:val="SingleTxtG"/>
      </w:pPr>
      <w:r w:rsidRPr="009F2C88">
        <w:rPr>
          <w:i/>
        </w:rPr>
        <w:t>Paragraphe 3</w:t>
      </w:r>
      <w:r w:rsidRPr="009F2C88">
        <w:t xml:space="preserve">, </w:t>
      </w:r>
      <w:proofErr w:type="gramStart"/>
      <w:r w:rsidRPr="009F2C88">
        <w:t>lire  :</w:t>
      </w:r>
      <w:proofErr w:type="gramEnd"/>
    </w:p>
    <w:p w14:paraId="474E050D" w14:textId="77777777" w:rsidR="008442B4" w:rsidRPr="009F2C88" w:rsidRDefault="008442B4" w:rsidP="008442B4">
      <w:pPr>
        <w:pStyle w:val="SingleTxtG"/>
        <w:ind w:left="2268" w:hanging="1134"/>
      </w:pPr>
      <w:r w:rsidRPr="009F2C88">
        <w:t>« 3.</w:t>
      </w:r>
      <w:r w:rsidRPr="009F2C88">
        <w:tab/>
        <w:t>Procédure d’évaluation du “mode de roulage à plat” des “systèmes de pneumatiques pour roulage à plat” ».</w:t>
      </w:r>
    </w:p>
    <w:p w14:paraId="1724995E" w14:textId="77777777" w:rsidR="008442B4" w:rsidRPr="009F2C88" w:rsidRDefault="008442B4" w:rsidP="00706F88">
      <w:pPr>
        <w:pStyle w:val="SingleTxtG"/>
      </w:pPr>
      <w:r w:rsidRPr="009F2C88">
        <w:rPr>
          <w:i/>
        </w:rPr>
        <w:t>Paragraphe 3.1</w:t>
      </w:r>
      <w:r w:rsidRPr="009F2C88">
        <w:t xml:space="preserve">, </w:t>
      </w:r>
      <w:proofErr w:type="gramStart"/>
      <w:r w:rsidRPr="009F2C88">
        <w:t>lire  :</w:t>
      </w:r>
      <w:proofErr w:type="gramEnd"/>
    </w:p>
    <w:p w14:paraId="721C7639" w14:textId="77777777" w:rsidR="008442B4" w:rsidRPr="009F2C88" w:rsidRDefault="008442B4" w:rsidP="008442B4">
      <w:pPr>
        <w:pStyle w:val="SingleTxtG"/>
        <w:ind w:left="2268" w:hanging="1134"/>
      </w:pPr>
      <w:r w:rsidRPr="009F2C88">
        <w:t>« 3.1</w:t>
      </w:r>
      <w:r w:rsidRPr="009F2C88">
        <w:tab/>
        <w:t xml:space="preserve">Monter un pneumatique neuf sur </w:t>
      </w:r>
      <w:r w:rsidRPr="009F2C88">
        <w:rPr>
          <w:bCs/>
        </w:rPr>
        <w:t>une</w:t>
      </w:r>
      <w:r w:rsidRPr="009F2C88">
        <w:t xml:space="preserve"> jante d’essai présentant les caractéristiques suivantes :</w:t>
      </w:r>
    </w:p>
    <w:p w14:paraId="48F0690F" w14:textId="77777777" w:rsidR="008442B4" w:rsidRPr="009F2C88" w:rsidRDefault="008442B4" w:rsidP="00A91C73">
      <w:pPr>
        <w:pStyle w:val="SingleTxtG"/>
        <w:ind w:left="2835" w:hanging="567"/>
      </w:pPr>
      <w:r w:rsidRPr="009F2C88">
        <w:t>a)</w:t>
      </w:r>
      <w:r w:rsidRPr="009F2C88">
        <w:tab/>
      </w:r>
      <w:r w:rsidRPr="009F2C88">
        <w:rPr>
          <w:bCs/>
        </w:rPr>
        <w:t>Largeur de la jante de mesure conforme aux prescriptions de la norme ISO</w:t>
      </w:r>
      <w:r w:rsidR="00A91C73" w:rsidRPr="009F2C88">
        <w:rPr>
          <w:bCs/>
        </w:rPr>
        <w:t> </w:t>
      </w:r>
      <w:r w:rsidRPr="009F2C88">
        <w:rPr>
          <w:bCs/>
        </w:rPr>
        <w:t>4000-1 ;</w:t>
      </w:r>
    </w:p>
    <w:p w14:paraId="49FB4422" w14:textId="77777777" w:rsidR="008442B4" w:rsidRPr="009F2C88" w:rsidRDefault="008442B4" w:rsidP="00A91C73">
      <w:pPr>
        <w:pStyle w:val="SingleTxtG"/>
        <w:ind w:left="2835" w:hanging="567"/>
      </w:pPr>
      <w:r w:rsidRPr="009F2C88">
        <w:t>b)</w:t>
      </w:r>
      <w:r w:rsidRPr="009F2C88">
        <w:tab/>
      </w:r>
      <w:r w:rsidRPr="009F2C88">
        <w:rPr>
          <w:bCs/>
        </w:rPr>
        <w:t>Profil avec bossage (rond ou plat) sur les deux côtés de la jante conforme aux prescriptions de la norme ISO 4000-2. ».</w:t>
      </w:r>
    </w:p>
    <w:p w14:paraId="4771A478" w14:textId="77777777" w:rsidR="008442B4" w:rsidRPr="009F2C88" w:rsidRDefault="008442B4" w:rsidP="008442B4">
      <w:pPr>
        <w:pStyle w:val="SingleTxtG"/>
      </w:pPr>
      <w:r w:rsidRPr="009F2C88">
        <w:rPr>
          <w:i/>
        </w:rPr>
        <w:t>Paragraphe</w:t>
      </w:r>
      <w:r w:rsidRPr="009F2C88">
        <w:rPr>
          <w:i/>
          <w:iCs/>
        </w:rPr>
        <w:t xml:space="preserve"> 3.2</w:t>
      </w:r>
      <w:r w:rsidRPr="009F2C88">
        <w:t>, lire :</w:t>
      </w:r>
    </w:p>
    <w:p w14:paraId="6DBF5A72" w14:textId="77777777" w:rsidR="008442B4" w:rsidRPr="009F2C88" w:rsidRDefault="008442B4" w:rsidP="008442B4">
      <w:pPr>
        <w:pStyle w:val="SingleTxtG"/>
        <w:ind w:left="2268" w:hanging="1134"/>
      </w:pPr>
      <w:r w:rsidRPr="009F2C88">
        <w:t>« 3.2</w:t>
      </w:r>
      <w:r w:rsidRPr="009F2C88">
        <w:tab/>
        <w:t>Suivre la procédure décrite aux paragraphes 1.2 à 1.5 ci-dessus, à une température ambiante de 38 </w:t>
      </w:r>
      <w:r w:rsidRPr="009F2C88">
        <w:sym w:font="Symbol" w:char="F0B1"/>
      </w:r>
      <w:r w:rsidRPr="009F2C88">
        <w:t xml:space="preserve">3 °C, la roue complète ayant été conditionnée conformément au paragraphe 1.4. </w:t>
      </w:r>
      <w:r w:rsidRPr="009F2C88">
        <w:rPr>
          <w:bCs/>
        </w:rPr>
        <w:t>Le capteur de température doit se trouver à une distance d’au moins 0,15 m et d’au plus 1 m du flanc du pneumatique. ».</w:t>
      </w:r>
    </w:p>
    <w:p w14:paraId="60FDB2DC" w14:textId="77777777" w:rsidR="008442B4" w:rsidRPr="009F2C88" w:rsidRDefault="008442B4" w:rsidP="008442B4">
      <w:pPr>
        <w:pStyle w:val="SingleTxtG"/>
      </w:pPr>
      <w:r w:rsidRPr="009F2C88">
        <w:rPr>
          <w:i/>
        </w:rPr>
        <w:t>Paragraphe</w:t>
      </w:r>
      <w:r w:rsidRPr="009F2C88">
        <w:rPr>
          <w:i/>
          <w:iCs/>
        </w:rPr>
        <w:t xml:space="preserve"> 3.8.2</w:t>
      </w:r>
      <w:r w:rsidRPr="009F2C88">
        <w:t>, lire :</w:t>
      </w:r>
    </w:p>
    <w:p w14:paraId="7FC38E0A" w14:textId="77777777" w:rsidR="008442B4" w:rsidRPr="009F2C88" w:rsidRDefault="008442B4" w:rsidP="008442B4">
      <w:pPr>
        <w:pStyle w:val="SingleTxtG"/>
        <w:ind w:left="2268" w:hanging="1134"/>
      </w:pPr>
      <w:r w:rsidRPr="009F2C88">
        <w:t>« 3.8.2</w:t>
      </w:r>
      <w:r w:rsidRPr="009F2C88">
        <w:tab/>
        <w:t xml:space="preserve">Vitesse d’essai : 80 km/h </w:t>
      </w:r>
      <w:r w:rsidRPr="009F2C88">
        <w:rPr>
          <w:bCs/>
        </w:rPr>
        <w:t>sur un diamètre de tambour de 2 m </w:t>
      </w:r>
      <w:r w:rsidRPr="009F2C88">
        <w:rPr>
          <w:bCs/>
        </w:rPr>
        <w:sym w:font="Symbol" w:char="F0B1"/>
      </w:r>
      <w:r w:rsidRPr="009F2C88">
        <w:rPr>
          <w:bCs/>
        </w:rPr>
        <w:t>1 %, ou 75 km/h sur un diamètre de tambour de 1,7 m </w:t>
      </w:r>
      <w:r w:rsidRPr="009F2C88">
        <w:rPr>
          <w:bCs/>
        </w:rPr>
        <w:sym w:font="Symbol" w:char="F0B1"/>
      </w:r>
      <w:r w:rsidRPr="009F2C88">
        <w:rPr>
          <w:bCs/>
        </w:rPr>
        <w:t>1 %. ».</w:t>
      </w:r>
    </w:p>
    <w:p w14:paraId="0C2D19F6" w14:textId="77777777" w:rsidR="008442B4" w:rsidRPr="009F2C88" w:rsidRDefault="008442B4" w:rsidP="008442B4">
      <w:pPr>
        <w:pStyle w:val="SingleTxtG"/>
      </w:pPr>
      <w:r w:rsidRPr="009F2C88">
        <w:rPr>
          <w:i/>
        </w:rPr>
        <w:t>Ajouter</w:t>
      </w:r>
      <w:r w:rsidRPr="009F2C88">
        <w:rPr>
          <w:i/>
          <w:iCs/>
        </w:rPr>
        <w:t xml:space="preserve"> les nouveaux paragraphes 4</w:t>
      </w:r>
      <w:r w:rsidRPr="009F2C88">
        <w:t xml:space="preserve"> </w:t>
      </w:r>
      <w:r w:rsidRPr="009F2C88">
        <w:rPr>
          <w:i/>
          <w:iCs/>
        </w:rPr>
        <w:t>à 4.9.1</w:t>
      </w:r>
      <w:r w:rsidRPr="009F2C88">
        <w:t>, libellés comme suit :</w:t>
      </w:r>
    </w:p>
    <w:p w14:paraId="39499D74" w14:textId="77777777" w:rsidR="008442B4" w:rsidRPr="009F2C88" w:rsidRDefault="008442B4" w:rsidP="008442B4">
      <w:pPr>
        <w:pStyle w:val="SingleTxtG"/>
        <w:ind w:left="2268" w:hanging="1134"/>
      </w:pPr>
      <w:r w:rsidRPr="009F2C88">
        <w:rPr>
          <w:bCs/>
        </w:rPr>
        <w:t>« 4.</w:t>
      </w:r>
      <w:r w:rsidRPr="009F2C88">
        <w:tab/>
      </w:r>
      <w:r w:rsidRPr="009F2C88">
        <w:rPr>
          <w:bCs/>
        </w:rPr>
        <w:t>Procédure d’évaluation du “mode de roulage à plat” des “pneumatiques de mobilité prolongée”</w:t>
      </w:r>
    </w:p>
    <w:p w14:paraId="582A2FA0" w14:textId="77777777" w:rsidR="008442B4" w:rsidRPr="009F2C88" w:rsidRDefault="008442B4" w:rsidP="008442B4">
      <w:pPr>
        <w:pStyle w:val="SingleTxtG"/>
        <w:ind w:left="2268" w:hanging="1134"/>
      </w:pPr>
      <w:r w:rsidRPr="009F2C88">
        <w:t>4.1</w:t>
      </w:r>
      <w:r w:rsidRPr="009F2C88">
        <w:tab/>
      </w:r>
      <w:r w:rsidRPr="009F2C88">
        <w:rPr>
          <w:bCs/>
        </w:rPr>
        <w:t>Monter un pneumatique neuf sur une jante d’essai présentant les caractéristiques suivantes :</w:t>
      </w:r>
    </w:p>
    <w:p w14:paraId="6571E7B6" w14:textId="77777777" w:rsidR="008442B4" w:rsidRPr="009F2C88" w:rsidRDefault="008442B4" w:rsidP="00A91C73">
      <w:pPr>
        <w:pStyle w:val="SingleTxtG"/>
        <w:ind w:left="2835" w:hanging="567"/>
      </w:pPr>
      <w:r w:rsidRPr="009F2C88">
        <w:t>a)</w:t>
      </w:r>
      <w:r w:rsidRPr="009F2C88">
        <w:tab/>
      </w:r>
      <w:r w:rsidRPr="009F2C88">
        <w:rPr>
          <w:bCs/>
        </w:rPr>
        <w:t>Largeur de la jante de mesure conforme aux prescriptions de la norme ISO 4000-1 ;</w:t>
      </w:r>
    </w:p>
    <w:p w14:paraId="5DD3221C" w14:textId="77777777" w:rsidR="008442B4" w:rsidRPr="009F2C88" w:rsidRDefault="008442B4" w:rsidP="00A91C73">
      <w:pPr>
        <w:pStyle w:val="SingleTxtG"/>
        <w:ind w:left="2835" w:hanging="567"/>
      </w:pPr>
      <w:r w:rsidRPr="009F2C88">
        <w:t>b)</w:t>
      </w:r>
      <w:r w:rsidRPr="009F2C88">
        <w:tab/>
      </w:r>
      <w:r w:rsidRPr="009F2C88">
        <w:rPr>
          <w:bCs/>
        </w:rPr>
        <w:t>Profil avec bossage (rond ou plat) sur les deux côtés de la jante conforme aux prescriptions de la norme ISO 4000-2.</w:t>
      </w:r>
    </w:p>
    <w:p w14:paraId="07D062B8" w14:textId="77777777" w:rsidR="008442B4" w:rsidRPr="009F2C88" w:rsidRDefault="008442B4" w:rsidP="008442B4">
      <w:pPr>
        <w:pStyle w:val="SingleTxtG"/>
        <w:ind w:left="2268" w:hanging="1134"/>
      </w:pPr>
      <w:r w:rsidRPr="009F2C88">
        <w:t>4.2</w:t>
      </w:r>
      <w:r w:rsidRPr="009F2C88">
        <w:tab/>
      </w:r>
      <w:r w:rsidRPr="009F2C88">
        <w:rPr>
          <w:bCs/>
        </w:rPr>
        <w:t>Suivre la procédure décrite aux paragraphes 1.2 à 1.5 ci-dessus, à une température ambiante de 25 </w:t>
      </w:r>
      <w:r w:rsidRPr="009F2C88">
        <w:rPr>
          <w:bCs/>
        </w:rPr>
        <w:sym w:font="Symbol" w:char="F0B1"/>
      </w:r>
      <w:r w:rsidRPr="009F2C88">
        <w:rPr>
          <w:bCs/>
        </w:rPr>
        <w:t>3 °C, la roue complète ayant été conditionnée conformément au paragraphe 1.4. Le capteur de température doit se trouver à une distance d’au moins 0,15 m et d’au plus 1 m du flanc du pneumatique.</w:t>
      </w:r>
    </w:p>
    <w:p w14:paraId="6067D873" w14:textId="77777777" w:rsidR="008442B4" w:rsidRPr="009F2C88" w:rsidRDefault="008442B4" w:rsidP="008442B4">
      <w:pPr>
        <w:pStyle w:val="SingleTxtG"/>
        <w:ind w:left="2268" w:hanging="1134"/>
      </w:pPr>
      <w:r w:rsidRPr="009F2C88">
        <w:t>4.3</w:t>
      </w:r>
      <w:r w:rsidRPr="009F2C88">
        <w:tab/>
      </w:r>
      <w:r w:rsidRPr="009F2C88">
        <w:rPr>
          <w:bCs/>
        </w:rPr>
        <w:t>Dévisser la valve et attendre jusqu’à ce que le pneumatique soit complétement dégonflé.</w:t>
      </w:r>
    </w:p>
    <w:p w14:paraId="0AE7A90B" w14:textId="77777777" w:rsidR="008442B4" w:rsidRPr="009F2C88" w:rsidRDefault="008442B4" w:rsidP="008442B4">
      <w:pPr>
        <w:pStyle w:val="SingleTxtG"/>
        <w:ind w:left="2268" w:hanging="1134"/>
      </w:pPr>
      <w:r w:rsidRPr="009F2C88">
        <w:t>4.4</w:t>
      </w:r>
      <w:r w:rsidRPr="009F2C88">
        <w:tab/>
      </w:r>
      <w:r w:rsidRPr="009F2C88">
        <w:rPr>
          <w:bCs/>
        </w:rPr>
        <w:t>Monter la roue complète sur un essieu d’essai et la plaquer contre la face externe d’une roue lisse d’un diamètre de 1,70 m </w:t>
      </w:r>
      <w:r w:rsidRPr="009F2C88">
        <w:rPr>
          <w:bCs/>
        </w:rPr>
        <w:sym w:font="Symbol" w:char="F0B1"/>
      </w:r>
      <w:r w:rsidRPr="009F2C88">
        <w:rPr>
          <w:bCs/>
        </w:rPr>
        <w:t>1 % ou de 2,0 m </w:t>
      </w:r>
      <w:r w:rsidRPr="009F2C88">
        <w:rPr>
          <w:bCs/>
        </w:rPr>
        <w:sym w:font="Symbol" w:char="F0B1"/>
      </w:r>
      <w:r w:rsidRPr="009F2C88">
        <w:rPr>
          <w:bCs/>
        </w:rPr>
        <w:t>1 %.</w:t>
      </w:r>
    </w:p>
    <w:p w14:paraId="744CC8BC" w14:textId="77777777" w:rsidR="008442B4" w:rsidRPr="009F2C88" w:rsidRDefault="008442B4" w:rsidP="008442B4">
      <w:pPr>
        <w:pStyle w:val="SingleTxtG"/>
        <w:ind w:left="2268" w:hanging="1134"/>
      </w:pPr>
      <w:r w:rsidRPr="009F2C88">
        <w:t>4.5</w:t>
      </w:r>
      <w:r w:rsidRPr="009F2C88">
        <w:tab/>
      </w:r>
      <w:r w:rsidRPr="009F2C88">
        <w:rPr>
          <w:bCs/>
        </w:rPr>
        <w:t>Appliquer sur l’essieu d’essai une charge égale à 60 % de la capacité maximale nominale correspondant à l’indice de charge du pneumatique.</w:t>
      </w:r>
    </w:p>
    <w:p w14:paraId="40BDC7E9" w14:textId="77777777" w:rsidR="008442B4" w:rsidRPr="009F2C88" w:rsidRDefault="008442B4" w:rsidP="008442B4">
      <w:pPr>
        <w:pStyle w:val="SingleTxtG"/>
        <w:ind w:left="2268" w:hanging="1134"/>
      </w:pPr>
      <w:r w:rsidRPr="009F2C88">
        <w:t>4.6</w:t>
      </w:r>
      <w:r w:rsidRPr="009F2C88">
        <w:tab/>
      </w:r>
      <w:r w:rsidRPr="009F2C88">
        <w:rPr>
          <w:bCs/>
        </w:rPr>
        <w:t>Au début de l’épreuve, mesurer la hauteur Z1 de la partie comprimée du boudin.</w:t>
      </w:r>
    </w:p>
    <w:p w14:paraId="4BAB19F9" w14:textId="77777777" w:rsidR="008442B4" w:rsidRPr="009F2C88" w:rsidRDefault="008442B4" w:rsidP="008442B4">
      <w:pPr>
        <w:pStyle w:val="SingleTxtG"/>
        <w:ind w:left="2268" w:hanging="1134"/>
      </w:pPr>
      <w:r w:rsidRPr="009F2C88">
        <w:t>4.7</w:t>
      </w:r>
      <w:r w:rsidRPr="009F2C88">
        <w:tab/>
      </w:r>
      <w:r w:rsidRPr="009F2C88">
        <w:rPr>
          <w:bCs/>
        </w:rPr>
        <w:t>La température ambiante doit être maintenue à 25 </w:t>
      </w:r>
      <w:r w:rsidRPr="009F2C88">
        <w:rPr>
          <w:bCs/>
        </w:rPr>
        <w:sym w:font="Symbol" w:char="F0B1"/>
      </w:r>
      <w:r w:rsidRPr="009F2C88">
        <w:rPr>
          <w:bCs/>
        </w:rPr>
        <w:t>3 °C pendant la totalité de l’essai.</w:t>
      </w:r>
    </w:p>
    <w:p w14:paraId="7E10479C" w14:textId="77777777" w:rsidR="008442B4" w:rsidRPr="009F2C88" w:rsidRDefault="008442B4" w:rsidP="008442B4">
      <w:pPr>
        <w:pStyle w:val="SingleTxtG"/>
        <w:ind w:left="2268" w:hanging="1134"/>
      </w:pPr>
      <w:r w:rsidRPr="009F2C88">
        <w:t>4.8</w:t>
      </w:r>
      <w:r w:rsidRPr="009F2C88">
        <w:tab/>
      </w:r>
      <w:r w:rsidRPr="009F2C88">
        <w:rPr>
          <w:bCs/>
        </w:rPr>
        <w:t>Procéder à la totalité de l’essai, sans interruption, en respectant les paramètres ci-dessous :</w:t>
      </w:r>
    </w:p>
    <w:p w14:paraId="519829ED" w14:textId="77777777" w:rsidR="008442B4" w:rsidRPr="009F2C88" w:rsidRDefault="008442B4" w:rsidP="008442B4">
      <w:pPr>
        <w:pStyle w:val="SingleTxtG"/>
        <w:ind w:left="2268" w:hanging="1134"/>
      </w:pPr>
      <w:r w:rsidRPr="009F2C88">
        <w:t>4.8.1</w:t>
      </w:r>
      <w:r w:rsidRPr="009F2C88">
        <w:tab/>
      </w:r>
      <w:r w:rsidRPr="009F2C88">
        <w:rPr>
          <w:bCs/>
        </w:rPr>
        <w:t>Temps pour passer de la vitesse 0 à une vitesse d’essai constante : 5 min.</w:t>
      </w:r>
    </w:p>
    <w:p w14:paraId="558D457C" w14:textId="77777777" w:rsidR="008442B4" w:rsidRPr="009F2C88" w:rsidRDefault="008442B4" w:rsidP="008442B4">
      <w:pPr>
        <w:pStyle w:val="SingleTxtG"/>
        <w:ind w:left="2268" w:hanging="1134"/>
      </w:pPr>
      <w:r w:rsidRPr="009F2C88">
        <w:t>4.8.2</w:t>
      </w:r>
      <w:r w:rsidRPr="009F2C88">
        <w:tab/>
      </w:r>
      <w:r w:rsidRPr="009F2C88">
        <w:rPr>
          <w:bCs/>
        </w:rPr>
        <w:t>Vitesse d’essai : 80 km/h sur un diamètre de tambour de 2 m </w:t>
      </w:r>
      <w:r w:rsidRPr="009F2C88">
        <w:rPr>
          <w:bCs/>
        </w:rPr>
        <w:sym w:font="Symbol" w:char="F0B1"/>
      </w:r>
      <w:r w:rsidRPr="009F2C88">
        <w:rPr>
          <w:bCs/>
        </w:rPr>
        <w:t>1 %, ou 75 km/h sur un diamètre de tambour de 1,7 m </w:t>
      </w:r>
      <w:r w:rsidRPr="009F2C88">
        <w:rPr>
          <w:bCs/>
        </w:rPr>
        <w:sym w:font="Symbol" w:char="F0B1"/>
      </w:r>
      <w:r w:rsidRPr="009F2C88">
        <w:rPr>
          <w:bCs/>
        </w:rPr>
        <w:t>1 %.</w:t>
      </w:r>
    </w:p>
    <w:p w14:paraId="27AF7E77" w14:textId="77777777" w:rsidR="008442B4" w:rsidRPr="009F2C88" w:rsidRDefault="008442B4" w:rsidP="008442B4">
      <w:pPr>
        <w:pStyle w:val="SingleTxtG"/>
        <w:ind w:left="2268" w:hanging="1134"/>
      </w:pPr>
      <w:r w:rsidRPr="009F2C88">
        <w:lastRenderedPageBreak/>
        <w:t>4.8.3</w:t>
      </w:r>
      <w:r w:rsidRPr="009F2C88">
        <w:tab/>
      </w:r>
      <w:r w:rsidRPr="009F2C88">
        <w:rPr>
          <w:bCs/>
        </w:rPr>
        <w:t>Durée de l’essai à la vitesse d’essai : 60 min.</w:t>
      </w:r>
    </w:p>
    <w:p w14:paraId="12935B99" w14:textId="77777777" w:rsidR="008442B4" w:rsidRPr="009F2C88" w:rsidRDefault="008442B4" w:rsidP="008442B4">
      <w:pPr>
        <w:pStyle w:val="SingleTxtG"/>
        <w:ind w:left="2268" w:hanging="1134"/>
      </w:pPr>
      <w:r w:rsidRPr="009F2C88">
        <w:t>4.9</w:t>
      </w:r>
      <w:r w:rsidRPr="009F2C88">
        <w:tab/>
      </w:r>
      <w:r w:rsidRPr="009F2C88">
        <w:rPr>
          <w:bCs/>
        </w:rPr>
        <w:t>À la fin de l’essai, mesurer la hauteur Z2 de la partie comprimée du pneumatique.</w:t>
      </w:r>
    </w:p>
    <w:p w14:paraId="3A2DB12F" w14:textId="77777777" w:rsidR="008442B4" w:rsidRPr="009F2C88" w:rsidRDefault="008442B4" w:rsidP="008442B4">
      <w:pPr>
        <w:pStyle w:val="SingleTxtG"/>
        <w:ind w:left="2268" w:hanging="1134"/>
      </w:pPr>
      <w:r w:rsidRPr="009F2C88">
        <w:t>4.9.1</w:t>
      </w:r>
      <w:r w:rsidRPr="009F2C88">
        <w:tab/>
      </w:r>
      <w:r w:rsidRPr="009F2C88">
        <w:rPr>
          <w:bCs/>
        </w:rPr>
        <w:t>Calculer en pourcentage la diminution de la hauteur de la partie comprimée du pneumatique par rapport au début de l’essai ((Z1</w:t>
      </w:r>
      <w:r w:rsidR="00A91C73" w:rsidRPr="009F2C88">
        <w:rPr>
          <w:bCs/>
        </w:rPr>
        <w:t> - </w:t>
      </w:r>
      <w:r w:rsidRPr="009F2C88">
        <w:rPr>
          <w:bCs/>
        </w:rPr>
        <w:t>Z2) / Z1) x 100. ».</w:t>
      </w:r>
    </w:p>
    <w:p w14:paraId="05F31F2F" w14:textId="77777777" w:rsidR="008442B4" w:rsidRPr="009F2C88" w:rsidRDefault="008442B4" w:rsidP="008442B4">
      <w:pPr>
        <w:pStyle w:val="SingleTxtG"/>
      </w:pPr>
      <w:r w:rsidRPr="009F2C88">
        <w:rPr>
          <w:i/>
          <w:iCs/>
        </w:rPr>
        <w:t xml:space="preserve">Le </w:t>
      </w:r>
      <w:r w:rsidRPr="009F2C88">
        <w:rPr>
          <w:i/>
        </w:rPr>
        <w:t>paragraphe</w:t>
      </w:r>
      <w:r w:rsidRPr="009F2C88">
        <w:rPr>
          <w:i/>
          <w:iCs/>
        </w:rPr>
        <w:t xml:space="preserve"> 4 </w:t>
      </w:r>
      <w:r w:rsidRPr="009F2C88">
        <w:t>devient le paragraphe 5 et se lit comme suit :</w:t>
      </w:r>
    </w:p>
    <w:p w14:paraId="5B001003" w14:textId="77777777" w:rsidR="008442B4" w:rsidRPr="009F2C88" w:rsidRDefault="008442B4" w:rsidP="008442B4">
      <w:pPr>
        <w:pStyle w:val="SingleTxtG"/>
        <w:ind w:left="2268" w:hanging="1134"/>
      </w:pPr>
      <w:r w:rsidRPr="009F2C88">
        <w:t>« </w:t>
      </w:r>
      <w:r w:rsidRPr="009F2C88">
        <w:rPr>
          <w:bCs/>
        </w:rPr>
        <w:t>5</w:t>
      </w:r>
      <w:r w:rsidRPr="009F2C88">
        <w:t>.</w:t>
      </w:r>
      <w:r w:rsidRPr="009F2C88">
        <w:tab/>
        <w:t>Méthodes d’essai équivalentes</w:t>
      </w:r>
    </w:p>
    <w:p w14:paraId="2C7316F0" w14:textId="77777777" w:rsidR="008442B4" w:rsidRPr="009F2C88" w:rsidRDefault="008442B4" w:rsidP="008442B4">
      <w:pPr>
        <w:pStyle w:val="SingleTxtG"/>
        <w:ind w:left="2268"/>
      </w:pPr>
      <w:r w:rsidRPr="009F2C88">
        <w:t>Si une méthode différente de celle qui est décrite aux paragraphes 2 et/ou 3 et/ou 4 ci-dessus est utilisée, son équivalence doit être démontrée. ».</w:t>
      </w:r>
    </w:p>
    <w:p w14:paraId="5643B27A" w14:textId="77777777" w:rsidR="00F9573C" w:rsidRPr="009F2C88" w:rsidRDefault="008442B4" w:rsidP="008442B4">
      <w:pPr>
        <w:pStyle w:val="SingleTxtG"/>
        <w:spacing w:before="240" w:after="0"/>
        <w:jc w:val="center"/>
        <w:rPr>
          <w:u w:val="single"/>
        </w:rPr>
      </w:pPr>
      <w:r w:rsidRPr="009F2C88">
        <w:rPr>
          <w:u w:val="single"/>
        </w:rPr>
        <w:tab/>
      </w:r>
      <w:r w:rsidRPr="009F2C88">
        <w:rPr>
          <w:u w:val="single"/>
        </w:rPr>
        <w:tab/>
      </w:r>
      <w:r w:rsidRPr="009F2C88">
        <w:rPr>
          <w:u w:val="single"/>
        </w:rPr>
        <w:tab/>
      </w:r>
    </w:p>
    <w:sectPr w:rsidR="00F9573C" w:rsidRPr="009F2C88" w:rsidSect="0025249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6E6E" w14:textId="77777777" w:rsidR="00981354" w:rsidRDefault="00981354" w:rsidP="00F95C08">
      <w:pPr>
        <w:spacing w:line="240" w:lineRule="auto"/>
      </w:pPr>
    </w:p>
  </w:endnote>
  <w:endnote w:type="continuationSeparator" w:id="0">
    <w:p w14:paraId="2D10390E" w14:textId="77777777" w:rsidR="00981354" w:rsidRPr="00AC3823" w:rsidRDefault="00981354" w:rsidP="00AC3823">
      <w:pPr>
        <w:pStyle w:val="Footer"/>
      </w:pPr>
    </w:p>
  </w:endnote>
  <w:endnote w:type="continuationNotice" w:id="1">
    <w:p w14:paraId="05C7358A" w14:textId="77777777" w:rsidR="00981354" w:rsidRDefault="009813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7E4C" w14:textId="77777777" w:rsidR="00252498" w:rsidRPr="00252498" w:rsidRDefault="00252498" w:rsidP="00252498">
    <w:pPr>
      <w:pStyle w:val="Footer"/>
      <w:tabs>
        <w:tab w:val="right" w:pos="9638"/>
      </w:tabs>
    </w:pPr>
    <w:r w:rsidRPr="00252498">
      <w:rPr>
        <w:b/>
        <w:sz w:val="18"/>
      </w:rPr>
      <w:fldChar w:fldCharType="begin"/>
    </w:r>
    <w:r w:rsidRPr="00252498">
      <w:rPr>
        <w:b/>
        <w:sz w:val="18"/>
      </w:rPr>
      <w:instrText xml:space="preserve"> PAGE  \* MERGEFORMAT </w:instrText>
    </w:r>
    <w:r w:rsidRPr="00252498">
      <w:rPr>
        <w:b/>
        <w:sz w:val="18"/>
      </w:rPr>
      <w:fldChar w:fldCharType="separate"/>
    </w:r>
    <w:r w:rsidRPr="00252498">
      <w:rPr>
        <w:b/>
        <w:noProof/>
        <w:sz w:val="18"/>
      </w:rPr>
      <w:t>2</w:t>
    </w:r>
    <w:r w:rsidRPr="00252498">
      <w:rPr>
        <w:b/>
        <w:sz w:val="18"/>
      </w:rPr>
      <w:fldChar w:fldCharType="end"/>
    </w:r>
    <w:r>
      <w:rPr>
        <w:b/>
        <w:sz w:val="18"/>
      </w:rPr>
      <w:tab/>
    </w:r>
    <w:r>
      <w:t>GE.19-06219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9353" w14:textId="77777777" w:rsidR="00252498" w:rsidRPr="00252498" w:rsidRDefault="00252498" w:rsidP="00252498">
    <w:pPr>
      <w:pStyle w:val="Footer"/>
      <w:tabs>
        <w:tab w:val="right" w:pos="9638"/>
      </w:tabs>
      <w:rPr>
        <w:b/>
        <w:sz w:val="18"/>
      </w:rPr>
    </w:pPr>
    <w:r>
      <w:t>GE.19-06219</w:t>
    </w:r>
    <w:r>
      <w:tab/>
    </w:r>
    <w:r w:rsidRPr="00252498">
      <w:rPr>
        <w:b/>
        <w:sz w:val="18"/>
      </w:rPr>
      <w:fldChar w:fldCharType="begin"/>
    </w:r>
    <w:r w:rsidRPr="00252498">
      <w:rPr>
        <w:b/>
        <w:sz w:val="18"/>
      </w:rPr>
      <w:instrText xml:space="preserve"> PAGE  \* MERGEFORMAT </w:instrText>
    </w:r>
    <w:r w:rsidRPr="00252498">
      <w:rPr>
        <w:b/>
        <w:sz w:val="18"/>
      </w:rPr>
      <w:fldChar w:fldCharType="separate"/>
    </w:r>
    <w:r w:rsidRPr="00252498">
      <w:rPr>
        <w:b/>
        <w:noProof/>
        <w:sz w:val="18"/>
      </w:rPr>
      <w:t>3</w:t>
    </w:r>
    <w:r w:rsidRPr="002524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1D88" w14:textId="77777777" w:rsidR="007F20FA" w:rsidRPr="00252498" w:rsidRDefault="00252498" w:rsidP="0025249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83C7CB8" wp14:editId="138944B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06219  (</w:t>
    </w:r>
    <w:proofErr w:type="gramEnd"/>
    <w:r>
      <w:rPr>
        <w:sz w:val="20"/>
      </w:rPr>
      <w:t>F)    060519    060519</w:t>
    </w:r>
    <w:r>
      <w:rPr>
        <w:sz w:val="20"/>
      </w:rPr>
      <w:br/>
    </w:r>
    <w:r w:rsidRPr="00252498">
      <w:rPr>
        <w:rFonts w:ascii="C39T30Lfz" w:hAnsi="C39T30Lfz"/>
        <w:sz w:val="56"/>
      </w:rPr>
      <w:t></w:t>
    </w:r>
    <w:r w:rsidRPr="00252498">
      <w:rPr>
        <w:rFonts w:ascii="C39T30Lfz" w:hAnsi="C39T30Lfz"/>
        <w:sz w:val="56"/>
      </w:rPr>
      <w:t></w:t>
    </w:r>
    <w:r w:rsidRPr="00252498">
      <w:rPr>
        <w:rFonts w:ascii="C39T30Lfz" w:hAnsi="C39T30Lfz"/>
        <w:sz w:val="56"/>
      </w:rPr>
      <w:t></w:t>
    </w:r>
    <w:r w:rsidRPr="00252498">
      <w:rPr>
        <w:rFonts w:ascii="C39T30Lfz" w:hAnsi="C39T30Lfz"/>
        <w:sz w:val="56"/>
      </w:rPr>
      <w:t></w:t>
    </w:r>
    <w:r w:rsidRPr="00252498">
      <w:rPr>
        <w:rFonts w:ascii="C39T30Lfz" w:hAnsi="C39T30Lfz"/>
        <w:sz w:val="56"/>
      </w:rPr>
      <w:t></w:t>
    </w:r>
    <w:r w:rsidRPr="00252498">
      <w:rPr>
        <w:rFonts w:ascii="C39T30Lfz" w:hAnsi="C39T30Lfz"/>
        <w:sz w:val="56"/>
      </w:rPr>
      <w:t></w:t>
    </w:r>
    <w:r w:rsidRPr="00252498">
      <w:rPr>
        <w:rFonts w:ascii="C39T30Lfz" w:hAnsi="C39T30Lfz"/>
        <w:sz w:val="56"/>
      </w:rPr>
      <w:t></w:t>
    </w:r>
    <w:r w:rsidRPr="00252498">
      <w:rPr>
        <w:rFonts w:ascii="C39T30Lfz" w:hAnsi="C39T30Lfz"/>
        <w:sz w:val="56"/>
      </w:rPr>
      <w:t></w:t>
    </w:r>
    <w:r w:rsidRPr="00252498">
      <w:rPr>
        <w:rFonts w:ascii="C39T30Lfz" w:hAnsi="C39T30Lfz"/>
        <w:sz w:val="56"/>
      </w:rPr>
      <w:t></w:t>
    </w:r>
    <w:r>
      <w:rPr>
        <w:noProof/>
        <w:sz w:val="20"/>
      </w:rPr>
      <w:drawing>
        <wp:anchor distT="0" distB="0" distL="114300" distR="114300" simplePos="0" relativeHeight="251658240" behindDoc="0" locked="0" layoutInCell="1" allowOverlap="1" wp14:anchorId="141CBD00" wp14:editId="2D8B712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2F22" w14:textId="77777777" w:rsidR="00981354" w:rsidRPr="00AC3823" w:rsidRDefault="00981354" w:rsidP="00AC3823">
      <w:pPr>
        <w:pStyle w:val="Footer"/>
        <w:tabs>
          <w:tab w:val="right" w:pos="2155"/>
        </w:tabs>
        <w:spacing w:after="80" w:line="240" w:lineRule="atLeast"/>
        <w:ind w:left="680"/>
        <w:rPr>
          <w:u w:val="single"/>
        </w:rPr>
      </w:pPr>
      <w:r>
        <w:rPr>
          <w:u w:val="single"/>
        </w:rPr>
        <w:tab/>
      </w:r>
    </w:p>
  </w:footnote>
  <w:footnote w:type="continuationSeparator" w:id="0">
    <w:p w14:paraId="468EF647" w14:textId="77777777" w:rsidR="00981354" w:rsidRPr="00AC3823" w:rsidRDefault="00981354" w:rsidP="00AC3823">
      <w:pPr>
        <w:pStyle w:val="Footer"/>
        <w:tabs>
          <w:tab w:val="right" w:pos="2155"/>
        </w:tabs>
        <w:spacing w:after="80" w:line="240" w:lineRule="atLeast"/>
        <w:ind w:left="680"/>
        <w:rPr>
          <w:u w:val="single"/>
        </w:rPr>
      </w:pPr>
      <w:r>
        <w:rPr>
          <w:u w:val="single"/>
        </w:rPr>
        <w:tab/>
      </w:r>
    </w:p>
  </w:footnote>
  <w:footnote w:type="continuationNotice" w:id="1">
    <w:p w14:paraId="6B9441F6" w14:textId="77777777" w:rsidR="00981354" w:rsidRPr="00AC3823" w:rsidRDefault="00981354">
      <w:pPr>
        <w:spacing w:line="240" w:lineRule="auto"/>
        <w:rPr>
          <w:sz w:val="2"/>
          <w:szCs w:val="2"/>
        </w:rPr>
      </w:pPr>
    </w:p>
  </w:footnote>
  <w:footnote w:id="2">
    <w:p w14:paraId="5980E24C" w14:textId="77777777" w:rsidR="008442B4" w:rsidRPr="00706101" w:rsidRDefault="008442B4" w:rsidP="008442B4">
      <w:pPr>
        <w:pStyle w:val="FootnoteText"/>
      </w:pPr>
      <w:r w:rsidRPr="008442B4">
        <w:rPr>
          <w:sz w:val="20"/>
        </w:rPr>
        <w:tab/>
        <w:t>*</w:t>
      </w:r>
      <w:r w:rsidRPr="008442B4">
        <w:rPr>
          <w:sz w:val="20"/>
        </w:rPr>
        <w:tab/>
      </w:r>
      <w:r w:rsidRPr="008442B4">
        <w:rPr>
          <w:spacing w:val="-1"/>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D881" w14:textId="59489D5A" w:rsidR="00252498" w:rsidRPr="00252498" w:rsidRDefault="002923F4">
    <w:pPr>
      <w:pStyle w:val="Header"/>
    </w:pPr>
    <w:r>
      <w:fldChar w:fldCharType="begin"/>
    </w:r>
    <w:r>
      <w:instrText xml:space="preserve"> TITLE  \* MERGEFORMAT </w:instrText>
    </w:r>
    <w:r>
      <w:fldChar w:fldCharType="separate"/>
    </w:r>
    <w:r>
      <w:t>ECE/TRANS/WP.29/2019/50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D595" w14:textId="355FFC92" w:rsidR="00252498" w:rsidRPr="00252498" w:rsidRDefault="002923F4" w:rsidP="00252498">
    <w:pPr>
      <w:pStyle w:val="Header"/>
      <w:jc w:val="right"/>
    </w:pPr>
    <w:r>
      <w:fldChar w:fldCharType="begin"/>
    </w:r>
    <w:r>
      <w:instrText xml:space="preserve"> TITLE  \* MERGEFORMAT </w:instrText>
    </w:r>
    <w:r>
      <w:fldChar w:fldCharType="separate"/>
    </w:r>
    <w:r>
      <w:t>ECE/TRANS/WP.29/2019/50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4"/>
    <w:rsid w:val="00017F94"/>
    <w:rsid w:val="00023842"/>
    <w:rsid w:val="000334F9"/>
    <w:rsid w:val="00045FEB"/>
    <w:rsid w:val="0007796D"/>
    <w:rsid w:val="000B7790"/>
    <w:rsid w:val="000C30D9"/>
    <w:rsid w:val="00111D61"/>
    <w:rsid w:val="00111F2F"/>
    <w:rsid w:val="0014365E"/>
    <w:rsid w:val="00143C66"/>
    <w:rsid w:val="00176178"/>
    <w:rsid w:val="001F525A"/>
    <w:rsid w:val="00223272"/>
    <w:rsid w:val="0022633F"/>
    <w:rsid w:val="0024779E"/>
    <w:rsid w:val="00252498"/>
    <w:rsid w:val="00257168"/>
    <w:rsid w:val="002744B8"/>
    <w:rsid w:val="002832AC"/>
    <w:rsid w:val="002923F4"/>
    <w:rsid w:val="002D7C93"/>
    <w:rsid w:val="00305801"/>
    <w:rsid w:val="003556C1"/>
    <w:rsid w:val="003606A1"/>
    <w:rsid w:val="003916DE"/>
    <w:rsid w:val="00421996"/>
    <w:rsid w:val="00441C3B"/>
    <w:rsid w:val="00446FE5"/>
    <w:rsid w:val="00452396"/>
    <w:rsid w:val="004837D8"/>
    <w:rsid w:val="004E2EED"/>
    <w:rsid w:val="004E468C"/>
    <w:rsid w:val="005205B2"/>
    <w:rsid w:val="005505B7"/>
    <w:rsid w:val="00573BE5"/>
    <w:rsid w:val="00586ED3"/>
    <w:rsid w:val="005958C2"/>
    <w:rsid w:val="00596AA9"/>
    <w:rsid w:val="0070513B"/>
    <w:rsid w:val="00706F88"/>
    <w:rsid w:val="0071601D"/>
    <w:rsid w:val="007A62E6"/>
    <w:rsid w:val="007F20FA"/>
    <w:rsid w:val="0080684C"/>
    <w:rsid w:val="008442B4"/>
    <w:rsid w:val="00871C75"/>
    <w:rsid w:val="008776DC"/>
    <w:rsid w:val="009446C0"/>
    <w:rsid w:val="009705C8"/>
    <w:rsid w:val="00981354"/>
    <w:rsid w:val="009C1CF4"/>
    <w:rsid w:val="009F2C88"/>
    <w:rsid w:val="009F6B74"/>
    <w:rsid w:val="00A3029F"/>
    <w:rsid w:val="00A30353"/>
    <w:rsid w:val="00A91C73"/>
    <w:rsid w:val="00AC3823"/>
    <w:rsid w:val="00AE24F0"/>
    <w:rsid w:val="00AE323C"/>
    <w:rsid w:val="00AF0CB5"/>
    <w:rsid w:val="00B00181"/>
    <w:rsid w:val="00B00B0D"/>
    <w:rsid w:val="00B45F2E"/>
    <w:rsid w:val="00B765F7"/>
    <w:rsid w:val="00BA0CA9"/>
    <w:rsid w:val="00BD6A55"/>
    <w:rsid w:val="00BE3E9F"/>
    <w:rsid w:val="00C02897"/>
    <w:rsid w:val="00C97039"/>
    <w:rsid w:val="00CF4BA6"/>
    <w:rsid w:val="00D3439C"/>
    <w:rsid w:val="00DB1831"/>
    <w:rsid w:val="00DD3BFD"/>
    <w:rsid w:val="00DF6678"/>
    <w:rsid w:val="00E0299A"/>
    <w:rsid w:val="00E85C74"/>
    <w:rsid w:val="00EA6547"/>
    <w:rsid w:val="00EF2E22"/>
    <w:rsid w:val="00F35BAF"/>
    <w:rsid w:val="00F660DF"/>
    <w:rsid w:val="00F94664"/>
    <w:rsid w:val="00F9573C"/>
    <w:rsid w:val="00F95C08"/>
    <w:rsid w:val="00FB05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81624"/>
  <w15:docId w15:val="{5F1F99AA-A14F-40F0-BEC7-7C163EA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442B4"/>
    <w:rPr>
      <w:rFonts w:ascii="Times New Roman" w:eastAsiaTheme="minorHAnsi" w:hAnsi="Times New Roman" w:cs="Times New Roman"/>
      <w:sz w:val="20"/>
      <w:szCs w:val="20"/>
      <w:lang w:eastAsia="en-US"/>
    </w:rPr>
  </w:style>
  <w:style w:type="character" w:customStyle="1" w:styleId="HChGChar">
    <w:name w:val="_ H _Ch_G Char"/>
    <w:link w:val="HChG"/>
    <w:rsid w:val="008442B4"/>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8442B4"/>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8442B4"/>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12602</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ECE/TRANS/WP.29/2019/50</vt:lpstr>
      <vt:lpstr>ECE/TRANS/WP.29/2019/50</vt:lpstr>
    </vt:vector>
  </TitlesOfParts>
  <Company>DCM</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ECE/TRANS/WP.29/2019/50</dc:title>
  <dc:subject/>
  <dc:creator>Nicolas MORIN</dc:creator>
  <cp:keywords/>
  <cp:lastModifiedBy>Marie-Claude Collet</cp:lastModifiedBy>
  <cp:revision>3</cp:revision>
  <cp:lastPrinted>2019-05-08T09:31:00Z</cp:lastPrinted>
  <dcterms:created xsi:type="dcterms:W3CDTF">2019-05-08T09:31:00Z</dcterms:created>
  <dcterms:modified xsi:type="dcterms:W3CDTF">2019-05-08T09:31:00Z</dcterms:modified>
</cp:coreProperties>
</file>