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B65E00">
              <w:rPr>
                <w:lang w:val="en-GB"/>
              </w:rPr>
              <w:t>3</w:t>
            </w:r>
            <w:r w:rsidR="00DA2C71">
              <w:rPr>
                <w:lang w:val="en-GB"/>
              </w:rPr>
              <w:t>6</w:t>
            </w:r>
          </w:p>
        </w:tc>
      </w:tr>
      <w:tr w:rsidR="00AF2205" w:rsidRPr="0083618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36189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bookmarkStart w:id="0" w:name="_GoBack"/>
            <w:bookmarkEnd w:id="0"/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A2C71">
        <w:rPr>
          <w:lang w:val="en-GB"/>
        </w:rPr>
        <w:t>6</w:t>
      </w:r>
      <w:r w:rsidR="00A90EA8">
        <w:rPr>
          <w:lang w:val="en-GB"/>
        </w:rPr>
        <w:t>.</w:t>
      </w:r>
      <w:r w:rsidR="00DA2C71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GRS</w:t>
      </w:r>
      <w:r w:rsidR="00B65E00">
        <w:rPr>
          <w:b/>
          <w:bCs/>
          <w:lang w:val="en-GB"/>
        </w:rPr>
        <w:t>P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8F78C9">
        <w:rPr>
          <w:lang w:val="en-GB"/>
        </w:rPr>
        <w:t>1</w:t>
      </w:r>
      <w:r w:rsidR="00DA2C71">
        <w:rPr>
          <w:lang w:val="en-GB"/>
        </w:rPr>
        <w:t>6</w:t>
      </w:r>
      <w:r w:rsidR="003E4906">
        <w:rPr>
          <w:lang w:val="en-GB"/>
        </w:rPr>
        <w:t xml:space="preserve"> to </w:t>
      </w:r>
      <w:r w:rsidR="008F78C9">
        <w:rPr>
          <w:lang w:val="en-GB"/>
        </w:rPr>
        <w:t>the 0</w:t>
      </w:r>
      <w:r w:rsidR="00DA2C71">
        <w:rPr>
          <w:lang w:val="en-GB"/>
        </w:rPr>
        <w:t>4</w:t>
      </w:r>
      <w:r w:rsidR="008F78C9">
        <w:rPr>
          <w:lang w:val="en-GB"/>
        </w:rPr>
        <w:t xml:space="preserve"> 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DA2C71">
        <w:rPr>
          <w:lang w:val="en-GB"/>
        </w:rPr>
        <w:t>44</w:t>
      </w:r>
      <w:r w:rsidR="00041ECD">
        <w:rPr>
          <w:lang w:val="en-GB"/>
        </w:rPr>
        <w:t xml:space="preserve"> (</w:t>
      </w:r>
      <w:r w:rsidR="00DA2C71">
        <w:rPr>
          <w:lang w:val="en-GB"/>
        </w:rPr>
        <w:t>Child Restraint Systems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B65E00">
        <w:rPr>
          <w:b/>
          <w:sz w:val="24"/>
          <w:lang w:val="en-GB"/>
        </w:rPr>
        <w:t>Passive Safety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B65E00">
        <w:rPr>
          <w:lang w:val="en-GB"/>
        </w:rPr>
        <w:t>Passive</w:t>
      </w:r>
      <w:r w:rsidRPr="00A90EA8">
        <w:rPr>
          <w:lang w:val="en-GB"/>
        </w:rPr>
        <w:t xml:space="preserve"> Safety (GRS</w:t>
      </w:r>
      <w:r w:rsidR="00B65E00">
        <w:rPr>
          <w:lang w:val="en-GB"/>
        </w:rPr>
        <w:t>P</w:t>
      </w:r>
      <w:r w:rsidRPr="00A90EA8">
        <w:rPr>
          <w:lang w:val="en-GB"/>
        </w:rPr>
        <w:t xml:space="preserve">) at its </w:t>
      </w:r>
      <w:r w:rsidR="00B65E00">
        <w:rPr>
          <w:lang w:val="en-GB"/>
        </w:rPr>
        <w:t>sixty-fourth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</w:t>
      </w:r>
      <w:r w:rsidR="00B65E00">
        <w:rPr>
          <w:lang w:val="en-GB"/>
        </w:rPr>
        <w:t>P</w:t>
      </w:r>
      <w:r w:rsidRPr="00A90EA8">
        <w:rPr>
          <w:lang w:val="en-GB"/>
        </w:rPr>
        <w:t>/</w:t>
      </w:r>
      <w:r w:rsidR="00B65E00">
        <w:rPr>
          <w:lang w:val="en-GB"/>
        </w:rPr>
        <w:t>6</w:t>
      </w:r>
      <w:r w:rsidR="00C87753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DA2C71">
        <w:rPr>
          <w:lang w:val="en-GB"/>
        </w:rPr>
        <w:t>20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A2C71">
        <w:rPr>
          <w:lang w:val="en-GB"/>
        </w:rPr>
        <w:t>ECE/TRANS/WP.29/</w:t>
      </w:r>
      <w:r w:rsidR="00D061F7">
        <w:rPr>
          <w:lang w:val="en-GB"/>
        </w:rPr>
        <w:t>GRS</w:t>
      </w:r>
      <w:r w:rsidR="00B65E00">
        <w:rPr>
          <w:lang w:val="en-GB"/>
        </w:rPr>
        <w:t>P</w:t>
      </w:r>
      <w:r w:rsidR="00DA2C71">
        <w:rPr>
          <w:lang w:val="en-GB"/>
        </w:rPr>
        <w:t xml:space="preserve">/2018/26, </w:t>
      </w:r>
      <w:r w:rsidR="00DD0AF5">
        <w:rPr>
          <w:lang w:val="en-GB"/>
        </w:rPr>
        <w:t xml:space="preserve">as </w:t>
      </w:r>
      <w:r w:rsidR="00DA2C71">
        <w:rPr>
          <w:lang w:val="en-GB"/>
        </w:rPr>
        <w:t>amended</w:t>
      </w:r>
      <w:r w:rsidR="00235B87">
        <w:rPr>
          <w:lang w:val="en-GB"/>
        </w:rPr>
        <w:t xml:space="preserve"> </w:t>
      </w:r>
      <w:r w:rsidR="00DA2C71">
        <w:rPr>
          <w:lang w:val="en-GB"/>
        </w:rPr>
        <w:t>by</w:t>
      </w:r>
      <w:r w:rsidR="00235B87">
        <w:rPr>
          <w:lang w:val="en-GB"/>
        </w:rPr>
        <w:t xml:space="preserve"> Annex I</w:t>
      </w:r>
      <w:r w:rsidR="00DA2C71">
        <w:rPr>
          <w:lang w:val="en-GB"/>
        </w:rPr>
        <w:t>V</w:t>
      </w:r>
      <w:r w:rsidR="00235B87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DA2C71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</w:t>
      </w:r>
      <w:r w:rsidR="006A330A">
        <w:rPr>
          <w:lang w:val="en-GB"/>
        </w:rPr>
        <w:t>6</w:t>
      </w:r>
      <w:r w:rsidR="008F78C9" w:rsidRPr="008F78C9">
        <w:rPr>
          <w:lang w:val="en-GB"/>
        </w:rPr>
        <w:t xml:space="preserve"> to the 0</w:t>
      </w:r>
      <w:r w:rsidR="006A330A">
        <w:rPr>
          <w:lang w:val="en-GB"/>
        </w:rPr>
        <w:t>4</w:t>
      </w:r>
      <w:r w:rsidR="00E72813">
        <w:rPr>
          <w:lang w:val="en-GB"/>
        </w:rPr>
        <w:t xml:space="preserve"> series of amendments to UN </w:t>
      </w:r>
      <w:r w:rsidR="008F78C9" w:rsidRPr="008F78C9">
        <w:rPr>
          <w:lang w:val="en-GB"/>
        </w:rPr>
        <w:t xml:space="preserve">Regulation No. </w:t>
      </w:r>
      <w:r w:rsidR="006A330A">
        <w:rPr>
          <w:lang w:val="en-GB"/>
        </w:rPr>
        <w:t>44</w:t>
      </w:r>
      <w:r w:rsidR="008F78C9" w:rsidRPr="008F78C9">
        <w:rPr>
          <w:lang w:val="en-GB"/>
        </w:rPr>
        <w:t xml:space="preserve"> </w:t>
      </w:r>
      <w:r w:rsidR="00235B87">
        <w:rPr>
          <w:lang w:val="en-GB"/>
        </w:rPr>
        <w:t>(</w:t>
      </w:r>
      <w:r w:rsidR="006A330A">
        <w:rPr>
          <w:lang w:val="en-GB"/>
        </w:rPr>
        <w:t>Child Restraint Systems</w:t>
      </w:r>
      <w:r w:rsidR="008F78C9" w:rsidRPr="008F78C9">
        <w:rPr>
          <w:lang w:val="en-GB"/>
        </w:rPr>
        <w:t>)</w:t>
      </w:r>
    </w:p>
    <w:p w:rsidR="00721EB4" w:rsidRPr="00721EB4" w:rsidRDefault="00721EB4" w:rsidP="00721EB4">
      <w:pPr>
        <w:pStyle w:val="SingleTxtG"/>
        <w:rPr>
          <w:lang w:val="en-GB"/>
        </w:rPr>
      </w:pPr>
      <w:r w:rsidRPr="00721EB4">
        <w:rPr>
          <w:i/>
          <w:lang w:val="en-GB"/>
        </w:rPr>
        <w:t>Paragraph 6.1.3.</w:t>
      </w:r>
      <w:r w:rsidRPr="00721EB4">
        <w:rPr>
          <w:lang w:val="en-GB"/>
        </w:rPr>
        <w:t>, amend to read:</w:t>
      </w:r>
    </w:p>
    <w:p w:rsidR="00721EB4" w:rsidRPr="002D3328" w:rsidRDefault="00721EB4" w:rsidP="00721EB4">
      <w:pPr>
        <w:pStyle w:val="para"/>
      </w:pPr>
      <w:r w:rsidRPr="002D3328">
        <w:t>"6.1.3.</w:t>
      </w:r>
      <w:r w:rsidRPr="002D3328">
        <w:tab/>
        <w:t>According to the category which it belongs to, the child restraint shall be secured to the vehicle structure or to the seat structure.</w:t>
      </w:r>
    </w:p>
    <w:p w:rsidR="00721EB4" w:rsidRPr="009C14B8" w:rsidRDefault="00721EB4" w:rsidP="00B56333">
      <w:pPr>
        <w:pStyle w:val="Heading1"/>
        <w:numPr>
          <w:ilvl w:val="0"/>
          <w:numId w:val="0"/>
        </w:numPr>
        <w:ind w:left="1134"/>
        <w:rPr>
          <w:b/>
          <w:lang w:val="en-GB"/>
        </w:rPr>
      </w:pPr>
      <w:r w:rsidRPr="009C14B8">
        <w:rPr>
          <w:b/>
          <w:lang w:val="en-GB"/>
        </w:rPr>
        <w:t>Possible configurations for approval</w:t>
      </w:r>
    </w:p>
    <w:p w:rsidR="00B56333" w:rsidRPr="009C14B8" w:rsidRDefault="00721EB4" w:rsidP="00B56333">
      <w:pPr>
        <w:pStyle w:val="Heading1"/>
        <w:numPr>
          <w:ilvl w:val="0"/>
          <w:numId w:val="0"/>
        </w:numPr>
        <w:ind w:left="1134"/>
        <w:rPr>
          <w:b/>
          <w:lang w:val="en-GB"/>
        </w:rPr>
      </w:pPr>
      <w:r w:rsidRPr="009C14B8">
        <w:rPr>
          <w:b/>
          <w:lang w:val="en-GB"/>
        </w:rPr>
        <w:t>Groups / categories table</w:t>
      </w:r>
    </w:p>
    <w:tbl>
      <w:tblPr>
        <w:tblW w:w="0" w:type="auto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12"/>
        <w:gridCol w:w="524"/>
        <w:gridCol w:w="1010"/>
        <w:gridCol w:w="524"/>
        <w:gridCol w:w="1010"/>
        <w:gridCol w:w="524"/>
        <w:gridCol w:w="1010"/>
        <w:gridCol w:w="524"/>
        <w:gridCol w:w="1010"/>
      </w:tblGrid>
      <w:tr w:rsidR="00B56333" w:rsidRPr="009C5AE7" w:rsidTr="00C4411D">
        <w:trPr>
          <w:trHeight w:val="465"/>
          <w:tblHeader/>
        </w:trPr>
        <w:tc>
          <w:tcPr>
            <w:tcW w:w="23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 xml:space="preserve">Group </w:t>
            </w:r>
            <w:proofErr w:type="spellStart"/>
            <w:r w:rsidRPr="00B56333">
              <w:rPr>
                <w:i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Universal (1)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B56333">
              <w:rPr>
                <w:i/>
                <w:spacing w:val="-2"/>
                <w:sz w:val="16"/>
                <w:szCs w:val="16"/>
              </w:rPr>
              <w:t>Semi-</w:t>
            </w:r>
            <w:proofErr w:type="spellStart"/>
            <w:r w:rsidRPr="00B56333">
              <w:rPr>
                <w:i/>
                <w:spacing w:val="-2"/>
                <w:sz w:val="16"/>
                <w:szCs w:val="16"/>
              </w:rPr>
              <w:t>universal</w:t>
            </w:r>
            <w:proofErr w:type="spellEnd"/>
            <w:r w:rsidRPr="00B56333">
              <w:rPr>
                <w:i/>
                <w:spacing w:val="-2"/>
                <w:sz w:val="16"/>
                <w:szCs w:val="16"/>
              </w:rPr>
              <w:t xml:space="preserve"> (2)</w:t>
            </w: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proofErr w:type="spellStart"/>
            <w:r w:rsidRPr="00B56333">
              <w:rPr>
                <w:i/>
                <w:sz w:val="16"/>
                <w:szCs w:val="16"/>
              </w:rPr>
              <w:t>Restricted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proofErr w:type="spellStart"/>
            <w:r w:rsidRPr="00B56333">
              <w:rPr>
                <w:i/>
                <w:sz w:val="16"/>
                <w:szCs w:val="16"/>
              </w:rPr>
              <w:t>Specific</w:t>
            </w:r>
            <w:proofErr w:type="spellEnd"/>
            <w:r w:rsidRPr="00B5633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56333">
              <w:rPr>
                <w:i/>
                <w:sz w:val="16"/>
                <w:szCs w:val="16"/>
              </w:rPr>
              <w:t>vehicle</w:t>
            </w:r>
            <w:proofErr w:type="spellEnd"/>
          </w:p>
        </w:tc>
      </w:tr>
      <w:tr w:rsidR="00B56333" w:rsidRPr="009C5AE7" w:rsidTr="00C4411D">
        <w:trPr>
          <w:trHeight w:val="465"/>
          <w:tblHeader/>
        </w:trPr>
        <w:tc>
          <w:tcPr>
            <w:tcW w:w="105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CRS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B56333">
              <w:rPr>
                <w:i/>
                <w:sz w:val="16"/>
                <w:szCs w:val="16"/>
              </w:rPr>
              <w:t>ISOFIXCRS</w:t>
            </w:r>
          </w:p>
        </w:tc>
      </w:tr>
      <w:tr w:rsidR="00B56333" w:rsidRPr="009C5AE7" w:rsidTr="00C4411D">
        <w:trPr>
          <w:trHeight w:hRule="exact" w:val="400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0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Carry-cot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hRule="exact" w:val="400"/>
        </w:trPr>
        <w:tc>
          <w:tcPr>
            <w:tcW w:w="849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/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/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  <w:tc>
          <w:tcPr>
            <w:tcW w:w="5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/>
        </w:tc>
        <w:tc>
          <w:tcPr>
            <w:tcW w:w="10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</w:p>
        </w:tc>
      </w:tr>
      <w:tr w:rsidR="00B56333" w:rsidRPr="009C5AE7" w:rsidTr="00C4411D">
        <w:trPr>
          <w:trHeight w:hRule="exact" w:val="400"/>
        </w:trPr>
        <w:tc>
          <w:tcPr>
            <w:tcW w:w="8496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proofErr w:type="spellStart"/>
            <w:r w:rsidRPr="00B56333">
              <w:t>Rearward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 xml:space="preserve">A </w:t>
            </w:r>
            <w:r w:rsidRPr="00B56333">
              <w:rPr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hRule="exact" w:val="400"/>
        </w:trPr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0+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proofErr w:type="spellStart"/>
            <w:r w:rsidRPr="00B56333">
              <w:t>Rearward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val="392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</w:pPr>
            <w:r w:rsidRPr="00B56333">
              <w:t>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proofErr w:type="spellStart"/>
            <w:r w:rsidRPr="00B56333">
              <w:t>Rearward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val="568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B56333">
              <w:t>Forward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(</w:t>
            </w:r>
            <w:proofErr w:type="spellStart"/>
            <w:proofErr w:type="gramStart"/>
            <w:r w:rsidRPr="00B56333">
              <w:t>integral</w:t>
            </w:r>
            <w:proofErr w:type="spellEnd"/>
            <w:proofErr w:type="gramEnd"/>
            <w:r w:rsidRPr="00B56333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 xml:space="preserve">A </w:t>
            </w:r>
            <w:r w:rsidRPr="00B56333">
              <w:rPr>
                <w:sz w:val="16"/>
                <w:szCs w:val="16"/>
              </w:rPr>
              <w:t>(3)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val="578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B56333">
              <w:t>Forward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(</w:t>
            </w:r>
            <w:proofErr w:type="gramStart"/>
            <w:r w:rsidRPr="00B56333">
              <w:t>non</w:t>
            </w:r>
            <w:proofErr w:type="gramEnd"/>
            <w:r w:rsidRPr="00B56333">
              <w:t>-</w:t>
            </w:r>
            <w:proofErr w:type="spellStart"/>
            <w:r w:rsidRPr="00B56333">
              <w:t>integral</w:t>
            </w:r>
            <w:proofErr w:type="spellEnd"/>
            <w:r w:rsidRPr="00B56333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</w:tr>
      <w:tr w:rsidR="00B56333" w:rsidRPr="009C5AE7" w:rsidTr="00C4411D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lang w:val="en-GB"/>
              </w:rPr>
            </w:pPr>
            <w:r w:rsidRPr="00B56333">
              <w:rPr>
                <w:lang w:val="en-GB"/>
              </w:rPr>
              <w:t>Forward facing</w:t>
            </w:r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  <w:rPr>
                <w:lang w:val="en-GB"/>
              </w:rPr>
            </w:pPr>
            <w:r w:rsidRPr="00B56333">
              <w:rPr>
                <w:lang w:val="en-GB"/>
              </w:rPr>
              <w:t>(non-integral – see paragraph 6.1.12.)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</w:t>
            </w:r>
            <w:r w:rsidRPr="00B56333">
              <w:rPr>
                <w:szCs w:val="16"/>
              </w:rPr>
              <w:t>(</w:t>
            </w:r>
            <w:proofErr w:type="gramEnd"/>
            <w:r w:rsidRPr="00B56333">
              <w:rPr>
                <w:szCs w:val="16"/>
              </w:rPr>
              <w:t>3)</w:t>
            </w:r>
          </w:p>
        </w:tc>
      </w:tr>
      <w:tr w:rsidR="00B56333" w:rsidRPr="009C5AE7" w:rsidTr="00C4411D">
        <w:trPr>
          <w:trHeight w:val="306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B56333">
              <w:t>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proofErr w:type="spellStart"/>
            <w:r w:rsidRPr="00B56333">
              <w:t>Rearward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57"/>
            </w:pPr>
            <w:r w:rsidRPr="00B56333">
              <w:t xml:space="preserve"> </w:t>
            </w: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</w:tr>
      <w:tr w:rsidR="00B56333" w:rsidRPr="009C5AE7" w:rsidTr="00C4411D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B56333">
              <w:t>Forward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(</w:t>
            </w:r>
            <w:proofErr w:type="spellStart"/>
            <w:proofErr w:type="gramStart"/>
            <w:r w:rsidRPr="00B56333">
              <w:t>integral</w:t>
            </w:r>
            <w:proofErr w:type="spellEnd"/>
            <w:proofErr w:type="gramEnd"/>
            <w:r w:rsidRPr="00B56333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</w:tr>
      <w:tr w:rsidR="00B56333" w:rsidRPr="009C5AE7" w:rsidTr="00C4411D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B56333">
              <w:t>Forward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(</w:t>
            </w:r>
            <w:proofErr w:type="gramStart"/>
            <w:r w:rsidRPr="00B56333">
              <w:t>non</w:t>
            </w:r>
            <w:proofErr w:type="gramEnd"/>
            <w:r w:rsidRPr="00B56333">
              <w:t>-</w:t>
            </w:r>
            <w:proofErr w:type="spellStart"/>
            <w:r w:rsidRPr="00B56333">
              <w:t>integral</w:t>
            </w:r>
            <w:proofErr w:type="spellEnd"/>
            <w:r w:rsidRPr="00B56333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</w:tr>
      <w:tr w:rsidR="00B56333" w:rsidRPr="009C5AE7" w:rsidTr="00C4411D">
        <w:trPr>
          <w:trHeight w:val="389"/>
        </w:trPr>
        <w:tc>
          <w:tcPr>
            <w:tcW w:w="3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jc w:val="center"/>
              <w:rPr>
                <w:u w:val="single"/>
              </w:rPr>
            </w:pPr>
            <w:r w:rsidRPr="00B56333">
              <w:t>III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proofErr w:type="spellStart"/>
            <w:r w:rsidRPr="00B56333">
              <w:t>Rearward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</w:tr>
      <w:tr w:rsidR="00B56333" w:rsidRPr="009C5AE7" w:rsidTr="00C4411D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B56333" w:rsidRDefault="00B56333" w:rsidP="00C4411D">
            <w:pPr>
              <w:suppressAutoHyphens w:val="0"/>
              <w:spacing w:line="240" w:lineRule="auto"/>
              <w:rPr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B56333">
              <w:t>Forward</w:t>
            </w:r>
            <w:proofErr w:type="spellEnd"/>
            <w:r w:rsidRPr="00B56333">
              <w:t xml:space="preserve"> </w:t>
            </w:r>
            <w:proofErr w:type="spellStart"/>
            <w:r w:rsidRPr="00B56333">
              <w:t>facing</w:t>
            </w:r>
            <w:proofErr w:type="spellEnd"/>
          </w:p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B56333">
              <w:t>(</w:t>
            </w:r>
            <w:proofErr w:type="spellStart"/>
            <w:proofErr w:type="gramStart"/>
            <w:r w:rsidRPr="00B56333">
              <w:t>integral</w:t>
            </w:r>
            <w:proofErr w:type="spellEnd"/>
            <w:proofErr w:type="gramEnd"/>
            <w:r w:rsidRPr="00B56333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B56333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B56333" w:rsidRDefault="00B56333" w:rsidP="00C4411D">
            <w:proofErr w:type="gramStart"/>
            <w:r w:rsidRPr="00B56333">
              <w:t>A(</w:t>
            </w:r>
            <w:proofErr w:type="gramEnd"/>
            <w:r w:rsidRPr="00B56333">
              <w:t>3)</w:t>
            </w:r>
          </w:p>
        </w:tc>
      </w:tr>
      <w:tr w:rsidR="00B56333" w:rsidRPr="009C5AE7" w:rsidTr="00C4411D">
        <w:trPr>
          <w:trHeight w:val="465"/>
        </w:trPr>
        <w:tc>
          <w:tcPr>
            <w:tcW w:w="8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6333" w:rsidRPr="009C5AE7" w:rsidRDefault="00B56333" w:rsidP="00C4411D">
            <w:pPr>
              <w:suppressAutoHyphens w:val="0"/>
              <w:spacing w:line="240" w:lineRule="auto"/>
              <w:rPr>
                <w:b/>
                <w:bCs/>
                <w:u w:val="single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113" w:right="113"/>
            </w:pPr>
            <w:proofErr w:type="spellStart"/>
            <w:r w:rsidRPr="009C5AE7">
              <w:t>Forward</w:t>
            </w:r>
            <w:proofErr w:type="spellEnd"/>
            <w:r w:rsidRPr="009C5AE7">
              <w:t xml:space="preserve"> </w:t>
            </w:r>
            <w:proofErr w:type="spellStart"/>
            <w:r w:rsidRPr="009C5AE7">
              <w:t>facing</w:t>
            </w:r>
            <w:proofErr w:type="spellEnd"/>
          </w:p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3" w:right="113"/>
            </w:pPr>
            <w:r w:rsidRPr="009C5AE7">
              <w:t>(</w:t>
            </w:r>
            <w:proofErr w:type="gramStart"/>
            <w:r w:rsidRPr="009C5AE7">
              <w:t>non</w:t>
            </w:r>
            <w:proofErr w:type="gramEnd"/>
            <w:r>
              <w:t>-</w:t>
            </w:r>
            <w:proofErr w:type="spellStart"/>
            <w:r w:rsidRPr="009C5AE7">
              <w:t>integral</w:t>
            </w:r>
            <w:proofErr w:type="spellEnd"/>
            <w:r w:rsidRPr="009C5AE7">
              <w:t>)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NA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6333" w:rsidRPr="009C5AE7" w:rsidRDefault="00B56333" w:rsidP="00C4411D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57" w:right="57"/>
            </w:pPr>
            <w:r w:rsidRPr="009C5AE7">
              <w:t>A</w:t>
            </w:r>
          </w:p>
        </w:tc>
      </w:tr>
      <w:tr w:rsidR="00B56333" w:rsidRPr="00836189" w:rsidTr="00C4411D">
        <w:trPr>
          <w:trHeight w:val="465"/>
        </w:trPr>
        <w:tc>
          <w:tcPr>
            <w:tcW w:w="84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333" w:rsidRPr="00B56333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B56333">
              <w:rPr>
                <w:sz w:val="18"/>
                <w:szCs w:val="18"/>
                <w:lang w:val="en-GB"/>
              </w:rPr>
              <w:t xml:space="preserve">With: </w:t>
            </w:r>
          </w:p>
          <w:p w:rsidR="00B56333" w:rsidRPr="00B56333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B56333">
              <w:rPr>
                <w:sz w:val="18"/>
                <w:szCs w:val="18"/>
                <w:lang w:val="en-GB"/>
              </w:rPr>
              <w:t xml:space="preserve">CRS: </w:t>
            </w:r>
            <w:r w:rsidRPr="00B56333">
              <w:rPr>
                <w:sz w:val="18"/>
                <w:szCs w:val="18"/>
                <w:lang w:val="en-GB"/>
              </w:rPr>
              <w:tab/>
              <w:t>Child restraint system</w:t>
            </w:r>
          </w:p>
          <w:p w:rsidR="00B56333" w:rsidRPr="00B56333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283"/>
              <w:rPr>
                <w:sz w:val="18"/>
                <w:szCs w:val="18"/>
                <w:lang w:val="en-GB"/>
              </w:rPr>
            </w:pPr>
            <w:r w:rsidRPr="00B56333">
              <w:rPr>
                <w:sz w:val="18"/>
                <w:szCs w:val="18"/>
                <w:lang w:val="en-GB"/>
              </w:rPr>
              <w:t xml:space="preserve">A: </w:t>
            </w:r>
            <w:r w:rsidRPr="00B56333">
              <w:rPr>
                <w:sz w:val="18"/>
                <w:szCs w:val="18"/>
                <w:lang w:val="en-GB"/>
              </w:rPr>
              <w:tab/>
              <w:t>Applicable</w:t>
            </w:r>
          </w:p>
          <w:p w:rsidR="00B56333" w:rsidRPr="009C14B8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9C14B8">
              <w:rPr>
                <w:sz w:val="18"/>
                <w:szCs w:val="18"/>
                <w:lang w:val="en-GB"/>
              </w:rPr>
              <w:t xml:space="preserve">NA: </w:t>
            </w:r>
            <w:r w:rsidRPr="009C14B8">
              <w:rPr>
                <w:sz w:val="18"/>
                <w:szCs w:val="18"/>
                <w:lang w:val="en-GB"/>
              </w:rPr>
              <w:tab/>
              <w:t>Not Applicable</w:t>
            </w:r>
          </w:p>
          <w:p w:rsidR="00B56333" w:rsidRPr="009C14B8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9C14B8">
              <w:rPr>
                <w:sz w:val="18"/>
                <w:szCs w:val="18"/>
                <w:lang w:val="en-GB"/>
              </w:rPr>
              <w:t>______________________</w:t>
            </w:r>
          </w:p>
          <w:p w:rsidR="009C14B8" w:rsidRDefault="009C14B8" w:rsidP="009C14B8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9C14B8">
              <w:rPr>
                <w:sz w:val="18"/>
                <w:szCs w:val="18"/>
                <w:vertAlign w:val="superscript"/>
                <w:lang w:val="en-GB"/>
              </w:rPr>
              <w:t>(1)</w:t>
            </w:r>
            <w:r w:rsidRPr="009C14B8">
              <w:rPr>
                <w:sz w:val="18"/>
                <w:szCs w:val="18"/>
                <w:lang w:val="en-GB"/>
              </w:rPr>
              <w:tab/>
              <w:t>ISOFIX universal CRS means forward facing restraints for use in vehicles with positions equipped with ISOFIX anchorages system and a top tether anchorage.</w:t>
            </w:r>
          </w:p>
          <w:p w:rsidR="009C14B8" w:rsidRPr="009C14B8" w:rsidRDefault="009C14B8" w:rsidP="009C14B8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9C14B8">
              <w:rPr>
                <w:sz w:val="18"/>
                <w:szCs w:val="18"/>
                <w:vertAlign w:val="superscript"/>
                <w:lang w:val="en-GB"/>
              </w:rPr>
              <w:lastRenderedPageBreak/>
              <w:t>(2)</w:t>
            </w:r>
            <w:r w:rsidRPr="009C14B8">
              <w:rPr>
                <w:sz w:val="18"/>
                <w:szCs w:val="18"/>
                <w:lang w:val="en-GB"/>
              </w:rPr>
              <w:tab/>
              <w:t>ISOFIX semi universal CRS means:</w:t>
            </w:r>
          </w:p>
          <w:p w:rsidR="009C14B8" w:rsidRPr="009C14B8" w:rsidRDefault="009C14B8" w:rsidP="009C14B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GB"/>
              </w:rPr>
            </w:pPr>
            <w:r>
              <w:rPr>
                <w:rFonts w:ascii="Symbol" w:hAnsi="Symbol"/>
                <w:sz w:val="18"/>
                <w:szCs w:val="18"/>
              </w:rPr>
              <w:t></w:t>
            </w:r>
            <w:r w:rsidRPr="009C14B8">
              <w:rPr>
                <w:rFonts w:ascii="Symbol" w:hAnsi="Symbol"/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 xml:space="preserve">Forward facing restraints equipped with support leg or </w:t>
            </w:r>
          </w:p>
          <w:p w:rsidR="009C14B8" w:rsidRPr="009C14B8" w:rsidRDefault="009C14B8" w:rsidP="009C14B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pacing w:val="-2"/>
                <w:sz w:val="18"/>
                <w:szCs w:val="18"/>
                <w:lang w:val="en-GB"/>
              </w:rPr>
            </w:pPr>
            <w:r>
              <w:rPr>
                <w:rFonts w:ascii="Symbol" w:hAnsi="Symbol"/>
                <w:spacing w:val="-2"/>
                <w:sz w:val="18"/>
                <w:szCs w:val="18"/>
              </w:rPr>
              <w:t></w:t>
            </w:r>
            <w:r w:rsidRPr="009C14B8">
              <w:rPr>
                <w:rFonts w:ascii="Symbol" w:hAnsi="Symbol"/>
                <w:spacing w:val="-2"/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</w:r>
            <w:r w:rsidRPr="009C14B8">
              <w:rPr>
                <w:spacing w:val="-2"/>
                <w:sz w:val="18"/>
                <w:szCs w:val="18"/>
                <w:lang w:val="en-GB"/>
              </w:rPr>
              <w:t>Rearward facing restraints equipped with a support leg or a top tether strap for use in vehicles with positions equipped with ISOFIX anchorages system and a top tether anchorage if needed</w:t>
            </w:r>
          </w:p>
          <w:p w:rsidR="009C14B8" w:rsidRDefault="009C14B8" w:rsidP="009C14B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right="113" w:hanging="425"/>
              <w:rPr>
                <w:sz w:val="18"/>
                <w:szCs w:val="18"/>
                <w:lang w:val="en-US"/>
              </w:rPr>
            </w:pPr>
            <w:r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  <w:t xml:space="preserve">Or rearward facing restraints, supported by the vehicle dashboard, for use in the front passenger seat equipped with ISOFIX anchorages system, </w:t>
            </w:r>
          </w:p>
          <w:p w:rsidR="009C14B8" w:rsidRDefault="009C14B8" w:rsidP="009C14B8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567" w:hanging="425"/>
              <w:rPr>
                <w:sz w:val="18"/>
                <w:szCs w:val="18"/>
                <w:lang w:val="en-US"/>
              </w:rPr>
            </w:pPr>
            <w:r>
              <w:rPr>
                <w:rFonts w:ascii="Symbol" w:hAnsi="Symbol"/>
                <w:sz w:val="18"/>
                <w:szCs w:val="18"/>
                <w:lang w:val="en-US"/>
              </w:rPr>
              <w:t></w:t>
            </w:r>
            <w:r>
              <w:rPr>
                <w:rFonts w:ascii="Symbol" w:hAnsi="Symbol"/>
                <w:sz w:val="18"/>
                <w:szCs w:val="18"/>
                <w:lang w:val="en-US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ab/>
              <w:t xml:space="preserve">Or </w:t>
            </w:r>
            <w:r>
              <w:rPr>
                <w:sz w:val="18"/>
                <w:szCs w:val="18"/>
                <w:lang w:val="en-US"/>
              </w:rPr>
              <w:t>lateral facing position restraint equipped if needed with an anti-rotation device for use in vehicles with positions equipped with ISOFIX anchorages system and top tether anchorage if needed.</w:t>
            </w:r>
          </w:p>
          <w:p w:rsidR="009C14B8" w:rsidRDefault="009C14B8" w:rsidP="009C14B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sz w:val="18"/>
                <w:szCs w:val="18"/>
                <w:lang w:val="en-GB"/>
              </w:rPr>
            </w:pPr>
            <w:r w:rsidRPr="009C14B8">
              <w:rPr>
                <w:b/>
                <w:sz w:val="18"/>
                <w:szCs w:val="18"/>
                <w:vertAlign w:val="superscript"/>
                <w:lang w:val="en-GB"/>
              </w:rPr>
              <w:t>(3)</w:t>
            </w:r>
            <w:r w:rsidRPr="009C14B8">
              <w:rPr>
                <w:b/>
                <w:sz w:val="18"/>
                <w:szCs w:val="18"/>
                <w:lang w:val="en-GB"/>
              </w:rPr>
              <w:tab/>
            </w:r>
            <w:r w:rsidRPr="009C14B8">
              <w:rPr>
                <w:sz w:val="18"/>
                <w:szCs w:val="18"/>
                <w:lang w:val="en-GB"/>
              </w:rPr>
              <w:t xml:space="preserve">New approvals and extensions will be granted in accordance with paragraphs 17.16 </w:t>
            </w:r>
            <w:r w:rsidRPr="009C14B8">
              <w:rPr>
                <w:bCs/>
                <w:sz w:val="18"/>
                <w:szCs w:val="18"/>
                <w:lang w:val="en-GB"/>
              </w:rPr>
              <w:t>to 17.21.</w:t>
            </w:r>
          </w:p>
          <w:p w:rsidR="00B56333" w:rsidRPr="00B56333" w:rsidRDefault="00B56333" w:rsidP="00C4411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B56333" w:rsidRPr="009C5AE7" w:rsidRDefault="00B56333" w:rsidP="00B56333">
      <w:pPr>
        <w:pStyle w:val="para"/>
        <w:jc w:val="right"/>
      </w:pPr>
      <w:r w:rsidRPr="009C5AE7">
        <w:lastRenderedPageBreak/>
        <w:t>"</w:t>
      </w:r>
    </w:p>
    <w:p w:rsidR="00B56333" w:rsidRPr="009C5AE7" w:rsidRDefault="00B56333" w:rsidP="00B56333">
      <w:pPr>
        <w:pStyle w:val="para"/>
      </w:pPr>
      <w:r w:rsidRPr="009C5AE7">
        <w:rPr>
          <w:i/>
        </w:rPr>
        <w:t>Paragraphs 17.16</w:t>
      </w:r>
      <w:r>
        <w:rPr>
          <w:i/>
        </w:rPr>
        <w:t>.</w:t>
      </w:r>
      <w:r w:rsidRPr="009C5AE7">
        <w:rPr>
          <w:i/>
        </w:rPr>
        <w:t xml:space="preserve"> to 17.19., </w:t>
      </w:r>
      <w:r w:rsidRPr="009C5AE7">
        <w:rPr>
          <w:iCs/>
        </w:rPr>
        <w:t>amend to read:</w:t>
      </w:r>
      <w:r w:rsidRPr="009C5AE7">
        <w:rPr>
          <w:i/>
        </w:rPr>
        <w:t xml:space="preserve"> </w:t>
      </w:r>
    </w:p>
    <w:p w:rsidR="00B56333" w:rsidRPr="00B56333" w:rsidRDefault="00B56333" w:rsidP="00B56333">
      <w:pPr>
        <w:spacing w:after="120"/>
        <w:ind w:left="2268" w:right="1134" w:hanging="1100"/>
        <w:jc w:val="both"/>
        <w:rPr>
          <w:lang w:val="en-GB"/>
        </w:rPr>
      </w:pPr>
      <w:r w:rsidRPr="00B56333">
        <w:rPr>
          <w:color w:val="000000" w:themeColor="text1"/>
          <w:lang w:val="en-GB"/>
        </w:rPr>
        <w:t xml:space="preserve">"17.16. </w:t>
      </w:r>
      <w:r w:rsidRPr="00B56333">
        <w:rPr>
          <w:color w:val="000000" w:themeColor="text1"/>
          <w:lang w:val="en-GB"/>
        </w:rPr>
        <w:tab/>
        <w:t>As from 1 September 2017, no new approvals shall be granted under this Regulation to integral class child restraint systems of groups 0, 0+ and 1 that are equipped with ‘ISOFIX attachments’ (as specified in paragraph 6.3.2. of this Regulation). CRS that</w:t>
      </w:r>
      <w:r w:rsidRPr="00B56333">
        <w:rPr>
          <w:lang w:val="en-GB"/>
        </w:rPr>
        <w:t xml:space="preserve"> form part of a multi-group child restraint systems that are also approved for group 2 and above are exempted until 1 September 2020.</w:t>
      </w:r>
    </w:p>
    <w:p w:rsidR="00B56333" w:rsidRPr="00B56333" w:rsidRDefault="00B56333" w:rsidP="00B56333">
      <w:pPr>
        <w:pStyle w:val="para"/>
        <w:rPr>
          <w:strike/>
          <w:color w:val="FF0000"/>
        </w:rPr>
      </w:pPr>
      <w:r w:rsidRPr="00B56333">
        <w:rPr>
          <w:color w:val="000000" w:themeColor="text1"/>
        </w:rPr>
        <w:t xml:space="preserve">17.17. </w:t>
      </w:r>
      <w:r w:rsidRPr="00B56333">
        <w:rPr>
          <w:color w:val="000000" w:themeColor="text1"/>
        </w:rPr>
        <w:tab/>
        <w:t>As from 1 September 2020, no extensions shall be granted under this Regulation to integral class child restraint systems of groups 0, 0+ and I that are equipped with ‘ISOFIX attachments’ (as specified in paragraph 6.3.2. of this Regulation). CRS that</w:t>
      </w:r>
      <w:r w:rsidRPr="00B56333">
        <w:t xml:space="preserve"> form part of a multi-group child restraint systems that are also approved for group 2 and above are exempted until 1 September 2022.</w:t>
      </w:r>
    </w:p>
    <w:p w:rsidR="00B56333" w:rsidRPr="00B56333" w:rsidRDefault="00B56333" w:rsidP="00B56333">
      <w:pPr>
        <w:pStyle w:val="para"/>
        <w:rPr>
          <w:strike/>
          <w:color w:val="FF0000"/>
        </w:rPr>
      </w:pPr>
      <w:r w:rsidRPr="00B56333">
        <w:t xml:space="preserve">17.18. </w:t>
      </w:r>
      <w:r w:rsidRPr="00B56333">
        <w:tab/>
        <w:t xml:space="preserve">As from 1 September 2019, no new approvals shall be granted under this Regulation to non-integral class forward facing child restraint systems of group 2 or group 2/3. </w:t>
      </w:r>
      <w:r w:rsidRPr="00B56333">
        <w:rPr>
          <w:color w:val="000000" w:themeColor="text1"/>
        </w:rPr>
        <w:t>CRS that</w:t>
      </w:r>
      <w:r w:rsidRPr="00B56333">
        <w:t xml:space="preserve"> form part of a multi-group child restraint systems that are also approved for group 1 and above are exempted until 1 September 2020.</w:t>
      </w:r>
    </w:p>
    <w:p w:rsidR="00B56333" w:rsidRPr="00B56333" w:rsidRDefault="00B56333" w:rsidP="00B56333">
      <w:pPr>
        <w:pStyle w:val="para"/>
        <w:rPr>
          <w:strike/>
          <w:color w:val="FF0000"/>
        </w:rPr>
      </w:pPr>
      <w:r w:rsidRPr="00B56333">
        <w:t xml:space="preserve">17.19. </w:t>
      </w:r>
      <w:r w:rsidRPr="00B56333">
        <w:tab/>
        <w:t xml:space="preserve">As from 1 September 2023, no extensions shall be granted under this Regulation to non-integral class forward facing child restraint systems of group 2 or group 2/3. </w:t>
      </w:r>
      <w:r w:rsidRPr="00B56333">
        <w:rPr>
          <w:color w:val="000000" w:themeColor="text1"/>
        </w:rPr>
        <w:t>CRS that</w:t>
      </w:r>
      <w:r w:rsidRPr="00B56333">
        <w:t xml:space="preserve"> form part of a multi-group child restraint systems that are also approved for group 1 and above are exempted until 1 September 2022."</w:t>
      </w:r>
    </w:p>
    <w:p w:rsidR="00B56333" w:rsidRPr="00B56333" w:rsidRDefault="00B56333" w:rsidP="00B56333">
      <w:pPr>
        <w:pStyle w:val="para"/>
      </w:pPr>
      <w:r w:rsidRPr="00B56333">
        <w:rPr>
          <w:i/>
        </w:rPr>
        <w:t>Insert new paragraphs 17.20. and 17.21.,</w:t>
      </w:r>
      <w:r w:rsidRPr="00B56333">
        <w:t xml:space="preserve"> to read:</w:t>
      </w:r>
    </w:p>
    <w:p w:rsidR="00B56333" w:rsidRPr="00B56333" w:rsidRDefault="00B56333" w:rsidP="00B56333">
      <w:pPr>
        <w:ind w:left="2262" w:right="1134" w:hanging="1128"/>
        <w:jc w:val="both"/>
        <w:rPr>
          <w:bCs/>
          <w:lang w:val="en-GB"/>
        </w:rPr>
      </w:pPr>
      <w:r w:rsidRPr="00B56333">
        <w:rPr>
          <w:lang w:val="en-GB"/>
        </w:rPr>
        <w:t>"</w:t>
      </w:r>
      <w:r w:rsidRPr="00B56333">
        <w:rPr>
          <w:bCs/>
          <w:lang w:val="en-GB"/>
        </w:rPr>
        <w:t>17.20.</w:t>
      </w:r>
      <w:r w:rsidRPr="00B56333">
        <w:rPr>
          <w:bCs/>
          <w:lang w:val="en-GB"/>
        </w:rPr>
        <w:tab/>
        <w:t xml:space="preserve">As from 1 September 2020, no new approvals shall be granted under this Regulation to child restraint systems other than Group 3. </w:t>
      </w:r>
    </w:p>
    <w:p w:rsidR="00B56333" w:rsidRPr="00B56333" w:rsidRDefault="00B56333" w:rsidP="00B56333">
      <w:pPr>
        <w:ind w:left="2262" w:right="1134" w:hanging="1128"/>
        <w:jc w:val="both"/>
        <w:rPr>
          <w:bCs/>
          <w:lang w:val="en-GB"/>
        </w:rPr>
      </w:pPr>
    </w:p>
    <w:p w:rsidR="00B56333" w:rsidRPr="00B56333" w:rsidRDefault="00B56333" w:rsidP="00B56333">
      <w:pPr>
        <w:ind w:left="2262" w:right="1134" w:hanging="1128"/>
        <w:jc w:val="both"/>
        <w:rPr>
          <w:bCs/>
          <w:lang w:val="en-GB"/>
        </w:rPr>
      </w:pPr>
      <w:r w:rsidRPr="00B56333">
        <w:rPr>
          <w:bCs/>
          <w:lang w:val="en-GB"/>
        </w:rPr>
        <w:t xml:space="preserve">17.21. </w:t>
      </w:r>
      <w:r w:rsidRPr="00B56333">
        <w:rPr>
          <w:bCs/>
          <w:lang w:val="en-GB"/>
        </w:rPr>
        <w:tab/>
        <w:t>As from 1 September 2022, no extensions shall be granted under this Regulation to child restraint systems other than Group 3."</w:t>
      </w:r>
    </w:p>
    <w:p w:rsidR="00B56333" w:rsidRPr="00B56333" w:rsidRDefault="00B56333" w:rsidP="00B56333">
      <w:pPr>
        <w:pStyle w:val="SingleTxtG"/>
        <w:spacing w:line="240" w:lineRule="auto"/>
        <w:rPr>
          <w:bCs/>
          <w:color w:val="FF0000"/>
          <w:lang w:val="en-GB"/>
        </w:rPr>
      </w:pPr>
    </w:p>
    <w:p w:rsidR="00B56333" w:rsidRPr="00B56333" w:rsidRDefault="00B56333" w:rsidP="00B56333">
      <w:pPr>
        <w:pStyle w:val="SingleTxtG"/>
        <w:rPr>
          <w:lang w:val="en-GB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235B87">
      <w:rPr>
        <w:lang w:val="en-US"/>
      </w:rPr>
      <w:t>3</w:t>
    </w:r>
    <w:r w:rsidR="006A330A">
      <w:rPr>
        <w:lang w:val="en-US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56333">
      <w:rPr>
        <w:lang w:val="en-US"/>
      </w:rPr>
      <w:t>9</w:t>
    </w:r>
    <w:r>
      <w:rPr>
        <w:lang w:val="en-US"/>
      </w:rPr>
      <w:t>/</w:t>
    </w:r>
    <w:r w:rsidR="00B56333">
      <w:rPr>
        <w:lang w:val="en-US"/>
      </w:rPr>
      <w:t>36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330A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1EB4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57EB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189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14B8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6333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C71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6CE6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."/>
  <w:listSeparator w:val=","/>
  <w14:docId w14:val="0778ED9E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239A-3156-4489-839F-B876B6C1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6</cp:revision>
  <cp:lastPrinted>2018-12-12T11:17:00Z</cp:lastPrinted>
  <dcterms:created xsi:type="dcterms:W3CDTF">2019-04-02T13:33:00Z</dcterms:created>
  <dcterms:modified xsi:type="dcterms:W3CDTF">2019-04-10T11:20:00Z</dcterms:modified>
</cp:coreProperties>
</file>