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A0CC72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8FC3149" w14:textId="77777777" w:rsidR="00F35BAF" w:rsidRPr="00DB58B5" w:rsidRDefault="00F35BAF" w:rsidP="00D92FC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DFBC68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EFD64B2" w14:textId="77777777" w:rsidR="00F35BAF" w:rsidRPr="00DB58B5" w:rsidRDefault="00D92FCF" w:rsidP="00D92FCF">
            <w:pPr>
              <w:jc w:val="right"/>
            </w:pPr>
            <w:r w:rsidRPr="00D92FCF">
              <w:rPr>
                <w:sz w:val="40"/>
              </w:rPr>
              <w:t>ECE</w:t>
            </w:r>
            <w:r>
              <w:t>/TRANS/WP.29/2019/82</w:t>
            </w:r>
          </w:p>
        </w:tc>
      </w:tr>
      <w:tr w:rsidR="00F35BAF" w:rsidRPr="00DB58B5" w14:paraId="3EC07A3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741B9E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62B7F80" wp14:editId="6DC709F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85A15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48C73E2" w14:textId="77777777" w:rsidR="00F35BAF" w:rsidRDefault="00D92FCF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0B466BB0" w14:textId="77777777" w:rsidR="00D92FCF" w:rsidRDefault="00D92FCF" w:rsidP="00D92FCF">
            <w:pPr>
              <w:spacing w:line="240" w:lineRule="exact"/>
            </w:pPr>
            <w:r>
              <w:t>28 août 2019</w:t>
            </w:r>
          </w:p>
          <w:p w14:paraId="279DF676" w14:textId="77777777" w:rsidR="00D92FCF" w:rsidRDefault="00D92FCF" w:rsidP="00D92FCF">
            <w:pPr>
              <w:spacing w:line="240" w:lineRule="exact"/>
            </w:pPr>
            <w:r>
              <w:t>Français</w:t>
            </w:r>
          </w:p>
          <w:p w14:paraId="7204D731" w14:textId="77777777" w:rsidR="00D92FCF" w:rsidRPr="00DB58B5" w:rsidRDefault="00D92FCF" w:rsidP="00D92FCF">
            <w:pPr>
              <w:spacing w:line="240" w:lineRule="exact"/>
            </w:pPr>
            <w:r>
              <w:t>Original : anglais</w:t>
            </w:r>
          </w:p>
        </w:tc>
      </w:tr>
    </w:tbl>
    <w:p w14:paraId="791CB2B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7797F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5D002B0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A7FC020" w14:textId="77777777" w:rsidR="00D92FCF" w:rsidRDefault="00D92FCF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57797F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41FA6CE2" w14:textId="77777777" w:rsidR="00D92FCF" w:rsidRDefault="00D92FCF" w:rsidP="00AF0CB5">
      <w:pPr>
        <w:spacing w:before="120" w:line="240" w:lineRule="exact"/>
        <w:rPr>
          <w:b/>
        </w:rPr>
      </w:pPr>
      <w:r>
        <w:rPr>
          <w:b/>
          <w:bCs/>
          <w:lang w:val="fr-FR"/>
        </w:rPr>
        <w:t>179</w:t>
      </w:r>
      <w:r w:rsidRPr="00D92FCF">
        <w:rPr>
          <w:b/>
          <w:bCs/>
          <w:vertAlign w:val="superscript"/>
          <w:lang w:val="fr-FR"/>
        </w:rPr>
        <w:t>e</w:t>
      </w:r>
      <w:r>
        <w:rPr>
          <w:b/>
        </w:rPr>
        <w:t xml:space="preserve"> session</w:t>
      </w:r>
    </w:p>
    <w:p w14:paraId="3F2FEB19" w14:textId="77777777" w:rsidR="00D92FCF" w:rsidRDefault="00D92FCF" w:rsidP="00AF0CB5">
      <w:pPr>
        <w:spacing w:line="240" w:lineRule="exact"/>
      </w:pPr>
      <w:r>
        <w:t xml:space="preserve">Genève, </w:t>
      </w:r>
      <w:r>
        <w:rPr>
          <w:lang w:val="fr-FR"/>
        </w:rPr>
        <w:t>12-14 novembre 2019</w:t>
      </w:r>
    </w:p>
    <w:p w14:paraId="2C5B057C" w14:textId="77777777" w:rsidR="00D92FCF" w:rsidRDefault="00D92FCF" w:rsidP="00AF0CB5">
      <w:pPr>
        <w:spacing w:line="240" w:lineRule="exact"/>
      </w:pPr>
      <w:r>
        <w:t xml:space="preserve">Point </w:t>
      </w:r>
      <w:r>
        <w:rPr>
          <w:lang w:val="fr-FR"/>
        </w:rPr>
        <w:t>4.6.4 de l</w:t>
      </w:r>
      <w:r w:rsidR="0057797F">
        <w:rPr>
          <w:lang w:val="fr-FR"/>
        </w:rPr>
        <w:t>’</w:t>
      </w:r>
      <w:r>
        <w:rPr>
          <w:lang w:val="fr-FR"/>
        </w:rPr>
        <w:t>ordre du jour provisoire</w:t>
      </w:r>
    </w:p>
    <w:p w14:paraId="3AEE3300" w14:textId="77777777" w:rsidR="00D92FCF" w:rsidRPr="00413978" w:rsidRDefault="00D92FCF" w:rsidP="00D92FCF">
      <w:pPr>
        <w:spacing w:after="240" w:line="240" w:lineRule="auto"/>
        <w:rPr>
          <w:b/>
          <w:lang w:val="fr-FR"/>
        </w:rPr>
      </w:pPr>
      <w:r>
        <w:rPr>
          <w:b/>
          <w:bCs/>
          <w:lang w:val="fr-FR"/>
        </w:rPr>
        <w:t>Accord de 1958</w:t>
      </w:r>
      <w:r w:rsidR="00AC7F09">
        <w:rPr>
          <w:b/>
          <w:bCs/>
          <w:lang w:val="fr-FR"/>
        </w:rPr>
        <w:t> </w:t>
      </w:r>
      <w:r>
        <w:rPr>
          <w:b/>
          <w:bCs/>
          <w:lang w:val="fr-FR"/>
        </w:rPr>
        <w:t xml:space="preserve">: </w:t>
      </w:r>
      <w:r>
        <w:rPr>
          <w:b/>
          <w:bCs/>
          <w:lang w:val="fr-FR"/>
        </w:rPr>
        <w:br/>
        <w:t>Examen de projets d</w:t>
      </w:r>
      <w:r w:rsidR="0057797F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amendements à des Règlements ONU </w:t>
      </w:r>
      <w:r>
        <w:rPr>
          <w:b/>
          <w:bCs/>
          <w:lang w:val="fr-FR"/>
        </w:rPr>
        <w:br/>
        <w:t>existants, soumis par le GRE</w:t>
      </w:r>
      <w:r>
        <w:rPr>
          <w:lang w:val="fr-FR"/>
        </w:rPr>
        <w:t xml:space="preserve"> </w:t>
      </w:r>
    </w:p>
    <w:p w14:paraId="5F274F61" w14:textId="77777777" w:rsidR="00D92FCF" w:rsidRPr="00413978" w:rsidRDefault="00D92FCF" w:rsidP="00D92FC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 1 au Règlement ONU </w:t>
      </w:r>
      <w:r w:rsidRPr="00E00E89">
        <w:rPr>
          <w:lang w:val="fr-FR"/>
        </w:rPr>
        <w:t>n</w:t>
      </w:r>
      <w:r w:rsidRPr="00E00E89">
        <w:rPr>
          <w:vertAlign w:val="superscript"/>
          <w:lang w:val="fr-FR"/>
        </w:rPr>
        <w:t>o</w:t>
      </w:r>
      <w:r w:rsidRPr="00E00E89">
        <w:rPr>
          <w:lang w:val="fr-FR"/>
        </w:rPr>
        <w:t xml:space="preserve"> </w:t>
      </w:r>
      <w:r>
        <w:rPr>
          <w:lang w:val="fr-FR"/>
        </w:rPr>
        <w:t xml:space="preserve">[149] (Dispositifs </w:t>
      </w:r>
      <w:r w:rsidRPr="00D92FCF">
        <w:t>d</w:t>
      </w:r>
      <w:r w:rsidR="0057797F">
        <w:t>’</w:t>
      </w:r>
      <w:r w:rsidRPr="00D92FCF">
        <w:t>éclairage</w:t>
      </w:r>
      <w:r>
        <w:rPr>
          <w:lang w:val="fr-FR"/>
        </w:rPr>
        <w:t xml:space="preserve"> de la route) </w:t>
      </w:r>
    </w:p>
    <w:p w14:paraId="021D27EA" w14:textId="77777777" w:rsidR="00D92FCF" w:rsidRPr="00413978" w:rsidRDefault="00D92FCF" w:rsidP="00D92FCF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Groupe de travail de l</w:t>
      </w:r>
      <w:r w:rsidR="0057797F">
        <w:rPr>
          <w:lang w:val="fr-FR"/>
        </w:rPr>
        <w:t>’</w:t>
      </w:r>
      <w:r>
        <w:rPr>
          <w:lang w:val="fr-FR"/>
        </w:rPr>
        <w:t>éclairage</w:t>
      </w:r>
      <w:r w:rsidR="00AC7F09">
        <w:rPr>
          <w:lang w:val="fr-FR"/>
        </w:rPr>
        <w:t xml:space="preserve"> </w:t>
      </w:r>
      <w:r>
        <w:rPr>
          <w:lang w:val="fr-FR"/>
        </w:rPr>
        <w:br/>
        <w:t>et de la signalisation lumineuse</w:t>
      </w:r>
      <w:r w:rsidRPr="004A70AD">
        <w:rPr>
          <w:b w:val="0"/>
          <w:sz w:val="20"/>
          <w:lang w:val="fr-FR"/>
        </w:rPr>
        <w:footnoteReference w:customMarkFollows="1" w:id="2"/>
        <w:t>*</w:t>
      </w:r>
    </w:p>
    <w:p w14:paraId="3390F029" w14:textId="77777777" w:rsidR="00D92FCF" w:rsidRPr="00413978" w:rsidRDefault="00D92FCF" w:rsidP="00D92FCF">
      <w:pPr>
        <w:pStyle w:val="SingleTxtG"/>
        <w:rPr>
          <w:lang w:val="fr-FR"/>
        </w:rPr>
      </w:pPr>
      <w:r>
        <w:rPr>
          <w:lang w:val="fr-FR"/>
        </w:rPr>
        <w:tab/>
        <w:t>Le texte ci-après a été adopté par le Groupe de travail de l</w:t>
      </w:r>
      <w:r w:rsidR="0057797F">
        <w:rPr>
          <w:lang w:val="fr-FR"/>
        </w:rPr>
        <w:t>’</w:t>
      </w:r>
      <w:r>
        <w:rPr>
          <w:lang w:val="fr-FR"/>
        </w:rPr>
        <w:t xml:space="preserve">éclairage et de la signalisation </w:t>
      </w:r>
      <w:r w:rsidRPr="00D92FCF">
        <w:t>lumineuse</w:t>
      </w:r>
      <w:r>
        <w:rPr>
          <w:lang w:val="fr-FR"/>
        </w:rPr>
        <w:t xml:space="preserve"> (GRE) à sa quatre-vingtième session (ECE/TRANS/WP.29/ GRE/80, par.</w:t>
      </w:r>
      <w:r w:rsidR="00AC7F09">
        <w:rPr>
          <w:lang w:val="fr-FR"/>
        </w:rPr>
        <w:t> </w:t>
      </w:r>
      <w:r>
        <w:rPr>
          <w:lang w:val="fr-FR"/>
        </w:rPr>
        <w:t xml:space="preserve">11). Il est fondé sur le document ECE/TRANS/WP.29/GRE/2018/37. </w:t>
      </w:r>
      <w:r w:rsidRPr="00E00E89">
        <w:rPr>
          <w:iCs/>
          <w:lang w:val="fr-FR"/>
        </w:rPr>
        <w:t>Il est soumis au Forum mondial de l</w:t>
      </w:r>
      <w:r w:rsidR="0057797F">
        <w:rPr>
          <w:iCs/>
          <w:lang w:val="fr-FR"/>
        </w:rPr>
        <w:t>’</w:t>
      </w:r>
      <w:r w:rsidRPr="00E00E89">
        <w:rPr>
          <w:iCs/>
          <w:lang w:val="fr-FR"/>
        </w:rPr>
        <w:t>harmonisation des Règlements concernant les véhicules</w:t>
      </w:r>
      <w:r>
        <w:rPr>
          <w:iCs/>
          <w:lang w:val="fr-FR"/>
        </w:rPr>
        <w:t> </w:t>
      </w:r>
      <w:r w:rsidRPr="00E00E89">
        <w:rPr>
          <w:iCs/>
          <w:lang w:val="fr-FR"/>
        </w:rPr>
        <w:t>(WP.29) et au Comité d</w:t>
      </w:r>
      <w:r w:rsidR="0057797F">
        <w:rPr>
          <w:iCs/>
          <w:lang w:val="fr-FR"/>
        </w:rPr>
        <w:t>’</w:t>
      </w:r>
      <w:r w:rsidRPr="00E00E89">
        <w:rPr>
          <w:iCs/>
          <w:lang w:val="fr-FR"/>
        </w:rPr>
        <w:t>administration (AC.1) pour examen à leurs sessions de</w:t>
      </w:r>
      <w:r>
        <w:rPr>
          <w:i/>
          <w:iCs/>
          <w:lang w:val="fr-FR"/>
        </w:rPr>
        <w:t xml:space="preserve"> </w:t>
      </w:r>
      <w:r>
        <w:rPr>
          <w:lang w:val="fr-FR"/>
        </w:rPr>
        <w:t>novembre 2019.</w:t>
      </w:r>
    </w:p>
    <w:p w14:paraId="5A5A188E" w14:textId="77777777" w:rsidR="00D92FCF" w:rsidRPr="00413978" w:rsidRDefault="00D92FCF" w:rsidP="00D92FCF">
      <w:pPr>
        <w:pStyle w:val="HChG"/>
        <w:spacing w:line="240" w:lineRule="auto"/>
        <w:rPr>
          <w:lang w:val="fr-FR"/>
        </w:rPr>
      </w:pPr>
      <w:bookmarkStart w:id="1" w:name="_Toc354410587"/>
      <w:r w:rsidRPr="00413978"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</w:r>
      <w:r>
        <w:rPr>
          <w:bCs/>
          <w:lang w:val="fr-FR"/>
        </w:rPr>
        <w:t xml:space="preserve">Complément 1 au Règlement ONU </w:t>
      </w:r>
      <w:r w:rsidRPr="00E00E89">
        <w:rPr>
          <w:bCs/>
          <w:lang w:val="fr-FR"/>
        </w:rPr>
        <w:t>n</w:t>
      </w:r>
      <w:r w:rsidRPr="00E00E89">
        <w:rPr>
          <w:bCs/>
          <w:vertAlign w:val="superscript"/>
          <w:lang w:val="fr-FR"/>
        </w:rPr>
        <w:t>o</w:t>
      </w:r>
      <w:r w:rsidRPr="00E00E89">
        <w:rPr>
          <w:bCs/>
          <w:lang w:val="fr-FR"/>
        </w:rPr>
        <w:t> </w:t>
      </w:r>
      <w:r>
        <w:rPr>
          <w:bCs/>
          <w:lang w:val="fr-FR"/>
        </w:rPr>
        <w:t xml:space="preserve">[149] </w:t>
      </w:r>
      <w:r w:rsidR="0057797F">
        <w:rPr>
          <w:bCs/>
          <w:lang w:val="fr-FR"/>
        </w:rPr>
        <w:br/>
      </w:r>
      <w:r>
        <w:rPr>
          <w:bCs/>
          <w:lang w:val="fr-FR"/>
        </w:rPr>
        <w:t>(Dispositifs d</w:t>
      </w:r>
      <w:r w:rsidR="0057797F">
        <w:rPr>
          <w:bCs/>
          <w:lang w:val="fr-FR"/>
        </w:rPr>
        <w:t>’</w:t>
      </w:r>
      <w:r>
        <w:rPr>
          <w:bCs/>
          <w:lang w:val="fr-FR"/>
        </w:rPr>
        <w:t>éclairage de la route)</w:t>
      </w:r>
      <w:r>
        <w:rPr>
          <w:lang w:val="fr-FR"/>
        </w:rPr>
        <w:t xml:space="preserve"> </w:t>
      </w:r>
      <w:bookmarkStart w:id="2" w:name="_Toc473483449"/>
      <w:bookmarkEnd w:id="1"/>
    </w:p>
    <w:p w14:paraId="4D6CF140" w14:textId="77777777" w:rsidR="00D92FCF" w:rsidRPr="00413978" w:rsidRDefault="00D92FCF" w:rsidP="00D92FCF">
      <w:pPr>
        <w:pStyle w:val="SingleTxtG"/>
        <w:spacing w:after="240" w:line="240" w:lineRule="auto"/>
        <w:ind w:left="2268" w:right="1133" w:hanging="1134"/>
        <w:rPr>
          <w:lang w:val="fr-FR"/>
        </w:rPr>
      </w:pPr>
      <w:r w:rsidRPr="00E00E89">
        <w:rPr>
          <w:i/>
          <w:lang w:val="fr-FR"/>
        </w:rPr>
        <w:t>Paragraphe 2.1</w:t>
      </w:r>
      <w:r>
        <w:rPr>
          <w:lang w:val="fr-FR"/>
        </w:rPr>
        <w:t>, lire :</w:t>
      </w:r>
    </w:p>
    <w:p w14:paraId="67701324" w14:textId="77777777" w:rsidR="00D92FCF" w:rsidRPr="00413978" w:rsidRDefault="00D92FCF" w:rsidP="00D92FCF">
      <w:pPr>
        <w:pStyle w:val="SingleTxtG"/>
        <w:spacing w:after="240" w:line="240" w:lineRule="auto"/>
        <w:ind w:left="2268" w:right="1133" w:hanging="1134"/>
        <w:rPr>
          <w:lang w:val="fr-FR"/>
        </w:rPr>
      </w:pPr>
      <w:r>
        <w:rPr>
          <w:lang w:val="fr-FR"/>
        </w:rPr>
        <w:t>« 2.1</w:t>
      </w:r>
      <w:r>
        <w:rPr>
          <w:lang w:val="fr-FR"/>
        </w:rPr>
        <w:tab/>
        <w:t xml:space="preserve">Sauf indication contraire dans le présent Règlement ou les Règlements ONU </w:t>
      </w:r>
      <w:r w:rsidRPr="00907497">
        <w:rPr>
          <w:bCs/>
          <w:lang w:val="fr-FR"/>
        </w:rPr>
        <w:t>n</w:t>
      </w:r>
      <w:r w:rsidRPr="00907497">
        <w:rPr>
          <w:bCs/>
          <w:vertAlign w:val="superscript"/>
          <w:lang w:val="fr-FR"/>
        </w:rPr>
        <w:t>os</w:t>
      </w:r>
      <w:r w:rsidRPr="00907497">
        <w:rPr>
          <w:lang w:val="fr-FR"/>
        </w:rPr>
        <w:t xml:space="preserve"> </w:t>
      </w:r>
      <w:r>
        <w:rPr>
          <w:lang w:val="fr-FR"/>
        </w:rPr>
        <w:t>53, 74 et 86 concernant l</w:t>
      </w:r>
      <w:r w:rsidR="0057797F">
        <w:rPr>
          <w:lang w:val="fr-FR"/>
        </w:rPr>
        <w:t>’</w:t>
      </w:r>
      <w:r>
        <w:rPr>
          <w:lang w:val="fr-FR"/>
        </w:rPr>
        <w:t>installation, toutes les définitions figurant dans la dernière série d</w:t>
      </w:r>
      <w:r w:rsidR="0057797F">
        <w:rPr>
          <w:lang w:val="fr-FR"/>
        </w:rPr>
        <w:t>’</w:t>
      </w:r>
      <w:r>
        <w:rPr>
          <w:lang w:val="fr-FR"/>
        </w:rPr>
        <w:t xml:space="preserve">amendements au Règlement ONU </w:t>
      </w:r>
      <w:r w:rsidRPr="00E00E89">
        <w:rPr>
          <w:lang w:val="fr-FR"/>
        </w:rPr>
        <w:t>n</w:t>
      </w:r>
      <w:r w:rsidRPr="00E00E89">
        <w:rPr>
          <w:vertAlign w:val="superscript"/>
          <w:lang w:val="fr-FR"/>
        </w:rPr>
        <w:t>o</w:t>
      </w:r>
      <w:r w:rsidRPr="00E00E89">
        <w:rPr>
          <w:lang w:val="fr-FR"/>
        </w:rPr>
        <w:t> </w:t>
      </w:r>
      <w:r>
        <w:rPr>
          <w:lang w:val="fr-FR"/>
        </w:rPr>
        <w:t>48 en vigueur à la date de la demande d</w:t>
      </w:r>
      <w:r w:rsidR="0057797F">
        <w:rPr>
          <w:lang w:val="fr-FR"/>
        </w:rPr>
        <w:t>’</w:t>
      </w:r>
      <w:r>
        <w:rPr>
          <w:lang w:val="fr-FR"/>
        </w:rPr>
        <w:t>homologation de type s</w:t>
      </w:r>
      <w:r w:rsidR="0057797F">
        <w:rPr>
          <w:lang w:val="fr-FR"/>
        </w:rPr>
        <w:t>’</w:t>
      </w:r>
      <w:r>
        <w:rPr>
          <w:lang w:val="fr-FR"/>
        </w:rPr>
        <w:t>appliquent.</w:t>
      </w:r>
      <w:r w:rsidR="0057797F">
        <w:rPr>
          <w:lang w:val="fr-FR"/>
        </w:rPr>
        <w:t> ».</w:t>
      </w:r>
    </w:p>
    <w:p w14:paraId="519B45B0" w14:textId="77777777" w:rsidR="00D92FCF" w:rsidRPr="00413978" w:rsidRDefault="00D92FCF" w:rsidP="00D92FCF">
      <w:pPr>
        <w:pStyle w:val="SingleTxtG"/>
        <w:spacing w:after="240" w:line="240" w:lineRule="auto"/>
        <w:ind w:left="2268" w:right="1133" w:hanging="1134"/>
        <w:rPr>
          <w:bCs/>
          <w:i/>
          <w:lang w:val="fr-FR"/>
        </w:rPr>
      </w:pPr>
      <w:r>
        <w:rPr>
          <w:i/>
          <w:iCs/>
          <w:lang w:val="fr-FR"/>
        </w:rPr>
        <w:t>Annexe 2</w:t>
      </w:r>
      <w:r w:rsidRPr="0057797F">
        <w:rPr>
          <w:iCs/>
          <w:lang w:val="fr-FR"/>
        </w:rPr>
        <w:t>,</w:t>
      </w:r>
      <w:r w:rsidRPr="0057797F">
        <w:rPr>
          <w:lang w:val="fr-FR"/>
        </w:rPr>
        <w:t xml:space="preserve"> </w:t>
      </w:r>
    </w:p>
    <w:p w14:paraId="4CCD4335" w14:textId="77777777" w:rsidR="00D92FCF" w:rsidRPr="00413978" w:rsidRDefault="00D92FCF" w:rsidP="00D92FCF">
      <w:pPr>
        <w:pStyle w:val="SingleTxtG"/>
        <w:spacing w:after="240" w:line="240" w:lineRule="auto"/>
        <w:ind w:left="2268" w:right="1133" w:hanging="1134"/>
        <w:rPr>
          <w:bCs/>
          <w:lang w:val="fr-FR"/>
        </w:rPr>
      </w:pPr>
      <w:r w:rsidRPr="0011205A">
        <w:rPr>
          <w:i/>
          <w:lang w:val="fr-FR"/>
        </w:rPr>
        <w:t>Le paragraphe 1.2.2.3</w:t>
      </w:r>
      <w:r>
        <w:rPr>
          <w:lang w:val="fr-FR"/>
        </w:rPr>
        <w:t xml:space="preserve"> </w:t>
      </w:r>
      <w:r w:rsidRPr="0011205A">
        <w:rPr>
          <w:iCs/>
          <w:lang w:val="fr-FR"/>
        </w:rPr>
        <w:t>devient le paragraphe</w:t>
      </w:r>
      <w:r>
        <w:rPr>
          <w:i/>
          <w:iCs/>
          <w:lang w:val="fr-FR"/>
        </w:rPr>
        <w:t xml:space="preserve"> </w:t>
      </w:r>
      <w:r>
        <w:rPr>
          <w:lang w:val="fr-FR"/>
        </w:rPr>
        <w:t xml:space="preserve">1.2.3 </w:t>
      </w:r>
      <w:r w:rsidRPr="00413978">
        <w:rPr>
          <w:lang w:val="fr-FR"/>
        </w:rPr>
        <w:t xml:space="preserve">et </w:t>
      </w:r>
      <w:r>
        <w:rPr>
          <w:lang w:val="fr-FR"/>
        </w:rPr>
        <w:t xml:space="preserve">se lit </w:t>
      </w:r>
      <w:r w:rsidRPr="00413978">
        <w:rPr>
          <w:lang w:val="fr-FR"/>
        </w:rPr>
        <w:t>comme suit</w:t>
      </w:r>
      <w:r w:rsidR="0057797F">
        <w:rPr>
          <w:lang w:val="fr-FR"/>
        </w:rPr>
        <w:t> </w:t>
      </w:r>
      <w:r>
        <w:rPr>
          <w:lang w:val="fr-FR"/>
        </w:rPr>
        <w:t>:</w:t>
      </w:r>
    </w:p>
    <w:p w14:paraId="79983306" w14:textId="77777777" w:rsidR="00D92FCF" w:rsidRPr="00413978" w:rsidRDefault="00D92FCF" w:rsidP="00D92FCF">
      <w:pPr>
        <w:pStyle w:val="SingleTxtG"/>
        <w:spacing w:after="240" w:line="240" w:lineRule="auto"/>
        <w:ind w:left="2268" w:right="1133" w:hanging="1134"/>
        <w:rPr>
          <w:lang w:val="fr-FR"/>
        </w:rPr>
      </w:pPr>
      <w:r>
        <w:rPr>
          <w:lang w:val="fr-FR"/>
        </w:rPr>
        <w:t>« 1.2.3</w:t>
      </w:r>
      <w:r>
        <w:rPr>
          <w:lang w:val="fr-FR"/>
        </w:rPr>
        <w:tab/>
        <w:t>Si les résultats des essais décrits ci-dessus ne sont pas conformes aux prescriptions, on peut modifier l</w:t>
      </w:r>
      <w:r w:rsidR="0057797F">
        <w:rPr>
          <w:lang w:val="fr-FR"/>
        </w:rPr>
        <w:t>’</w:t>
      </w:r>
      <w:r>
        <w:rPr>
          <w:lang w:val="fr-FR"/>
        </w:rPr>
        <w:t>alignement du projecteur, à condition que l</w:t>
      </w:r>
      <w:r w:rsidR="0057797F">
        <w:rPr>
          <w:lang w:val="fr-FR"/>
        </w:rPr>
        <w:t>’</w:t>
      </w:r>
      <w:r>
        <w:rPr>
          <w:lang w:val="fr-FR"/>
        </w:rPr>
        <w:t>axe du faisceau ne soit pas déplacé latéralement de plus de 0,5° vers la droite ou vers la gauche, ni de plus de 0,2° vers le haut ou vers le bas.</w:t>
      </w:r>
      <w:r w:rsidR="0057797F">
        <w:rPr>
          <w:lang w:val="fr-FR"/>
        </w:rPr>
        <w:t> ».</w:t>
      </w:r>
    </w:p>
    <w:p w14:paraId="5EEA6729" w14:textId="77777777" w:rsidR="00D92FCF" w:rsidRPr="00413978" w:rsidRDefault="00D92FCF" w:rsidP="00D92FCF">
      <w:pPr>
        <w:pStyle w:val="SingleTxtG"/>
        <w:spacing w:after="240" w:line="240" w:lineRule="auto"/>
        <w:ind w:left="2268" w:right="1133" w:hanging="1134"/>
        <w:rPr>
          <w:bCs/>
          <w:lang w:val="fr-FR"/>
        </w:rPr>
      </w:pPr>
      <w:r>
        <w:rPr>
          <w:i/>
          <w:lang w:val="fr-FR"/>
        </w:rPr>
        <w:t>Le</w:t>
      </w:r>
      <w:r w:rsidRPr="003904A9">
        <w:rPr>
          <w:i/>
          <w:lang w:val="fr-FR"/>
        </w:rPr>
        <w:t xml:space="preserve"> </w:t>
      </w:r>
      <w:r w:rsidRPr="0011205A">
        <w:rPr>
          <w:i/>
          <w:lang w:val="fr-FR"/>
        </w:rPr>
        <w:t>paragraphe 1.2.3</w:t>
      </w:r>
      <w:r>
        <w:rPr>
          <w:lang w:val="fr-FR"/>
        </w:rPr>
        <w:t xml:space="preserve"> devient le paragraphe 1.2.4</w:t>
      </w:r>
      <w:r w:rsidRPr="00413978">
        <w:rPr>
          <w:lang w:val="fr-FR"/>
        </w:rPr>
        <w:t xml:space="preserve"> et </w:t>
      </w:r>
      <w:r>
        <w:rPr>
          <w:lang w:val="fr-FR"/>
        </w:rPr>
        <w:t xml:space="preserve">se lit </w:t>
      </w:r>
      <w:r w:rsidRPr="00413978">
        <w:rPr>
          <w:lang w:val="fr-FR"/>
        </w:rPr>
        <w:t>comme suit</w:t>
      </w:r>
      <w:r w:rsidR="0057797F">
        <w:rPr>
          <w:lang w:val="fr-FR"/>
        </w:rPr>
        <w:t> </w:t>
      </w:r>
      <w:r>
        <w:rPr>
          <w:lang w:val="fr-FR"/>
        </w:rPr>
        <w:t>:</w:t>
      </w:r>
    </w:p>
    <w:p w14:paraId="61848501" w14:textId="77777777" w:rsidR="00D92FCF" w:rsidRPr="00413978" w:rsidRDefault="00D92FCF" w:rsidP="00D92FCF">
      <w:pPr>
        <w:pStyle w:val="SingleTxtG"/>
        <w:spacing w:after="240" w:line="240" w:lineRule="auto"/>
        <w:ind w:left="2268" w:right="1133" w:hanging="1134"/>
        <w:rPr>
          <w:lang w:val="fr-FR"/>
        </w:rPr>
      </w:pPr>
      <w:r>
        <w:rPr>
          <w:lang w:val="fr-FR"/>
        </w:rPr>
        <w:t>« 1.2.4</w:t>
      </w:r>
      <w:r>
        <w:rPr>
          <w:lang w:val="fr-FR"/>
        </w:rPr>
        <w:tab/>
        <w:t>Pour les systèmes d</w:t>
      </w:r>
      <w:r w:rsidR="0057797F">
        <w:rPr>
          <w:lang w:val="fr-FR"/>
        </w:rPr>
        <w:t>’</w:t>
      </w:r>
      <w:r>
        <w:rPr>
          <w:lang w:val="fr-FR"/>
        </w:rPr>
        <w:t>éclairage avant actif (AFS) correspondant au paragraphe 5.3 du présent Règlement, si les résultats de l</w:t>
      </w:r>
      <w:r w:rsidR="0057797F">
        <w:rPr>
          <w:lang w:val="fr-FR"/>
        </w:rPr>
        <w:t>’</w:t>
      </w:r>
      <w:r>
        <w:rPr>
          <w:lang w:val="fr-FR"/>
        </w:rPr>
        <w:t>essai décrit ci</w:t>
      </w:r>
      <w:r w:rsidR="00AC7F09">
        <w:rPr>
          <w:lang w:val="fr-FR"/>
        </w:rPr>
        <w:noBreakHyphen/>
      </w:r>
      <w:r>
        <w:rPr>
          <w:lang w:val="fr-FR"/>
        </w:rPr>
        <w:t>dessus ne satisfont pas aux prescriptions, l</w:t>
      </w:r>
      <w:r w:rsidR="0057797F">
        <w:rPr>
          <w:lang w:val="fr-FR"/>
        </w:rPr>
        <w:t>’</w:t>
      </w:r>
      <w:r>
        <w:rPr>
          <w:lang w:val="fr-FR"/>
        </w:rPr>
        <w:t>orientation du système peut être modifiée dans chaque classe, à condition que l</w:t>
      </w:r>
      <w:r w:rsidR="0057797F">
        <w:rPr>
          <w:lang w:val="fr-FR"/>
        </w:rPr>
        <w:t>’</w:t>
      </w:r>
      <w:r>
        <w:rPr>
          <w:lang w:val="fr-FR"/>
        </w:rPr>
        <w:t>axe du faisceau ne soit pas déplacé latéralement de plus de 0,5° vers la droite ou vers la gauche, ni de plus de 0,2° vers le haut ou vers le bas, chacun indépendamment par rapport au réglage initial.</w:t>
      </w:r>
    </w:p>
    <w:p w14:paraId="33EF73E5" w14:textId="77777777" w:rsidR="00D92FCF" w:rsidRPr="00C45C71" w:rsidRDefault="00D92FCF" w:rsidP="00D92FCF">
      <w:pPr>
        <w:pStyle w:val="SingleTxtG"/>
        <w:spacing w:after="240" w:line="240" w:lineRule="auto"/>
        <w:ind w:left="2268" w:right="1133" w:hanging="1134"/>
      </w:pPr>
      <w:r>
        <w:rPr>
          <w:lang w:val="fr-FR"/>
        </w:rPr>
        <w:tab/>
        <w:t>Ces dispositions ne s</w:t>
      </w:r>
      <w:r w:rsidR="0057797F">
        <w:rPr>
          <w:lang w:val="fr-FR"/>
        </w:rPr>
        <w:t>’</w:t>
      </w:r>
      <w:r>
        <w:rPr>
          <w:lang w:val="fr-FR"/>
        </w:rPr>
        <w:t>appliquent pas aux unités d</w:t>
      </w:r>
      <w:r w:rsidR="0057797F">
        <w:rPr>
          <w:lang w:val="fr-FR"/>
        </w:rPr>
        <w:t>’</w:t>
      </w:r>
      <w:r>
        <w:rPr>
          <w:lang w:val="fr-FR"/>
        </w:rPr>
        <w:t>éclairage définies au paragraphe 5.3.3.1.1 du présent Règlement.</w:t>
      </w:r>
      <w:r w:rsidR="0057797F">
        <w:rPr>
          <w:lang w:val="fr-FR"/>
        </w:rPr>
        <w:t> ».</w:t>
      </w:r>
    </w:p>
    <w:p w14:paraId="043DEDB0" w14:textId="77777777" w:rsidR="00D92FCF" w:rsidRPr="00C45C71" w:rsidRDefault="00D92FCF" w:rsidP="00D92FCF">
      <w:pPr>
        <w:pStyle w:val="SingleTxtG"/>
        <w:spacing w:after="240" w:line="240" w:lineRule="auto"/>
        <w:ind w:left="2268" w:right="1133" w:hanging="1134"/>
        <w:rPr>
          <w:i/>
        </w:rPr>
      </w:pPr>
      <w:r>
        <w:rPr>
          <w:i/>
          <w:lang w:val="fr-FR"/>
        </w:rPr>
        <w:t>Le</w:t>
      </w:r>
      <w:r w:rsidRPr="003904A9">
        <w:rPr>
          <w:i/>
          <w:lang w:val="fr-FR"/>
        </w:rPr>
        <w:t xml:space="preserve"> paragraphe </w:t>
      </w:r>
      <w:r w:rsidRPr="009D5E6E">
        <w:rPr>
          <w:i/>
          <w:lang w:val="fr-FR"/>
        </w:rPr>
        <w:t xml:space="preserve">1.2.4 </w:t>
      </w:r>
      <w:r>
        <w:rPr>
          <w:lang w:val="fr-FR"/>
        </w:rPr>
        <w:t>devient le paragraphe 1.2.5.</w:t>
      </w:r>
    </w:p>
    <w:bookmarkEnd w:id="2"/>
    <w:p w14:paraId="56D43614" w14:textId="77777777" w:rsidR="00F9573C" w:rsidRPr="0057797F" w:rsidRDefault="0057797F" w:rsidP="0057797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57797F" w:rsidSect="00D92F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871EA" w14:textId="77777777" w:rsidR="0055604B" w:rsidRDefault="0055604B" w:rsidP="00F95C08">
      <w:pPr>
        <w:spacing w:line="240" w:lineRule="auto"/>
      </w:pPr>
    </w:p>
  </w:endnote>
  <w:endnote w:type="continuationSeparator" w:id="0">
    <w:p w14:paraId="7D4ADBC7" w14:textId="77777777" w:rsidR="0055604B" w:rsidRPr="00AC3823" w:rsidRDefault="0055604B" w:rsidP="00AC3823">
      <w:pPr>
        <w:pStyle w:val="Footer"/>
      </w:pPr>
    </w:p>
  </w:endnote>
  <w:endnote w:type="continuationNotice" w:id="1">
    <w:p w14:paraId="5A583906" w14:textId="77777777" w:rsidR="0055604B" w:rsidRDefault="005560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AA3A" w14:textId="77777777" w:rsidR="00D92FCF" w:rsidRPr="00D92FCF" w:rsidRDefault="00D92FCF" w:rsidP="00D92FCF">
    <w:pPr>
      <w:pStyle w:val="Footer"/>
      <w:tabs>
        <w:tab w:val="right" w:pos="9638"/>
      </w:tabs>
    </w:pPr>
    <w:r w:rsidRPr="00D92FCF">
      <w:rPr>
        <w:b/>
        <w:sz w:val="18"/>
      </w:rPr>
      <w:fldChar w:fldCharType="begin"/>
    </w:r>
    <w:r w:rsidRPr="00D92FCF">
      <w:rPr>
        <w:b/>
        <w:sz w:val="18"/>
      </w:rPr>
      <w:instrText xml:space="preserve"> PAGE  \* MERGEFORMAT </w:instrText>
    </w:r>
    <w:r w:rsidRPr="00D92FCF">
      <w:rPr>
        <w:b/>
        <w:sz w:val="18"/>
      </w:rPr>
      <w:fldChar w:fldCharType="separate"/>
    </w:r>
    <w:r w:rsidRPr="00D92FCF">
      <w:rPr>
        <w:b/>
        <w:noProof/>
        <w:sz w:val="18"/>
      </w:rPr>
      <w:t>2</w:t>
    </w:r>
    <w:r w:rsidRPr="00D92FCF">
      <w:rPr>
        <w:b/>
        <w:sz w:val="18"/>
      </w:rPr>
      <w:fldChar w:fldCharType="end"/>
    </w:r>
    <w:r>
      <w:rPr>
        <w:b/>
        <w:sz w:val="18"/>
      </w:rPr>
      <w:tab/>
    </w:r>
    <w:r>
      <w:t>GE.19-14709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1A13" w14:textId="77777777" w:rsidR="00D92FCF" w:rsidRPr="00D92FCF" w:rsidRDefault="00D92FCF" w:rsidP="00D92FCF">
    <w:pPr>
      <w:pStyle w:val="Footer"/>
      <w:tabs>
        <w:tab w:val="right" w:pos="9638"/>
      </w:tabs>
      <w:rPr>
        <w:b/>
        <w:sz w:val="18"/>
      </w:rPr>
    </w:pPr>
    <w:r>
      <w:t>GE.19-14709</w:t>
    </w:r>
    <w:r>
      <w:tab/>
    </w:r>
    <w:r w:rsidRPr="00D92FCF">
      <w:rPr>
        <w:b/>
        <w:sz w:val="18"/>
      </w:rPr>
      <w:fldChar w:fldCharType="begin"/>
    </w:r>
    <w:r w:rsidRPr="00D92FCF">
      <w:rPr>
        <w:b/>
        <w:sz w:val="18"/>
      </w:rPr>
      <w:instrText xml:space="preserve"> PAGE  \* MERGEFORMAT </w:instrText>
    </w:r>
    <w:r w:rsidRPr="00D92FCF">
      <w:rPr>
        <w:b/>
        <w:sz w:val="18"/>
      </w:rPr>
      <w:fldChar w:fldCharType="separate"/>
    </w:r>
    <w:r w:rsidRPr="00D92FCF">
      <w:rPr>
        <w:b/>
        <w:noProof/>
        <w:sz w:val="18"/>
      </w:rPr>
      <w:t>3</w:t>
    </w:r>
    <w:r w:rsidRPr="00D92FC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FF3A" w14:textId="77777777" w:rsidR="007F20FA" w:rsidRPr="00D92FCF" w:rsidRDefault="00D92FCF" w:rsidP="00D92FC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011FB58" wp14:editId="4CE4044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14709  (</w:t>
    </w:r>
    <w:proofErr w:type="gramEnd"/>
    <w:r>
      <w:rPr>
        <w:sz w:val="20"/>
      </w:rPr>
      <w:t>F)</w:t>
    </w:r>
    <w:r w:rsidR="00BE06E7">
      <w:rPr>
        <w:sz w:val="20"/>
      </w:rPr>
      <w:t xml:space="preserve">    190919    240919</w:t>
    </w:r>
    <w:r>
      <w:rPr>
        <w:sz w:val="20"/>
      </w:rPr>
      <w:br/>
    </w:r>
    <w:r w:rsidRPr="00D92FCF">
      <w:rPr>
        <w:rFonts w:ascii="C39T30Lfz" w:hAnsi="C39T30Lfz"/>
        <w:sz w:val="56"/>
      </w:rPr>
      <w:t></w:t>
    </w:r>
    <w:r w:rsidRPr="00D92FCF">
      <w:rPr>
        <w:rFonts w:ascii="C39T30Lfz" w:hAnsi="C39T30Lfz"/>
        <w:sz w:val="56"/>
      </w:rPr>
      <w:t></w:t>
    </w:r>
    <w:r w:rsidRPr="00D92FCF">
      <w:rPr>
        <w:rFonts w:ascii="C39T30Lfz" w:hAnsi="C39T30Lfz"/>
        <w:sz w:val="56"/>
      </w:rPr>
      <w:t></w:t>
    </w:r>
    <w:r w:rsidRPr="00D92FCF">
      <w:rPr>
        <w:rFonts w:ascii="C39T30Lfz" w:hAnsi="C39T30Lfz"/>
        <w:sz w:val="56"/>
      </w:rPr>
      <w:t></w:t>
    </w:r>
    <w:r w:rsidRPr="00D92FCF">
      <w:rPr>
        <w:rFonts w:ascii="C39T30Lfz" w:hAnsi="C39T30Lfz"/>
        <w:sz w:val="56"/>
      </w:rPr>
      <w:t></w:t>
    </w:r>
    <w:r w:rsidRPr="00D92FCF">
      <w:rPr>
        <w:rFonts w:ascii="C39T30Lfz" w:hAnsi="C39T30Lfz"/>
        <w:sz w:val="56"/>
      </w:rPr>
      <w:t></w:t>
    </w:r>
    <w:r w:rsidRPr="00D92FCF">
      <w:rPr>
        <w:rFonts w:ascii="C39T30Lfz" w:hAnsi="C39T30Lfz"/>
        <w:sz w:val="56"/>
      </w:rPr>
      <w:t></w:t>
    </w:r>
    <w:r w:rsidRPr="00D92FCF">
      <w:rPr>
        <w:rFonts w:ascii="C39T30Lfz" w:hAnsi="C39T30Lfz"/>
        <w:sz w:val="56"/>
      </w:rPr>
      <w:t></w:t>
    </w:r>
    <w:r w:rsidRPr="00D92FCF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36A290A" wp14:editId="2AB54F1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8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8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F93B4" w14:textId="77777777" w:rsidR="0055604B" w:rsidRPr="00AC3823" w:rsidRDefault="0055604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348954" w14:textId="77777777" w:rsidR="0055604B" w:rsidRPr="00AC3823" w:rsidRDefault="0055604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3FD0073" w14:textId="77777777" w:rsidR="0055604B" w:rsidRPr="00AC3823" w:rsidRDefault="0055604B">
      <w:pPr>
        <w:spacing w:line="240" w:lineRule="auto"/>
        <w:rPr>
          <w:sz w:val="2"/>
          <w:szCs w:val="2"/>
        </w:rPr>
      </w:pPr>
    </w:p>
  </w:footnote>
  <w:footnote w:id="2">
    <w:p w14:paraId="08A89CEC" w14:textId="77777777" w:rsidR="00D92FCF" w:rsidRPr="00413978" w:rsidRDefault="00D92FCF" w:rsidP="00D92FCF">
      <w:pPr>
        <w:pStyle w:val="FootnoteText"/>
        <w:rPr>
          <w:lang w:val="fr-FR"/>
        </w:rPr>
      </w:pPr>
      <w:r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la période 2018</w:t>
      </w:r>
      <w:r w:rsidR="00BE06E7">
        <w:rPr>
          <w:lang w:val="fr-FR"/>
        </w:rPr>
        <w:noBreakHyphen/>
      </w:r>
      <w:r>
        <w:rPr>
          <w:lang w:val="fr-FR"/>
        </w:rPr>
        <w:t>2019 (ECE/TRANS/274, par. 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10F72" w14:textId="33B87FCE" w:rsidR="00D92FCF" w:rsidRPr="00D92FCF" w:rsidRDefault="00E678C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ECE/TRANS/WP.29/2019/82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353A5" w14:textId="06A753AD" w:rsidR="00D92FCF" w:rsidRPr="00D92FCF" w:rsidRDefault="00E678CF" w:rsidP="00D92FC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ECE/TRANS/WP.29/2019/82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4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5604B"/>
    <w:rsid w:val="00561377"/>
    <w:rsid w:val="00573BE5"/>
    <w:rsid w:val="0057797F"/>
    <w:rsid w:val="00586ED3"/>
    <w:rsid w:val="00596AA9"/>
    <w:rsid w:val="00613658"/>
    <w:rsid w:val="0071601D"/>
    <w:rsid w:val="007A62E6"/>
    <w:rsid w:val="007F20FA"/>
    <w:rsid w:val="007F6EAE"/>
    <w:rsid w:val="007F7491"/>
    <w:rsid w:val="0080684C"/>
    <w:rsid w:val="00871C75"/>
    <w:rsid w:val="008776DC"/>
    <w:rsid w:val="008B61B6"/>
    <w:rsid w:val="009446C0"/>
    <w:rsid w:val="009705C8"/>
    <w:rsid w:val="009C1CF4"/>
    <w:rsid w:val="009F6B74"/>
    <w:rsid w:val="00A3029F"/>
    <w:rsid w:val="00A30353"/>
    <w:rsid w:val="00AC3823"/>
    <w:rsid w:val="00AC7F09"/>
    <w:rsid w:val="00AE323C"/>
    <w:rsid w:val="00AF0CB5"/>
    <w:rsid w:val="00B00181"/>
    <w:rsid w:val="00B00B0D"/>
    <w:rsid w:val="00B27C27"/>
    <w:rsid w:val="00B45F2E"/>
    <w:rsid w:val="00B765F7"/>
    <w:rsid w:val="00BA0CA9"/>
    <w:rsid w:val="00BE06E7"/>
    <w:rsid w:val="00C02897"/>
    <w:rsid w:val="00C97039"/>
    <w:rsid w:val="00D3439C"/>
    <w:rsid w:val="00D92FCF"/>
    <w:rsid w:val="00DB1831"/>
    <w:rsid w:val="00DD3BFD"/>
    <w:rsid w:val="00DF6678"/>
    <w:rsid w:val="00E0299A"/>
    <w:rsid w:val="00E678CF"/>
    <w:rsid w:val="00E85C74"/>
    <w:rsid w:val="00EA281C"/>
    <w:rsid w:val="00EA6547"/>
    <w:rsid w:val="00EF2E22"/>
    <w:rsid w:val="00F318F5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4A6021"/>
  <w15:docId w15:val="{779F8C76-E05C-494B-ACAF-5BDF91F5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D92FCF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D92FCF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D92FCF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ECE/TRANS/WP.29/2019/82</vt:lpstr>
      <vt:lpstr>ECE/TRANS/WP.29/2019/82</vt:lpstr>
    </vt:vector>
  </TitlesOfParts>
  <Company>DCM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ECE/TRANS/WP.29/2019/82</dc:title>
  <dc:subject/>
  <dc:creator>Isabelle VIGNY</dc:creator>
  <cp:keywords/>
  <cp:lastModifiedBy>Marie-Claude Collet</cp:lastModifiedBy>
  <cp:revision>3</cp:revision>
  <cp:lastPrinted>2019-09-25T06:02:00Z</cp:lastPrinted>
  <dcterms:created xsi:type="dcterms:W3CDTF">2019-09-25T06:02:00Z</dcterms:created>
  <dcterms:modified xsi:type="dcterms:W3CDTF">2019-09-25T06:02:00Z</dcterms:modified>
</cp:coreProperties>
</file>