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64F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64F0F" w:rsidP="00464F0F">
            <w:pPr>
              <w:jc w:val="right"/>
            </w:pPr>
            <w:r w:rsidRPr="00464F0F">
              <w:rPr>
                <w:sz w:val="40"/>
              </w:rPr>
              <w:t>ECE</w:t>
            </w:r>
            <w:r>
              <w:t>/TRANS/WP.29/2019/15</w:t>
            </w:r>
          </w:p>
        </w:tc>
      </w:tr>
      <w:tr w:rsidR="002D5AAC" w:rsidRPr="00D409E2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64F0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64F0F" w:rsidRDefault="00464F0F" w:rsidP="00464F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December 2018</w:t>
            </w:r>
          </w:p>
          <w:p w:rsidR="00464F0F" w:rsidRDefault="00464F0F" w:rsidP="00464F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64F0F" w:rsidRPr="008D53B6" w:rsidRDefault="00464F0F" w:rsidP="00464F0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464F0F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64F0F" w:rsidRPr="00464F0F" w:rsidRDefault="00464F0F" w:rsidP="00464F0F">
      <w:pPr>
        <w:spacing w:before="120"/>
        <w:rPr>
          <w:sz w:val="28"/>
          <w:szCs w:val="28"/>
        </w:rPr>
      </w:pPr>
      <w:r w:rsidRPr="00464F0F">
        <w:rPr>
          <w:sz w:val="28"/>
          <w:szCs w:val="28"/>
        </w:rPr>
        <w:t>Комитет по внутреннему транспорту</w:t>
      </w:r>
    </w:p>
    <w:p w:rsidR="00464F0F" w:rsidRPr="00464F0F" w:rsidRDefault="00464F0F" w:rsidP="00464F0F">
      <w:pPr>
        <w:spacing w:before="120"/>
        <w:rPr>
          <w:b/>
          <w:bCs/>
          <w:sz w:val="24"/>
          <w:szCs w:val="24"/>
        </w:rPr>
      </w:pPr>
      <w:r w:rsidRPr="00464F0F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464F0F">
        <w:rPr>
          <w:b/>
          <w:bCs/>
          <w:sz w:val="24"/>
          <w:szCs w:val="24"/>
        </w:rPr>
        <w:t>в области транспортных средств</w:t>
      </w:r>
    </w:p>
    <w:p w:rsidR="00464F0F" w:rsidRPr="00EC701D" w:rsidRDefault="00464F0F" w:rsidP="00464F0F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177-я сессия</w:t>
      </w:r>
    </w:p>
    <w:p w:rsidR="00464F0F" w:rsidRPr="00EC701D" w:rsidRDefault="00464F0F" w:rsidP="00464F0F">
      <w:r>
        <w:t>Женева, 12–15 марта 2019 года</w:t>
      </w:r>
    </w:p>
    <w:p w:rsidR="00464F0F" w:rsidRPr="00EC701D" w:rsidRDefault="00464F0F" w:rsidP="00464F0F">
      <w:r>
        <w:t>Пункт 4.8.</w:t>
      </w:r>
      <w:r w:rsidRPr="00464F0F">
        <w:t>8</w:t>
      </w:r>
      <w:r>
        <w:t xml:space="preserve"> предварительной повестки дня</w:t>
      </w:r>
    </w:p>
    <w:p w:rsidR="00464F0F" w:rsidRDefault="00464F0F" w:rsidP="00464F0F">
      <w:pPr>
        <w:rPr>
          <w:b/>
          <w:bCs/>
        </w:rPr>
      </w:pPr>
      <w:r w:rsidRPr="00A0323E">
        <w:rPr>
          <w:b/>
          <w:bCs/>
        </w:rPr>
        <w:t xml:space="preserve">Соглашение 1958 года: </w:t>
      </w:r>
    </w:p>
    <w:p w:rsidR="00E12C5F" w:rsidRDefault="00464F0F" w:rsidP="00464F0F">
      <w:r>
        <w:rPr>
          <w:b/>
          <w:bCs/>
        </w:rPr>
        <w:t>Р</w:t>
      </w:r>
      <w:r w:rsidRPr="00A0323E">
        <w:rPr>
          <w:b/>
          <w:bCs/>
        </w:rPr>
        <w:t>ассмотрение проектов поправок к</w:t>
      </w:r>
      <w:r>
        <w:rPr>
          <w:b/>
          <w:bCs/>
          <w:lang w:val="en-US"/>
        </w:rPr>
        <w:t> </w:t>
      </w:r>
      <w:r w:rsidRPr="00A0323E">
        <w:rPr>
          <w:b/>
          <w:bCs/>
        </w:rPr>
        <w:t xml:space="preserve">существующим </w:t>
      </w:r>
      <w:r>
        <w:rPr>
          <w:b/>
          <w:bCs/>
        </w:rPr>
        <w:br/>
      </w:r>
      <w:r w:rsidRPr="00A0323E">
        <w:rPr>
          <w:b/>
          <w:bCs/>
        </w:rPr>
        <w:t>правилам ООН, представленных GRSG</w:t>
      </w:r>
    </w:p>
    <w:p w:rsidR="00464F0F" w:rsidRPr="00EC701D" w:rsidRDefault="00464F0F" w:rsidP="00464F0F">
      <w:pPr>
        <w:pStyle w:val="HChG"/>
      </w:pPr>
      <w:r>
        <w:tab/>
      </w:r>
      <w:r>
        <w:tab/>
        <w:t xml:space="preserve">Предложение по дополнению </w:t>
      </w:r>
      <w:r w:rsidRPr="008627FB">
        <w:t>5</w:t>
      </w:r>
      <w:r>
        <w:t xml:space="preserve"> к Правилам № 1</w:t>
      </w:r>
      <w:r w:rsidRPr="008627FB">
        <w:t>22</w:t>
      </w:r>
      <w:r>
        <w:t xml:space="preserve"> ООН (системы отопления)</w:t>
      </w:r>
    </w:p>
    <w:p w:rsidR="00464F0F" w:rsidRPr="00EC701D" w:rsidRDefault="00464F0F" w:rsidP="00464F0F">
      <w:pPr>
        <w:pStyle w:val="H1G"/>
      </w:pPr>
      <w:r>
        <w:tab/>
      </w:r>
      <w:r>
        <w:tab/>
        <w:t>Представлено Рабочей группой по общим предписаниям, касающимся безопасности</w:t>
      </w:r>
      <w:r w:rsidRPr="00464F0F">
        <w:rPr>
          <w:b w:val="0"/>
          <w:sz w:val="20"/>
        </w:rPr>
        <w:footnoteReference w:customMarkFollows="1" w:id="1"/>
        <w:t>*</w:t>
      </w:r>
    </w:p>
    <w:p w:rsidR="00464F0F" w:rsidRDefault="00464F0F" w:rsidP="00464F0F">
      <w:pPr>
        <w:pStyle w:val="SingleTxtG"/>
      </w:pPr>
      <w:r>
        <w:tab/>
      </w:r>
      <w:r>
        <w:tab/>
        <w:t>Воспроизведенный ниже текст был принят Рабочей группой по общим предписаниям, касающимся безопасности (GRSG), на ее 115-й сессии (ECE/TRANS/</w:t>
      </w:r>
      <w:r w:rsidRPr="00464F0F">
        <w:t xml:space="preserve"> </w:t>
      </w:r>
      <w:r>
        <w:t>WP.29/GRSG/94, пункт 55). Он</w:t>
      </w:r>
      <w:r w:rsidRPr="008627FB">
        <w:t xml:space="preserve"> </w:t>
      </w:r>
      <w:r>
        <w:t>основан</w:t>
      </w:r>
      <w:r w:rsidRPr="008627FB">
        <w:t xml:space="preserve"> </w:t>
      </w:r>
      <w:r>
        <w:t>на</w:t>
      </w:r>
      <w:r w:rsidRPr="008627FB">
        <w:t xml:space="preserve"> </w:t>
      </w:r>
      <w:r>
        <w:t>документах</w:t>
      </w:r>
      <w:r w:rsidRPr="008627FB">
        <w:t xml:space="preserve"> </w:t>
      </w:r>
      <w:r w:rsidRPr="008627FB">
        <w:rPr>
          <w:lang w:val="en-US"/>
        </w:rPr>
        <w:t>ECE</w:t>
      </w:r>
      <w:r w:rsidRPr="008627FB">
        <w:t>/</w:t>
      </w:r>
      <w:r w:rsidRPr="008627FB">
        <w:rPr>
          <w:lang w:val="en-US"/>
        </w:rPr>
        <w:t>TRANS</w:t>
      </w:r>
      <w:r w:rsidRPr="008627FB">
        <w:t>/</w:t>
      </w:r>
      <w:r w:rsidRPr="008627FB">
        <w:rPr>
          <w:lang w:val="en-US"/>
        </w:rPr>
        <w:t>WP</w:t>
      </w:r>
      <w:r w:rsidRPr="008627FB">
        <w:t>.29/</w:t>
      </w:r>
      <w:r w:rsidRPr="008627FB">
        <w:rPr>
          <w:lang w:val="en-US"/>
        </w:rPr>
        <w:t>GRSG</w:t>
      </w:r>
      <w:r w:rsidRPr="008627FB">
        <w:t>/</w:t>
      </w:r>
      <w:r w:rsidRPr="00464F0F">
        <w:t xml:space="preserve"> </w:t>
      </w:r>
      <w:r w:rsidRPr="008627FB">
        <w:t xml:space="preserve">2018/21 </w:t>
      </w:r>
      <w:r>
        <w:t>и</w:t>
      </w:r>
      <w:r w:rsidRPr="008627FB">
        <w:t xml:space="preserve"> </w:t>
      </w:r>
      <w:r>
        <w:rPr>
          <w:lang w:val="en-GB"/>
        </w:rPr>
        <w:t>ECE</w:t>
      </w:r>
      <w:r w:rsidRPr="008627FB">
        <w:t>/</w:t>
      </w:r>
      <w:r>
        <w:rPr>
          <w:lang w:val="en-GB"/>
        </w:rPr>
        <w:t>TRANS</w:t>
      </w:r>
      <w:r w:rsidRPr="008627FB">
        <w:t>/</w:t>
      </w:r>
      <w:r>
        <w:rPr>
          <w:lang w:val="en-GB"/>
        </w:rPr>
        <w:t>WP</w:t>
      </w:r>
      <w:r w:rsidRPr="008627FB">
        <w:t>.29/</w:t>
      </w:r>
      <w:r>
        <w:rPr>
          <w:lang w:val="en-GB"/>
        </w:rPr>
        <w:t>GRSG</w:t>
      </w:r>
      <w:r w:rsidRPr="008627FB">
        <w:t xml:space="preserve">/2018/22, </w:t>
      </w:r>
      <w:r>
        <w:t>воспроизведенных в приложении</w:t>
      </w:r>
      <w:r w:rsidRPr="008627FB">
        <w:t xml:space="preserve"> </w:t>
      </w:r>
      <w:r>
        <w:rPr>
          <w:lang w:val="en-GB"/>
        </w:rPr>
        <w:t>IV</w:t>
      </w:r>
      <w:r>
        <w:t xml:space="preserve"> к докладу</w:t>
      </w:r>
      <w:r w:rsidRPr="008627FB">
        <w:t xml:space="preserve">. </w:t>
      </w:r>
      <w:r>
        <w:t>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2019 года.</w:t>
      </w:r>
    </w:p>
    <w:p w:rsidR="00464F0F" w:rsidRDefault="00464F0F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464F0F" w:rsidRPr="00EC701D" w:rsidRDefault="00464F0F" w:rsidP="00464F0F">
      <w:pPr>
        <w:pStyle w:val="HChG"/>
      </w:pPr>
      <w:r>
        <w:lastRenderedPageBreak/>
        <w:tab/>
      </w:r>
      <w:r>
        <w:tab/>
        <w:t xml:space="preserve">Дополнение </w:t>
      </w:r>
      <w:r w:rsidRPr="008627FB">
        <w:t>5</w:t>
      </w:r>
      <w:r>
        <w:t xml:space="preserve"> к Правилам № 1</w:t>
      </w:r>
      <w:r w:rsidRPr="008627FB">
        <w:t>22</w:t>
      </w:r>
      <w:r>
        <w:t xml:space="preserve"> ООН (системы отопления)</w:t>
      </w:r>
    </w:p>
    <w:p w:rsidR="00464F0F" w:rsidRDefault="00464F0F" w:rsidP="00464F0F">
      <w:pPr>
        <w:pStyle w:val="SingleTxtG"/>
        <w:rPr>
          <w:rFonts w:asciiTheme="majorBidi" w:eastAsia="SimSun" w:hAnsiTheme="majorBidi" w:cstheme="majorBidi"/>
          <w:bCs/>
        </w:rPr>
      </w:pPr>
      <w:r>
        <w:rPr>
          <w:i/>
          <w:iCs/>
        </w:rPr>
        <w:t>Пункт 5.3</w:t>
      </w:r>
      <w:r>
        <w:t xml:space="preserve"> изменить следующим образом:</w:t>
      </w:r>
    </w:p>
    <w:p w:rsidR="00464F0F" w:rsidRPr="00464F0F" w:rsidRDefault="00464F0F" w:rsidP="00464F0F">
      <w:pPr>
        <w:pStyle w:val="SingleTxtG"/>
        <w:ind w:left="2268" w:hanging="1134"/>
        <w:rPr>
          <w:rFonts w:asciiTheme="majorBidi" w:eastAsia="SimSun" w:hAnsiTheme="majorBidi" w:cstheme="majorBidi"/>
          <w:bCs/>
        </w:rPr>
      </w:pPr>
      <w:r>
        <w:t>«5.3</w:t>
      </w:r>
      <w:r>
        <w:tab/>
      </w:r>
      <w:r>
        <w:tab/>
        <w:t xml:space="preserve">Предписания по установке </w:t>
      </w:r>
      <w:r w:rsidRPr="008627FB">
        <w:t>на транспортных средствах</w:t>
      </w:r>
      <w:r>
        <w:t xml:space="preserve"> топливных обогревателей</w:t>
      </w:r>
      <w:r w:rsidRPr="008627FB">
        <w:t>, электрических обогревател</w:t>
      </w:r>
      <w:r>
        <w:t>ей</w:t>
      </w:r>
      <w:r w:rsidRPr="008627FB">
        <w:t xml:space="preserve"> и систем отопления с тепловым насосом».</w:t>
      </w:r>
    </w:p>
    <w:p w:rsidR="00464F0F" w:rsidRPr="008627FB" w:rsidRDefault="00464F0F" w:rsidP="00464F0F">
      <w:pPr>
        <w:pStyle w:val="SingleTxtG"/>
        <w:rPr>
          <w:rFonts w:eastAsia="SimSun"/>
        </w:rPr>
      </w:pPr>
      <w:r w:rsidRPr="008627FB">
        <w:rPr>
          <w:i/>
          <w:iCs/>
        </w:rPr>
        <w:t>Пункт 6.1.5</w:t>
      </w:r>
      <w:r w:rsidRPr="008627FB">
        <w:t xml:space="preserve"> изменить следующим образом:</w:t>
      </w:r>
    </w:p>
    <w:p w:rsidR="00464F0F" w:rsidRPr="008627FB" w:rsidRDefault="00464F0F" w:rsidP="00464F0F">
      <w:pPr>
        <w:pStyle w:val="SingleTxtG"/>
        <w:ind w:left="2268" w:hanging="1134"/>
        <w:rPr>
          <w:rFonts w:eastAsia="SimSun"/>
        </w:rPr>
      </w:pPr>
      <w:r>
        <w:t>«</w:t>
      </w:r>
      <w:r w:rsidRPr="008627FB">
        <w:t>6.1.5</w:t>
      </w:r>
      <w:r w:rsidRPr="008627FB">
        <w:tab/>
        <w:t>"</w:t>
      </w:r>
      <w:r w:rsidRPr="008627FB">
        <w:rPr>
          <w:i/>
          <w:iCs/>
        </w:rPr>
        <w:t>электр</w:t>
      </w:r>
      <w:r>
        <w:rPr>
          <w:i/>
          <w:iCs/>
        </w:rPr>
        <w:t>ический обогреватель</w:t>
      </w:r>
      <w:r w:rsidRPr="008627FB">
        <w:t xml:space="preserve">" означает устройство, использующее электроэнергию из бортового или внешнего источника для повышения температуры внутри транспортного средства. Электрические устройства, которые установлены в дополнение к основной системе отопления и основной функцией которых не является отопление </w:t>
      </w:r>
      <w:r>
        <w:t>внутри транспортного средства</w:t>
      </w:r>
      <w:r w:rsidRPr="008627FB">
        <w:t>, не рассматриваются в качестве электр</w:t>
      </w:r>
      <w:r>
        <w:t>ических обогревателей</w:t>
      </w:r>
      <w:r w:rsidRPr="008627FB">
        <w:t xml:space="preserve"> в </w:t>
      </w:r>
      <w:r>
        <w:t>соответствии с</w:t>
      </w:r>
      <w:r w:rsidRPr="008627FB">
        <w:t xml:space="preserve"> настоящи</w:t>
      </w:r>
      <w:r>
        <w:t>ми</w:t>
      </w:r>
      <w:r w:rsidRPr="008627FB">
        <w:t xml:space="preserve"> Правил</w:t>
      </w:r>
      <w:r>
        <w:t>ами</w:t>
      </w:r>
      <w:r w:rsidRPr="008627FB">
        <w:t xml:space="preserve">. Например, электрические устройства, установленные в каком-либо элементе с единственной целью служить </w:t>
      </w:r>
      <w:proofErr w:type="spellStart"/>
      <w:r w:rsidRPr="008627FB">
        <w:t>отопителями</w:t>
      </w:r>
      <w:proofErr w:type="spellEnd"/>
      <w:r w:rsidRPr="008627FB">
        <w:t xml:space="preserve"> этого элемента, не рассматриваются в качестве электр</w:t>
      </w:r>
      <w:r>
        <w:t>ических обогревателей</w:t>
      </w:r>
      <w:r w:rsidRPr="008627FB">
        <w:t xml:space="preserve"> в </w:t>
      </w:r>
      <w:r>
        <w:t>соответствии с</w:t>
      </w:r>
      <w:r w:rsidRPr="008627FB">
        <w:t xml:space="preserve"> настоящи</w:t>
      </w:r>
      <w:r>
        <w:t>ми</w:t>
      </w:r>
      <w:r w:rsidRPr="008627FB">
        <w:t xml:space="preserve"> Правил</w:t>
      </w:r>
      <w:r>
        <w:t>ами</w:t>
      </w:r>
      <w:r w:rsidRPr="008627FB">
        <w:t>».</w:t>
      </w:r>
    </w:p>
    <w:p w:rsidR="00464F0F" w:rsidRPr="008627FB" w:rsidRDefault="00464F0F" w:rsidP="00464F0F">
      <w:pPr>
        <w:pStyle w:val="SingleTxtG"/>
        <w:rPr>
          <w:rFonts w:asciiTheme="majorBidi" w:eastAsia="SimSun" w:hAnsiTheme="majorBidi" w:cstheme="majorBidi"/>
        </w:rPr>
      </w:pPr>
      <w:r w:rsidRPr="008627FB">
        <w:rPr>
          <w:i/>
          <w:iCs/>
        </w:rPr>
        <w:t>Включить новый пункт 6.1.6</w:t>
      </w:r>
      <w:r w:rsidRPr="008627FB">
        <w:t xml:space="preserve"> следующего содержания:</w:t>
      </w:r>
    </w:p>
    <w:p w:rsidR="00464F0F" w:rsidRPr="008627FB" w:rsidRDefault="00464F0F" w:rsidP="00464F0F">
      <w:pPr>
        <w:pStyle w:val="SingleTxtG"/>
        <w:ind w:left="2268" w:hanging="1134"/>
        <w:rPr>
          <w:rFonts w:asciiTheme="majorBidi" w:eastAsia="SimSun" w:hAnsiTheme="majorBidi" w:cstheme="majorBidi"/>
        </w:rPr>
      </w:pPr>
      <w:r w:rsidRPr="008627FB">
        <w:t>«6.1.6</w:t>
      </w:r>
      <w:r w:rsidRPr="008627FB">
        <w:tab/>
        <w:t>"</w:t>
      </w:r>
      <w:r w:rsidRPr="008627FB">
        <w:rPr>
          <w:i/>
          <w:iCs/>
        </w:rPr>
        <w:t>система отопления с тепловым насосом</w:t>
      </w:r>
      <w:r w:rsidRPr="008627FB">
        <w:t xml:space="preserve">" означает любое отопительное термодинамическое оборудование, т. е. использующее возобновляемую энергию, которое отбирает тепло из </w:t>
      </w:r>
      <w:r>
        <w:t>одной</w:t>
      </w:r>
      <w:r w:rsidRPr="008627FB">
        <w:t xml:space="preserve"> среды (воздуха или воды) и переносит его в другую среду для повышения температуры внутри транспортного средства. Системы отопления с тепловым насосом, которые установлены в дополнение к основной системе отопления и основной функцией которых не является отопление </w:t>
      </w:r>
      <w:r>
        <w:t>внутри транспортного средства</w:t>
      </w:r>
      <w:r w:rsidRPr="008627FB">
        <w:t xml:space="preserve">, не рассматриваются в качестве систем отопления с тепловым насосом в </w:t>
      </w:r>
      <w:r>
        <w:t>соответствии с</w:t>
      </w:r>
      <w:r w:rsidRPr="008627FB">
        <w:t xml:space="preserve"> настоящи</w:t>
      </w:r>
      <w:r>
        <w:t>ми</w:t>
      </w:r>
      <w:r w:rsidRPr="008627FB">
        <w:t xml:space="preserve"> Правил</w:t>
      </w:r>
      <w:r>
        <w:t>ами</w:t>
      </w:r>
      <w:r w:rsidRPr="008627FB">
        <w:t>».</w:t>
      </w:r>
    </w:p>
    <w:p w:rsidR="00464F0F" w:rsidRPr="008627FB" w:rsidRDefault="00464F0F" w:rsidP="00464F0F">
      <w:pPr>
        <w:pStyle w:val="SingleTxtG"/>
        <w:rPr>
          <w:rFonts w:asciiTheme="majorBidi" w:eastAsia="SimSun" w:hAnsiTheme="majorBidi" w:cstheme="majorBidi"/>
          <w:i/>
          <w:iCs/>
        </w:rPr>
      </w:pPr>
      <w:r>
        <w:rPr>
          <w:i/>
          <w:iCs/>
        </w:rPr>
        <w:t>П</w:t>
      </w:r>
      <w:r w:rsidRPr="008627FB">
        <w:rPr>
          <w:i/>
          <w:iCs/>
        </w:rPr>
        <w:t>ункт 6.2.1</w:t>
      </w:r>
      <w:r>
        <w:rPr>
          <w:i/>
          <w:iCs/>
        </w:rPr>
        <w:t>, таблица,</w:t>
      </w:r>
      <w:r w:rsidRPr="008627FB">
        <w:t xml:space="preserve"> включить новую строку следующего содержания:</w:t>
      </w:r>
    </w:p>
    <w:p w:rsidR="00464F0F" w:rsidRPr="008627FB" w:rsidRDefault="00464F0F" w:rsidP="00464F0F">
      <w:pPr>
        <w:spacing w:after="120"/>
        <w:ind w:left="2268" w:right="1134" w:hanging="1134"/>
        <w:jc w:val="both"/>
        <w:rPr>
          <w:rFonts w:asciiTheme="majorBidi" w:eastAsia="SimSun" w:hAnsiTheme="majorBidi" w:cstheme="majorBidi"/>
          <w:i/>
          <w:iCs/>
          <w:lang w:eastAsia="zh-CN"/>
        </w:rPr>
      </w:pPr>
      <w:r w:rsidRPr="008627FB">
        <w:rPr>
          <w:rFonts w:asciiTheme="majorBidi" w:eastAsia="SimSun" w:hAnsiTheme="majorBidi" w:cstheme="majorBidi"/>
          <w:lang w:eastAsia="zh-CN"/>
        </w:rPr>
        <w:t>«</w:t>
      </w:r>
    </w:p>
    <w:tbl>
      <w:tblPr>
        <w:tblStyle w:val="TableGrid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97"/>
        <w:gridCol w:w="1015"/>
        <w:gridCol w:w="1203"/>
        <w:gridCol w:w="1176"/>
        <w:gridCol w:w="1141"/>
      </w:tblGrid>
      <w:tr w:rsidR="00464F0F" w:rsidRPr="00464F0F" w:rsidTr="00C57787">
        <w:trPr>
          <w:tblHeader/>
        </w:trPr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64F0F" w:rsidRPr="00464F0F" w:rsidRDefault="00464F0F" w:rsidP="00C57787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  <w:szCs w:val="16"/>
              </w:rPr>
            </w:pPr>
            <w:r w:rsidRPr="00464F0F">
              <w:rPr>
                <w:rFonts w:cs="Times New Roman"/>
                <w:i/>
                <w:sz w:val="16"/>
              </w:rPr>
              <w:t>Система отопления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64F0F" w:rsidRPr="00464F0F" w:rsidRDefault="00464F0F" w:rsidP="00464F0F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  <w:szCs w:val="16"/>
              </w:rPr>
            </w:pPr>
            <w:r w:rsidRPr="00464F0F">
              <w:rPr>
                <w:rFonts w:cs="Times New Roman"/>
                <w:i/>
                <w:sz w:val="16"/>
              </w:rPr>
              <w:t xml:space="preserve">Категория </w:t>
            </w:r>
            <w:r w:rsidR="00196FE3">
              <w:rPr>
                <w:rFonts w:cs="Times New Roman"/>
                <w:i/>
                <w:sz w:val="16"/>
              </w:rPr>
              <w:br/>
            </w:r>
            <w:r w:rsidRPr="00464F0F">
              <w:rPr>
                <w:rFonts w:cs="Times New Roman"/>
                <w:i/>
                <w:sz w:val="16"/>
              </w:rPr>
              <w:t>транспортного средства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64F0F" w:rsidRPr="00464F0F" w:rsidRDefault="00464F0F" w:rsidP="00196FE3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  <w:szCs w:val="16"/>
              </w:rPr>
            </w:pPr>
            <w:r w:rsidRPr="00464F0F">
              <w:rPr>
                <w:rFonts w:cs="Times New Roman"/>
                <w:i/>
                <w:sz w:val="16"/>
              </w:rPr>
              <w:t>Приложение 4</w:t>
            </w:r>
            <w:r w:rsidR="00196FE3">
              <w:rPr>
                <w:rFonts w:cs="Times New Roman"/>
                <w:i/>
                <w:sz w:val="16"/>
              </w:rPr>
              <w:br/>
            </w:r>
            <w:r w:rsidRPr="00464F0F">
              <w:rPr>
                <w:rFonts w:cs="Times New Roman"/>
                <w:i/>
                <w:sz w:val="16"/>
              </w:rPr>
              <w:t xml:space="preserve">Качество </w:t>
            </w:r>
            <w:r w:rsidR="00196FE3">
              <w:rPr>
                <w:rFonts w:cs="Times New Roman"/>
                <w:i/>
                <w:sz w:val="16"/>
              </w:rPr>
              <w:br/>
            </w:r>
            <w:r w:rsidRPr="00464F0F">
              <w:rPr>
                <w:rFonts w:cs="Times New Roman"/>
                <w:i/>
                <w:sz w:val="16"/>
              </w:rPr>
              <w:t>воздуха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64F0F" w:rsidRPr="00464F0F" w:rsidRDefault="00464F0F" w:rsidP="00464F0F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  <w:szCs w:val="16"/>
              </w:rPr>
            </w:pPr>
            <w:r w:rsidRPr="00464F0F">
              <w:rPr>
                <w:rFonts w:cs="Times New Roman"/>
                <w:i/>
                <w:sz w:val="16"/>
              </w:rPr>
              <w:t xml:space="preserve">Приложение 5 </w:t>
            </w:r>
            <w:r w:rsidR="00196FE3">
              <w:rPr>
                <w:rFonts w:cs="Times New Roman"/>
                <w:i/>
                <w:sz w:val="16"/>
              </w:rPr>
              <w:br/>
            </w:r>
            <w:r w:rsidRPr="00464F0F">
              <w:rPr>
                <w:rFonts w:cs="Times New Roman"/>
                <w:i/>
                <w:sz w:val="16"/>
              </w:rPr>
              <w:t>Температура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64F0F" w:rsidRPr="00464F0F" w:rsidRDefault="00464F0F" w:rsidP="00464F0F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  <w:szCs w:val="16"/>
              </w:rPr>
            </w:pPr>
            <w:r w:rsidRPr="00464F0F">
              <w:rPr>
                <w:rFonts w:cs="Times New Roman"/>
                <w:i/>
                <w:sz w:val="16"/>
              </w:rPr>
              <w:t xml:space="preserve">Приложение 6 </w:t>
            </w:r>
            <w:r w:rsidR="00196FE3">
              <w:rPr>
                <w:rFonts w:cs="Times New Roman"/>
                <w:i/>
                <w:sz w:val="16"/>
              </w:rPr>
              <w:br/>
            </w:r>
            <w:r w:rsidRPr="00464F0F">
              <w:rPr>
                <w:rFonts w:cs="Times New Roman"/>
                <w:i/>
                <w:sz w:val="16"/>
              </w:rPr>
              <w:t xml:space="preserve">Выхлопные </w:t>
            </w:r>
            <w:r w:rsidR="00C57787">
              <w:rPr>
                <w:rFonts w:cs="Times New Roman"/>
                <w:i/>
                <w:sz w:val="16"/>
              </w:rPr>
              <w:br/>
            </w:r>
            <w:r w:rsidRPr="00464F0F">
              <w:rPr>
                <w:rFonts w:cs="Times New Roman"/>
                <w:i/>
                <w:sz w:val="16"/>
              </w:rPr>
              <w:t>газы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:rsidR="00464F0F" w:rsidRPr="00464F0F" w:rsidRDefault="00464F0F" w:rsidP="00464F0F">
            <w:pPr>
              <w:suppressAutoHyphens w:val="0"/>
              <w:spacing w:before="80" w:after="80" w:line="200" w:lineRule="exact"/>
              <w:rPr>
                <w:rFonts w:cs="Times New Roman"/>
                <w:i/>
                <w:sz w:val="16"/>
                <w:szCs w:val="16"/>
              </w:rPr>
            </w:pPr>
            <w:r w:rsidRPr="00464F0F">
              <w:rPr>
                <w:rFonts w:cs="Times New Roman"/>
                <w:i/>
                <w:sz w:val="16"/>
              </w:rPr>
              <w:t xml:space="preserve">Приложение 8 </w:t>
            </w:r>
            <w:r w:rsidR="00196FE3">
              <w:rPr>
                <w:rFonts w:cs="Times New Roman"/>
                <w:i/>
                <w:sz w:val="16"/>
              </w:rPr>
              <w:br/>
            </w:r>
            <w:r w:rsidRPr="00464F0F">
              <w:rPr>
                <w:rFonts w:cs="Times New Roman"/>
                <w:i/>
                <w:sz w:val="16"/>
              </w:rPr>
              <w:t>Безопасность СНГ</w:t>
            </w:r>
          </w:p>
        </w:tc>
      </w:tr>
      <w:tr w:rsidR="00C57787" w:rsidRPr="00464F0F" w:rsidTr="00C57787">
        <w:trPr>
          <w:trHeight w:hRule="exact" w:val="113"/>
        </w:trPr>
        <w:tc>
          <w:tcPr>
            <w:tcW w:w="163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20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196FE3" w:rsidRPr="00464F0F" w:rsidTr="00C57787">
        <w:tc>
          <w:tcPr>
            <w:tcW w:w="1638" w:type="dxa"/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  <w:r w:rsidRPr="00464F0F">
              <w:rPr>
                <w:rFonts w:cs="Times New Roman"/>
              </w:rPr>
              <w:t>…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  <w:r w:rsidRPr="00464F0F">
              <w:rPr>
                <w:rFonts w:cs="Times New Roman"/>
              </w:rPr>
              <w:t>…</w:t>
            </w:r>
          </w:p>
        </w:tc>
        <w:tc>
          <w:tcPr>
            <w:tcW w:w="1015" w:type="dxa"/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  <w:r w:rsidRPr="00464F0F">
              <w:rPr>
                <w:rFonts w:cs="Times New Roman"/>
              </w:rPr>
              <w:t>…</w:t>
            </w:r>
          </w:p>
        </w:tc>
        <w:tc>
          <w:tcPr>
            <w:tcW w:w="1203" w:type="dxa"/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  <w:r w:rsidRPr="00464F0F">
              <w:rPr>
                <w:rFonts w:cs="Times New Roman"/>
              </w:rPr>
              <w:t>…</w:t>
            </w:r>
          </w:p>
        </w:tc>
        <w:tc>
          <w:tcPr>
            <w:tcW w:w="1176" w:type="dxa"/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  <w:r w:rsidRPr="00464F0F">
              <w:rPr>
                <w:rFonts w:cs="Times New Roman"/>
              </w:rPr>
              <w:t>…</w:t>
            </w:r>
          </w:p>
        </w:tc>
        <w:tc>
          <w:tcPr>
            <w:tcW w:w="1141" w:type="dxa"/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  <w:r w:rsidRPr="00464F0F">
              <w:rPr>
                <w:rFonts w:cs="Times New Roman"/>
              </w:rPr>
              <w:t>…</w:t>
            </w:r>
          </w:p>
        </w:tc>
      </w:tr>
      <w:tr w:rsidR="00196FE3" w:rsidRPr="00464F0F" w:rsidTr="00C57787">
        <w:tc>
          <w:tcPr>
            <w:tcW w:w="1638" w:type="dxa"/>
            <w:vMerge w:val="restart"/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  <w:r w:rsidRPr="00464F0F">
              <w:rPr>
                <w:rFonts w:cs="Times New Roman"/>
              </w:rPr>
              <w:t>Тепловой насос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  <w:r w:rsidRPr="00464F0F">
              <w:rPr>
                <w:rFonts w:cs="Times New Roman"/>
              </w:rPr>
              <w:t>M</w:t>
            </w:r>
          </w:p>
        </w:tc>
        <w:tc>
          <w:tcPr>
            <w:tcW w:w="1015" w:type="dxa"/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  <w:r w:rsidRPr="00464F0F">
              <w:rPr>
                <w:rFonts w:cs="Times New Roman"/>
              </w:rPr>
              <w:t>Да</w:t>
            </w:r>
          </w:p>
        </w:tc>
        <w:tc>
          <w:tcPr>
            <w:tcW w:w="1203" w:type="dxa"/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  <w:r w:rsidRPr="00464F0F">
              <w:rPr>
                <w:rFonts w:cs="Times New Roman"/>
              </w:rPr>
              <w:t>Да</w:t>
            </w:r>
          </w:p>
        </w:tc>
        <w:tc>
          <w:tcPr>
            <w:tcW w:w="1176" w:type="dxa"/>
            <w:shd w:val="clear" w:color="auto" w:fill="auto"/>
            <w:tcMar>
              <w:left w:w="0" w:type="dxa"/>
            </w:tcMar>
          </w:tcPr>
          <w:p w:rsidR="00464F0F" w:rsidRPr="00196FE3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141" w:type="dxa"/>
            <w:shd w:val="clear" w:color="auto" w:fill="auto"/>
            <w:tcMar>
              <w:left w:w="0" w:type="dxa"/>
            </w:tcMar>
          </w:tcPr>
          <w:p w:rsidR="00464F0F" w:rsidRPr="00196FE3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196FE3" w:rsidRPr="00464F0F" w:rsidTr="00C57787">
        <w:tc>
          <w:tcPr>
            <w:tcW w:w="1638" w:type="dxa"/>
            <w:vMerge/>
            <w:shd w:val="clear" w:color="auto" w:fill="auto"/>
            <w:tcMar>
              <w:left w:w="0" w:type="dxa"/>
            </w:tcMar>
          </w:tcPr>
          <w:p w:rsidR="00464F0F" w:rsidRPr="00196FE3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197" w:type="dxa"/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  <w:r w:rsidRPr="00464F0F">
              <w:rPr>
                <w:rFonts w:cs="Times New Roman"/>
              </w:rPr>
              <w:t>N</w:t>
            </w:r>
          </w:p>
        </w:tc>
        <w:tc>
          <w:tcPr>
            <w:tcW w:w="1015" w:type="dxa"/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  <w:r w:rsidRPr="00464F0F">
              <w:rPr>
                <w:rFonts w:cs="Times New Roman"/>
              </w:rPr>
              <w:t>Да</w:t>
            </w:r>
          </w:p>
        </w:tc>
        <w:tc>
          <w:tcPr>
            <w:tcW w:w="1203" w:type="dxa"/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  <w:r w:rsidRPr="00464F0F">
              <w:rPr>
                <w:rFonts w:cs="Times New Roman"/>
              </w:rPr>
              <w:t>Да</w:t>
            </w:r>
          </w:p>
        </w:tc>
        <w:tc>
          <w:tcPr>
            <w:tcW w:w="1176" w:type="dxa"/>
            <w:shd w:val="clear" w:color="auto" w:fill="auto"/>
            <w:tcMar>
              <w:left w:w="0" w:type="dxa"/>
            </w:tcMar>
          </w:tcPr>
          <w:p w:rsidR="00464F0F" w:rsidRPr="00196FE3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141" w:type="dxa"/>
            <w:shd w:val="clear" w:color="auto" w:fill="auto"/>
            <w:tcMar>
              <w:left w:w="0" w:type="dxa"/>
            </w:tcMar>
          </w:tcPr>
          <w:p w:rsidR="00464F0F" w:rsidRPr="00196FE3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196FE3" w:rsidRPr="00464F0F" w:rsidTr="00C57787">
        <w:tc>
          <w:tcPr>
            <w:tcW w:w="1638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464F0F" w:rsidRPr="00196FE3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  <w:r w:rsidRPr="00464F0F">
              <w:rPr>
                <w:rFonts w:cs="Times New Roman"/>
              </w:rPr>
              <w:t>O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  <w:r w:rsidRPr="00464F0F">
              <w:rPr>
                <w:rFonts w:cs="Times New Roman"/>
              </w:rPr>
              <w:t>Да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464F0F" w:rsidRPr="00464F0F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  <w:r w:rsidRPr="00464F0F">
              <w:rPr>
                <w:rFonts w:cs="Times New Roman"/>
              </w:rPr>
              <w:t>Да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464F0F" w:rsidRPr="00196FE3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:rsidR="00464F0F" w:rsidRPr="00196FE3" w:rsidRDefault="00464F0F" w:rsidP="00464F0F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</w:tbl>
    <w:p w:rsidR="00464F0F" w:rsidRDefault="00464F0F" w:rsidP="00196FE3">
      <w:pPr>
        <w:pStyle w:val="SingleTxtG"/>
        <w:jc w:val="right"/>
      </w:pPr>
      <w:r>
        <w:t>»</w:t>
      </w:r>
    </w:p>
    <w:p w:rsidR="00464F0F" w:rsidRPr="00196FE3" w:rsidRDefault="00196FE3" w:rsidP="00196FE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4F0F" w:rsidRPr="00196FE3" w:rsidSect="00464F0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490" w:rsidRPr="00A312BC" w:rsidRDefault="00684490" w:rsidP="00A312BC"/>
  </w:endnote>
  <w:endnote w:type="continuationSeparator" w:id="0">
    <w:p w:rsidR="00684490" w:rsidRPr="00A312BC" w:rsidRDefault="0068449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F0F" w:rsidRPr="00464F0F" w:rsidRDefault="00464F0F">
    <w:pPr>
      <w:pStyle w:val="Footer"/>
    </w:pPr>
    <w:r w:rsidRPr="00464F0F">
      <w:rPr>
        <w:b/>
        <w:sz w:val="18"/>
      </w:rPr>
      <w:fldChar w:fldCharType="begin"/>
    </w:r>
    <w:r w:rsidRPr="00464F0F">
      <w:rPr>
        <w:b/>
        <w:sz w:val="18"/>
      </w:rPr>
      <w:instrText xml:space="preserve"> PAGE  \* MERGEFORMAT </w:instrText>
    </w:r>
    <w:r w:rsidRPr="00464F0F">
      <w:rPr>
        <w:b/>
        <w:sz w:val="18"/>
      </w:rPr>
      <w:fldChar w:fldCharType="separate"/>
    </w:r>
    <w:r w:rsidR="00872A52">
      <w:rPr>
        <w:b/>
        <w:noProof/>
        <w:sz w:val="18"/>
      </w:rPr>
      <w:t>2</w:t>
    </w:r>
    <w:r w:rsidRPr="00464F0F">
      <w:rPr>
        <w:b/>
        <w:sz w:val="18"/>
      </w:rPr>
      <w:fldChar w:fldCharType="end"/>
    </w:r>
    <w:r>
      <w:rPr>
        <w:b/>
        <w:sz w:val="18"/>
      </w:rPr>
      <w:tab/>
    </w:r>
    <w:r>
      <w:t>GE.18-21892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F0F" w:rsidRPr="00464F0F" w:rsidRDefault="00464F0F" w:rsidP="00464F0F">
    <w:pPr>
      <w:pStyle w:val="Footer"/>
      <w:tabs>
        <w:tab w:val="clear" w:pos="9639"/>
        <w:tab w:val="right" w:pos="9638"/>
      </w:tabs>
      <w:rPr>
        <w:b/>
        <w:sz w:val="18"/>
      </w:rPr>
    </w:pPr>
    <w:r>
      <w:t>GE.18-21892</w:t>
    </w:r>
    <w:r>
      <w:tab/>
    </w:r>
    <w:r w:rsidRPr="00464F0F">
      <w:rPr>
        <w:b/>
        <w:sz w:val="18"/>
      </w:rPr>
      <w:fldChar w:fldCharType="begin"/>
    </w:r>
    <w:r w:rsidRPr="00464F0F">
      <w:rPr>
        <w:b/>
        <w:sz w:val="18"/>
      </w:rPr>
      <w:instrText xml:space="preserve"> PAGE  \* MERGEFORMAT </w:instrText>
    </w:r>
    <w:r w:rsidRPr="00464F0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64F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64F0F" w:rsidRDefault="00464F0F" w:rsidP="00464F0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21892  (</w:t>
    </w:r>
    <w:proofErr w:type="gramEnd"/>
    <w:r>
      <w:t>R)</w:t>
    </w:r>
    <w:r>
      <w:rPr>
        <w:lang w:val="en-US"/>
      </w:rPr>
      <w:t xml:space="preserve">  170119  170119</w:t>
    </w:r>
    <w:r>
      <w:br/>
    </w:r>
    <w:r w:rsidRPr="00464F0F">
      <w:rPr>
        <w:rFonts w:ascii="C39T30Lfz" w:hAnsi="C39T30Lfz"/>
        <w:kern w:val="14"/>
        <w:sz w:val="56"/>
      </w:rPr>
      <w:t></w:t>
    </w:r>
    <w:r w:rsidRPr="00464F0F">
      <w:rPr>
        <w:rFonts w:ascii="C39T30Lfz" w:hAnsi="C39T30Lfz"/>
        <w:kern w:val="14"/>
        <w:sz w:val="56"/>
      </w:rPr>
      <w:t></w:t>
    </w:r>
    <w:r w:rsidRPr="00464F0F">
      <w:rPr>
        <w:rFonts w:ascii="C39T30Lfz" w:hAnsi="C39T30Lfz"/>
        <w:kern w:val="14"/>
        <w:sz w:val="56"/>
      </w:rPr>
      <w:t></w:t>
    </w:r>
    <w:r w:rsidRPr="00464F0F">
      <w:rPr>
        <w:rFonts w:ascii="C39T30Lfz" w:hAnsi="C39T30Lfz"/>
        <w:kern w:val="14"/>
        <w:sz w:val="56"/>
      </w:rPr>
      <w:t></w:t>
    </w:r>
    <w:r w:rsidRPr="00464F0F">
      <w:rPr>
        <w:rFonts w:ascii="C39T30Lfz" w:hAnsi="C39T30Lfz"/>
        <w:kern w:val="14"/>
        <w:sz w:val="56"/>
      </w:rPr>
      <w:t></w:t>
    </w:r>
    <w:r w:rsidRPr="00464F0F">
      <w:rPr>
        <w:rFonts w:ascii="C39T30Lfz" w:hAnsi="C39T30Lfz"/>
        <w:kern w:val="14"/>
        <w:sz w:val="56"/>
      </w:rPr>
      <w:t></w:t>
    </w:r>
    <w:r w:rsidRPr="00464F0F">
      <w:rPr>
        <w:rFonts w:ascii="C39T30Lfz" w:hAnsi="C39T30Lfz"/>
        <w:kern w:val="14"/>
        <w:sz w:val="56"/>
      </w:rPr>
      <w:t></w:t>
    </w:r>
    <w:r w:rsidRPr="00464F0F">
      <w:rPr>
        <w:rFonts w:ascii="C39T30Lfz" w:hAnsi="C39T30Lfz"/>
        <w:kern w:val="14"/>
        <w:sz w:val="56"/>
      </w:rPr>
      <w:t></w:t>
    </w:r>
    <w:r w:rsidRPr="00464F0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490" w:rsidRPr="001075E9" w:rsidRDefault="0068449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84490" w:rsidRDefault="0068449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64F0F" w:rsidRPr="00706101" w:rsidRDefault="00464F0F" w:rsidP="00464F0F">
      <w:pPr>
        <w:pStyle w:val="FootnoteText"/>
      </w:pPr>
      <w:r>
        <w:tab/>
      </w:r>
      <w:r w:rsidRPr="00464F0F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F0F" w:rsidRPr="00464F0F" w:rsidRDefault="00D409E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F0F" w:rsidRPr="00464F0F" w:rsidRDefault="00D409E2" w:rsidP="00464F0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ECE/TRANS/WP.29/2019/15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9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96FE3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7E3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6039"/>
    <w:rsid w:val="00424203"/>
    <w:rsid w:val="00452493"/>
    <w:rsid w:val="00453318"/>
    <w:rsid w:val="00454AF2"/>
    <w:rsid w:val="00454E07"/>
    <w:rsid w:val="00464F0F"/>
    <w:rsid w:val="00472C5C"/>
    <w:rsid w:val="004E05B7"/>
    <w:rsid w:val="0050108D"/>
    <w:rsid w:val="00513081"/>
    <w:rsid w:val="00517901"/>
    <w:rsid w:val="00526683"/>
    <w:rsid w:val="00526A7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449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2A52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7787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09E2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530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1F2FF8-3548-4DD4-A136-3FD08D3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64F0F"/>
    <w:rPr>
      <w:b/>
      <w:sz w:val="28"/>
      <w:lang w:val="ru-RU" w:eastAsia="ru-RU"/>
    </w:rPr>
  </w:style>
  <w:style w:type="table" w:customStyle="1" w:styleId="TableGrid1">
    <w:name w:val="Table Grid1"/>
    <w:basedOn w:val="TableNormal"/>
    <w:next w:val="TableGrid"/>
    <w:rsid w:val="00464F0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ECE/TRANS/WP.29/2019/15</vt:lpstr>
      <vt:lpstr>ECE/TRANS/WP.29/2019/15</vt:lpstr>
      <vt:lpstr>A/</vt:lpstr>
    </vt:vector>
  </TitlesOfParts>
  <Company>DCM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ECE/TRANS/WP.29/2019/15</dc:title>
  <dc:subject/>
  <dc:creator>Marina KOROTKOVA</dc:creator>
  <cp:keywords/>
  <cp:lastModifiedBy>Marie-Claude Collet</cp:lastModifiedBy>
  <cp:revision>3</cp:revision>
  <cp:lastPrinted>2019-01-29T10:15:00Z</cp:lastPrinted>
  <dcterms:created xsi:type="dcterms:W3CDTF">2019-01-29T10:15:00Z</dcterms:created>
  <dcterms:modified xsi:type="dcterms:W3CDTF">2019-01-29T10:15:00Z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