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E494A" w:rsidRPr="00DB58B5" w:rsidTr="00546E24">
        <w:trPr>
          <w:trHeight w:hRule="exact" w:val="851"/>
        </w:trPr>
        <w:tc>
          <w:tcPr>
            <w:tcW w:w="1276" w:type="dxa"/>
            <w:tcBorders>
              <w:bottom w:val="single" w:sz="4" w:space="0" w:color="auto"/>
            </w:tcBorders>
          </w:tcPr>
          <w:p w:rsidR="007E494A" w:rsidRPr="00DB58B5" w:rsidRDefault="007E494A" w:rsidP="00546E24"/>
        </w:tc>
        <w:tc>
          <w:tcPr>
            <w:tcW w:w="2268" w:type="dxa"/>
            <w:tcBorders>
              <w:bottom w:val="single" w:sz="4" w:space="0" w:color="auto"/>
            </w:tcBorders>
            <w:vAlign w:val="bottom"/>
          </w:tcPr>
          <w:p w:rsidR="007E494A" w:rsidRPr="00DB58B5" w:rsidRDefault="007E494A" w:rsidP="00546E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7E494A" w:rsidRPr="00DB58B5" w:rsidRDefault="007E494A" w:rsidP="00546E24">
            <w:pPr>
              <w:jc w:val="right"/>
            </w:pPr>
            <w:r w:rsidRPr="00BD0F5B">
              <w:rPr>
                <w:sz w:val="40"/>
              </w:rPr>
              <w:t>ECE</w:t>
            </w:r>
            <w:r>
              <w:t>/TRANS/WP.11/2019/</w:t>
            </w:r>
            <w:r w:rsidR="0027527F">
              <w:t>9</w:t>
            </w:r>
          </w:p>
        </w:tc>
      </w:tr>
      <w:tr w:rsidR="007E494A" w:rsidRPr="00DB58B5" w:rsidTr="00546E24">
        <w:trPr>
          <w:trHeight w:hRule="exact" w:val="2835"/>
        </w:trPr>
        <w:tc>
          <w:tcPr>
            <w:tcW w:w="1276" w:type="dxa"/>
            <w:tcBorders>
              <w:top w:val="single" w:sz="4" w:space="0" w:color="auto"/>
              <w:bottom w:val="single" w:sz="12" w:space="0" w:color="auto"/>
            </w:tcBorders>
          </w:tcPr>
          <w:p w:rsidR="007E494A" w:rsidRPr="00DB58B5" w:rsidRDefault="007E494A" w:rsidP="00546E24">
            <w:pPr>
              <w:spacing w:before="120"/>
              <w:jc w:val="center"/>
            </w:pPr>
            <w:r>
              <w:rPr>
                <w:noProof/>
                <w:lang w:eastAsia="fr-CH"/>
              </w:rPr>
              <w:drawing>
                <wp:inline distT="0" distB="0" distL="0" distR="0" wp14:anchorId="7C8F8877" wp14:editId="297339D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E494A" w:rsidRPr="00740562" w:rsidRDefault="007E494A" w:rsidP="00546E2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E494A" w:rsidRDefault="007E494A" w:rsidP="00546E24">
            <w:pPr>
              <w:spacing w:before="240" w:line="240" w:lineRule="exact"/>
            </w:pPr>
            <w:proofErr w:type="spellStart"/>
            <w:r>
              <w:t>Distr</w:t>
            </w:r>
            <w:proofErr w:type="spellEnd"/>
            <w:r>
              <w:t xml:space="preserve">. </w:t>
            </w:r>
            <w:proofErr w:type="gramStart"/>
            <w:r>
              <w:t>générale</w:t>
            </w:r>
            <w:proofErr w:type="gramEnd"/>
          </w:p>
          <w:p w:rsidR="007E494A" w:rsidRDefault="00075FFA" w:rsidP="00546E24">
            <w:pPr>
              <w:spacing w:line="240" w:lineRule="exact"/>
            </w:pPr>
            <w:r>
              <w:t>2</w:t>
            </w:r>
            <w:r w:rsidR="00CE59B7">
              <w:t>4</w:t>
            </w:r>
            <w:r w:rsidR="007E494A">
              <w:t xml:space="preserve"> juillet 2019</w:t>
            </w:r>
          </w:p>
          <w:p w:rsidR="007E494A" w:rsidRDefault="007E494A" w:rsidP="00546E24">
            <w:pPr>
              <w:spacing w:line="240" w:lineRule="exact"/>
            </w:pPr>
          </w:p>
          <w:p w:rsidR="007E494A" w:rsidRPr="00DB58B5" w:rsidRDefault="007E494A" w:rsidP="00546E24">
            <w:pPr>
              <w:spacing w:line="240" w:lineRule="exact"/>
            </w:pPr>
            <w:r>
              <w:t>Original : français</w:t>
            </w:r>
          </w:p>
        </w:tc>
      </w:tr>
    </w:tbl>
    <w:p w:rsidR="007E494A" w:rsidRDefault="007E494A" w:rsidP="007E494A">
      <w:pPr>
        <w:spacing w:before="120"/>
        <w:rPr>
          <w:b/>
          <w:sz w:val="28"/>
          <w:szCs w:val="28"/>
        </w:rPr>
      </w:pPr>
      <w:r w:rsidRPr="00883605">
        <w:rPr>
          <w:b/>
          <w:sz w:val="28"/>
          <w:szCs w:val="28"/>
        </w:rPr>
        <w:t>Commission économique pour l’Europe</w:t>
      </w:r>
    </w:p>
    <w:p w:rsidR="007E494A" w:rsidRPr="009E01B8" w:rsidRDefault="007E494A" w:rsidP="007E494A">
      <w:pPr>
        <w:spacing w:before="120"/>
        <w:rPr>
          <w:sz w:val="28"/>
          <w:szCs w:val="28"/>
        </w:rPr>
      </w:pPr>
      <w:r w:rsidRPr="009E01B8">
        <w:rPr>
          <w:sz w:val="28"/>
          <w:szCs w:val="28"/>
        </w:rPr>
        <w:t>Comité des transports intérieurs</w:t>
      </w:r>
    </w:p>
    <w:p w:rsidR="007E494A" w:rsidRPr="009E01B8" w:rsidRDefault="007E494A" w:rsidP="007E494A">
      <w:pPr>
        <w:spacing w:before="120"/>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rsidR="007E494A" w:rsidRPr="00265E07" w:rsidRDefault="007E494A" w:rsidP="007E494A">
      <w:pPr>
        <w:spacing w:before="120"/>
        <w:rPr>
          <w:b/>
        </w:rPr>
      </w:pPr>
      <w:r>
        <w:rPr>
          <w:b/>
          <w:color w:val="212121"/>
          <w:lang w:val="fr-FR" w:eastAsia="en-GB"/>
        </w:rPr>
        <w:t xml:space="preserve">Soixante-quinzième </w:t>
      </w:r>
      <w:r w:rsidRPr="00265E07">
        <w:rPr>
          <w:b/>
        </w:rPr>
        <w:t>session</w:t>
      </w:r>
    </w:p>
    <w:p w:rsidR="007E494A" w:rsidRDefault="007E494A" w:rsidP="007E494A">
      <w:r w:rsidRPr="00265E07">
        <w:t xml:space="preserve">Genève, </w:t>
      </w:r>
      <w:r>
        <w:t>8-11 octobre 2019</w:t>
      </w:r>
    </w:p>
    <w:p w:rsidR="00DD1870" w:rsidRPr="00DD1870" w:rsidRDefault="00DD1870" w:rsidP="007E494A">
      <w:pPr>
        <w:rPr>
          <w:bCs/>
        </w:rPr>
      </w:pPr>
      <w:r>
        <w:t>Point 5 b) de l’ordre du jour provisoire</w:t>
      </w:r>
    </w:p>
    <w:p w:rsidR="007E494A" w:rsidRDefault="007E494A" w:rsidP="007E494A">
      <w:pPr>
        <w:pStyle w:val="Standard"/>
        <w:rPr>
          <w:b/>
          <w:lang w:val="fr-FR"/>
        </w:rPr>
      </w:pPr>
      <w:r>
        <w:rPr>
          <w:b/>
          <w:lang w:val="fr-FR"/>
        </w:rPr>
        <w:t>Propositions d’amendements à l’ATP:</w:t>
      </w:r>
    </w:p>
    <w:p w:rsidR="00446FE5" w:rsidRDefault="007534EC" w:rsidP="007E494A">
      <w:pPr>
        <w:rPr>
          <w:b/>
          <w:lang w:val="fr-FR"/>
        </w:rPr>
      </w:pPr>
      <w:proofErr w:type="gramStart"/>
      <w:r>
        <w:rPr>
          <w:b/>
          <w:lang w:val="fr-FR"/>
        </w:rPr>
        <w:t>n</w:t>
      </w:r>
      <w:r w:rsidR="007E494A">
        <w:rPr>
          <w:b/>
          <w:lang w:val="fr-FR"/>
        </w:rPr>
        <w:t>ouvelles</w:t>
      </w:r>
      <w:proofErr w:type="gramEnd"/>
      <w:r w:rsidR="007E494A">
        <w:rPr>
          <w:b/>
          <w:lang w:val="fr-FR"/>
        </w:rPr>
        <w:t xml:space="preserve"> propositions</w:t>
      </w:r>
    </w:p>
    <w:p w:rsidR="007E494A" w:rsidRDefault="007E494A" w:rsidP="007E494A">
      <w:pPr>
        <w:pStyle w:val="HChG"/>
        <w:rPr>
          <w:lang w:val="fr-FR"/>
        </w:rPr>
      </w:pPr>
      <w:r>
        <w:rPr>
          <w:lang w:val="fr-FR"/>
        </w:rPr>
        <w:tab/>
      </w:r>
      <w:r>
        <w:rPr>
          <w:lang w:val="fr-FR"/>
        </w:rPr>
        <w:tab/>
        <w:t>Modification concernant le modèle de procès-verbal d’essai qui définit les conditions d’essais à inscrire pour la détermination des débits d’air au soufflage de l’évaporateur</w:t>
      </w:r>
    </w:p>
    <w:p w:rsidR="007E494A" w:rsidRDefault="007E494A" w:rsidP="007E494A">
      <w:pPr>
        <w:pStyle w:val="H1G"/>
        <w:rPr>
          <w:lang w:val="fr-FR"/>
        </w:rPr>
      </w:pPr>
      <w:r>
        <w:rPr>
          <w:lang w:val="fr-FR"/>
        </w:rPr>
        <w:tab/>
      </w:r>
      <w:r>
        <w:rPr>
          <w:lang w:val="fr-FR"/>
        </w:rPr>
        <w:tab/>
        <w:t>Communication d</w:t>
      </w:r>
      <w:r w:rsidR="007534EC">
        <w:rPr>
          <w:lang w:val="fr-FR"/>
        </w:rPr>
        <w:t>u Gouvernement de</w:t>
      </w:r>
      <w:r>
        <w:rPr>
          <w:lang w:val="fr-FR"/>
        </w:rPr>
        <w:t xml:space="preserve"> la </w:t>
      </w:r>
      <w:r w:rsidR="00DC7B76">
        <w:rPr>
          <w:lang w:val="fr-FR"/>
        </w:rPr>
        <w:t>France</w:t>
      </w:r>
    </w:p>
    <w:p w:rsidR="00DC7B76" w:rsidRPr="00DC7B76" w:rsidRDefault="00DC7B76" w:rsidP="00DC7B76">
      <w:pPr>
        <w:rPr>
          <w:lang w:val="fr-FR"/>
        </w:rPr>
      </w:pPr>
      <w:bookmarkStart w:id="0" w:name="_GoBack"/>
      <w:bookmarkEnd w:id="0"/>
    </w:p>
    <w:tbl>
      <w:tblPr>
        <w:tblW w:w="963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637"/>
      </w:tblGrid>
      <w:tr w:rsidR="007E494A" w:rsidTr="00225683">
        <w:trPr>
          <w:jc w:val="center"/>
        </w:trPr>
        <w:tc>
          <w:tcPr>
            <w:tcW w:w="9637" w:type="dxa"/>
            <w:shd w:val="clear" w:color="auto" w:fill="FFFFFF"/>
            <w:tcMar>
              <w:top w:w="108" w:type="dxa"/>
              <w:left w:w="108" w:type="dxa"/>
              <w:bottom w:w="108" w:type="dxa"/>
              <w:right w:w="108" w:type="dxa"/>
            </w:tcMar>
          </w:tcPr>
          <w:p w:rsidR="007E494A" w:rsidRDefault="007E494A" w:rsidP="007E494A">
            <w:pPr>
              <w:pStyle w:val="Standard"/>
              <w:spacing w:before="120"/>
              <w:ind w:left="255"/>
              <w:rPr>
                <w:i/>
                <w:sz w:val="24"/>
              </w:rPr>
            </w:pPr>
            <w:r>
              <w:rPr>
                <w:i/>
                <w:sz w:val="24"/>
              </w:rPr>
              <w:t>Résumé</w:t>
            </w:r>
          </w:p>
        </w:tc>
      </w:tr>
      <w:tr w:rsidR="007E494A" w:rsidTr="00225683">
        <w:trPr>
          <w:jc w:val="center"/>
        </w:trPr>
        <w:tc>
          <w:tcPr>
            <w:tcW w:w="9637" w:type="dxa"/>
            <w:shd w:val="clear" w:color="auto" w:fill="FFFFFF"/>
            <w:tcMar>
              <w:top w:w="108" w:type="dxa"/>
              <w:left w:w="108" w:type="dxa"/>
              <w:bottom w:w="108" w:type="dxa"/>
              <w:right w:w="108" w:type="dxa"/>
            </w:tcMar>
          </w:tcPr>
          <w:p w:rsidR="007E494A" w:rsidRDefault="007E494A" w:rsidP="00546E24">
            <w:pPr>
              <w:pStyle w:val="SingleTxtG"/>
              <w:spacing w:after="0"/>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Modification du modèle de PV d'essai n° 12 concernant la mesure du débit d'air au soufflage de l'évaporateur</w:t>
            </w:r>
          </w:p>
        </w:tc>
      </w:tr>
      <w:tr w:rsidR="007E494A" w:rsidTr="00225683">
        <w:trPr>
          <w:jc w:val="center"/>
        </w:trPr>
        <w:tc>
          <w:tcPr>
            <w:tcW w:w="9637" w:type="dxa"/>
            <w:shd w:val="clear" w:color="auto" w:fill="FFFFFF"/>
            <w:tcMar>
              <w:top w:w="108" w:type="dxa"/>
              <w:left w:w="108" w:type="dxa"/>
              <w:bottom w:w="108" w:type="dxa"/>
              <w:right w:w="108" w:type="dxa"/>
            </w:tcMar>
          </w:tcPr>
          <w:p w:rsidR="007E494A" w:rsidRDefault="007E494A" w:rsidP="00546E24">
            <w:pPr>
              <w:pStyle w:val="SingleTxtG"/>
              <w:spacing w:after="0"/>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Intégrer cette modification dans le PV d'essai N° 12</w:t>
            </w:r>
          </w:p>
        </w:tc>
      </w:tr>
      <w:tr w:rsidR="007E494A" w:rsidTr="00225683">
        <w:trPr>
          <w:jc w:val="center"/>
        </w:trPr>
        <w:tc>
          <w:tcPr>
            <w:tcW w:w="9637" w:type="dxa"/>
            <w:shd w:val="clear" w:color="auto" w:fill="FFFFFF"/>
            <w:tcMar>
              <w:top w:w="108" w:type="dxa"/>
              <w:left w:w="108" w:type="dxa"/>
              <w:bottom w:w="108" w:type="dxa"/>
              <w:right w:w="108" w:type="dxa"/>
            </w:tcMar>
          </w:tcPr>
          <w:p w:rsidR="007E494A" w:rsidRDefault="007E494A" w:rsidP="00546E24">
            <w:pPr>
              <w:pStyle w:val="SingleTxtG"/>
              <w:spacing w:after="0"/>
              <w:ind w:left="2552" w:hanging="2268"/>
              <w:jc w:val="left"/>
            </w:pPr>
            <w:r>
              <w:rPr>
                <w:rFonts w:eastAsia="Calibri"/>
                <w:b/>
                <w:lang w:eastAsia="en-US"/>
              </w:rPr>
              <w:t>Documents connexes </w:t>
            </w:r>
            <w:r>
              <w:rPr>
                <w:rFonts w:eastAsia="Calibri"/>
                <w:lang w:eastAsia="en-US"/>
              </w:rPr>
              <w:t>:</w:t>
            </w:r>
            <w:r>
              <w:rPr>
                <w:rFonts w:eastAsia="Calibri"/>
                <w:b/>
                <w:lang w:eastAsia="en-US"/>
              </w:rPr>
              <w:tab/>
            </w:r>
            <w:r>
              <w:rPr>
                <w:rFonts w:eastAsia="Calibri"/>
                <w:lang w:eastAsia="en-US"/>
              </w:rPr>
              <w:t>Aucun</w:t>
            </w:r>
          </w:p>
        </w:tc>
      </w:tr>
    </w:tbl>
    <w:p w:rsidR="007E494A" w:rsidRDefault="007E494A" w:rsidP="007E494A">
      <w:pPr>
        <w:pStyle w:val="HChG"/>
      </w:pPr>
      <w:r>
        <w:tab/>
      </w:r>
      <w:r>
        <w:tab/>
        <w:t>Introduction</w:t>
      </w:r>
      <w:bookmarkStart w:id="1" w:name="OLE_LINK1"/>
      <w:bookmarkStart w:id="2" w:name="OLE_LINK2"/>
      <w:bookmarkEnd w:id="1"/>
      <w:bookmarkEnd w:id="2"/>
    </w:p>
    <w:p w:rsidR="007E494A" w:rsidRDefault="007E494A" w:rsidP="007E494A">
      <w:pPr>
        <w:pStyle w:val="SingleTxtG"/>
        <w:numPr>
          <w:ilvl w:val="0"/>
          <w:numId w:val="18"/>
        </w:numPr>
        <w:ind w:left="1134" w:firstLine="0"/>
      </w:pPr>
      <w:r>
        <w:t xml:space="preserve">Les stations d’essais </w:t>
      </w:r>
      <w:r w:rsidRPr="007E494A">
        <w:t>officielles</w:t>
      </w:r>
      <w:r>
        <w:t xml:space="preserve"> ATP qui mesurent les débits d’air au soufflage des évaporateurs conformément à la section 4.3.4 de l’Annexe 1, Appendice N°2 de l’ATP en date du 6 janvier 2018 enregistrent les conditions de ces essais dans le procès-verbal d’essai du modèle N°12 selon deux interprétations différentes d’un même paramètre d’influence.</w:t>
      </w:r>
    </w:p>
    <w:p w:rsidR="007E494A" w:rsidRPr="007E494A" w:rsidRDefault="007E494A" w:rsidP="007E494A">
      <w:pPr>
        <w:pStyle w:val="SingleTxtG"/>
        <w:numPr>
          <w:ilvl w:val="0"/>
          <w:numId w:val="18"/>
        </w:numPr>
        <w:ind w:left="1134" w:firstLine="0"/>
        <w:rPr>
          <w:lang w:val="fr-FR"/>
        </w:rPr>
      </w:pPr>
      <w:r>
        <w:t>Sachant que le procès-verbal d’essai doit permettre d’interpréter les conditions de réalisation des essais qui sont demandées par l’ATP, il est nécessaire de clarifier toute condition d’essai imposée soumise à interprétation.</w:t>
      </w:r>
    </w:p>
    <w:p w:rsidR="007E494A" w:rsidRDefault="007E494A" w:rsidP="007E494A">
      <w:pPr>
        <w:pStyle w:val="HChG"/>
        <w:wordWrap w:val="0"/>
      </w:pPr>
      <w:r>
        <w:lastRenderedPageBreak/>
        <w:tab/>
        <w:t>I.</w:t>
      </w:r>
      <w:r>
        <w:tab/>
        <w:t>Proposition</w:t>
      </w:r>
    </w:p>
    <w:p w:rsidR="007E494A" w:rsidRDefault="007E494A" w:rsidP="007E494A">
      <w:pPr>
        <w:pStyle w:val="SingleTxtG"/>
        <w:numPr>
          <w:ilvl w:val="0"/>
          <w:numId w:val="18"/>
        </w:numPr>
        <w:ind w:left="1134" w:firstLine="0"/>
      </w:pPr>
      <w:r>
        <w:t xml:space="preserve">Dans le modèle de </w:t>
      </w:r>
      <w:r w:rsidRPr="007E494A">
        <w:t>procès</w:t>
      </w:r>
      <w:r>
        <w:t>-verbal d’essai n°12, compléter la condition de réalisation du débit d’air au soufflage de l’évaporateur par « sous une pression statique différentielle mesurée entre le soufflage et l’entrée d’air de l’évaporateur de …. Pa ».</w:t>
      </w:r>
    </w:p>
    <w:p w:rsidR="007E494A" w:rsidRDefault="007E494A" w:rsidP="007E494A">
      <w:pPr>
        <w:pStyle w:val="HChG"/>
        <w:wordWrap w:val="0"/>
      </w:pPr>
      <w:r>
        <w:tab/>
        <w:t>II.</w:t>
      </w:r>
      <w:r>
        <w:tab/>
        <w:t>Justification</w:t>
      </w:r>
    </w:p>
    <w:p w:rsidR="007E494A" w:rsidRDefault="007E494A" w:rsidP="007E494A">
      <w:pPr>
        <w:pStyle w:val="SingleTxtG"/>
        <w:numPr>
          <w:ilvl w:val="0"/>
          <w:numId w:val="18"/>
        </w:numPr>
        <w:ind w:left="1134" w:firstLine="0"/>
      </w:pPr>
      <w:r>
        <w:t xml:space="preserve">La courbe </w:t>
      </w:r>
      <w:r w:rsidRPr="007E494A">
        <w:t>caractéristique</w:t>
      </w:r>
      <w:r>
        <w:t xml:space="preserve"> du débit d’air brassé par les ventilateurs à vitesse de rotation constante décrit la relation entre le débit d’air et la pression statique différentielle du ventilateur. La forme de cette courbe est dépendante d’autres facteurs d’influence qui sont pris en compte dans les normes d’essais conseillées par l’ATP en y intégrant les effets dans le résultat obtenu en sortie de traitement. Ceci concerne, entre autres, la température de l’air ambiant tout comme la pression atmosphérique. Autrement dit, la sensibilité du débit d’air à la variation de la pression atmosphérique dans son domaine normal est négligeable par rapport à celle de la pression statique différentielle du ventilateur.</w:t>
      </w:r>
    </w:p>
    <w:p w:rsidR="007E494A" w:rsidRDefault="007E494A" w:rsidP="007E494A">
      <w:pPr>
        <w:pStyle w:val="SingleTxtG"/>
        <w:numPr>
          <w:ilvl w:val="0"/>
          <w:numId w:val="18"/>
        </w:numPr>
      </w:pPr>
      <w:r>
        <w:t xml:space="preserve">La maîtrise des </w:t>
      </w:r>
      <w:r w:rsidRPr="007E494A">
        <w:t>conditions</w:t>
      </w:r>
      <w:r>
        <w:t xml:space="preserve"> d’essais permet de maîtriser le type soumis aux essais.</w:t>
      </w:r>
    </w:p>
    <w:p w:rsidR="007E494A" w:rsidRDefault="007E494A" w:rsidP="007E494A">
      <w:pPr>
        <w:pStyle w:val="HChG"/>
        <w:wordWrap w:val="0"/>
      </w:pPr>
      <w:r>
        <w:tab/>
        <w:t>III.</w:t>
      </w:r>
      <w:r>
        <w:tab/>
        <w:t>Coûts</w:t>
      </w:r>
    </w:p>
    <w:p w:rsidR="007E494A" w:rsidRDefault="007E494A" w:rsidP="0057655A">
      <w:pPr>
        <w:pStyle w:val="SingleTxtG"/>
        <w:numPr>
          <w:ilvl w:val="0"/>
          <w:numId w:val="18"/>
        </w:numPr>
        <w:ind w:left="1134" w:firstLine="0"/>
      </w:pPr>
      <w:r>
        <w:t xml:space="preserve">Il n’y a pas de coûts </w:t>
      </w:r>
      <w:r w:rsidRPr="007E494A">
        <w:t>supplémentaires</w:t>
      </w:r>
      <w:r>
        <w:t xml:space="preserve"> à prévoir pour les stations d’essais officielles.</w:t>
      </w:r>
    </w:p>
    <w:p w:rsidR="007E494A" w:rsidRDefault="007E494A" w:rsidP="007E494A">
      <w:pPr>
        <w:pStyle w:val="HChG"/>
        <w:wordWrap w:val="0"/>
      </w:pPr>
      <w:r>
        <w:tab/>
        <w:t>IV.</w:t>
      </w:r>
      <w:r>
        <w:tab/>
        <w:t>Faisabilité</w:t>
      </w:r>
    </w:p>
    <w:p w:rsidR="007E494A" w:rsidRDefault="007E494A" w:rsidP="0057655A">
      <w:pPr>
        <w:pStyle w:val="SingleTxtG"/>
        <w:numPr>
          <w:ilvl w:val="0"/>
          <w:numId w:val="18"/>
        </w:numPr>
        <w:kinsoku/>
        <w:wordWrap w:val="0"/>
        <w:adjustRightInd/>
        <w:ind w:left="1134" w:firstLine="0"/>
        <w:textAlignment w:val="baseline"/>
      </w:pPr>
      <w:r>
        <w:t>Pas de contrainte supplémentaire pour les stations d’essais officielles ATP.</w:t>
      </w:r>
    </w:p>
    <w:p w:rsidR="007E494A" w:rsidRDefault="007E494A" w:rsidP="007E494A">
      <w:pPr>
        <w:pStyle w:val="HChG"/>
        <w:wordWrap w:val="0"/>
      </w:pPr>
      <w:r>
        <w:tab/>
        <w:t>V.</w:t>
      </w:r>
      <w:r>
        <w:tab/>
        <w:t>Applicabilité</w:t>
      </w:r>
    </w:p>
    <w:p w:rsidR="007E494A" w:rsidRDefault="007E494A" w:rsidP="007E494A">
      <w:pPr>
        <w:pStyle w:val="SingleTxtG"/>
      </w:pPr>
      <w:r>
        <w:t>8.</w:t>
      </w:r>
      <w:r>
        <w:tab/>
        <w:t xml:space="preserve">Aucun problème </w:t>
      </w:r>
      <w:r w:rsidRPr="007E494A">
        <w:t>n’est</w:t>
      </w:r>
      <w:r>
        <w:t xml:space="preserve"> à prévoir en ce qui concerne l’application des modifications proposées aux modèles de procès-verbal d’essais N°12 de l’ATP.</w:t>
      </w:r>
    </w:p>
    <w:p w:rsidR="007E494A" w:rsidRDefault="007E494A" w:rsidP="007E494A">
      <w:pPr>
        <w:pStyle w:val="HChG"/>
      </w:pPr>
      <w:r>
        <w:tab/>
        <w:t>VI.</w:t>
      </w:r>
      <w:r>
        <w:tab/>
        <w:t>Application de la modification proposée à l’ATP</w:t>
      </w:r>
    </w:p>
    <w:p w:rsidR="007E494A" w:rsidRDefault="007E494A" w:rsidP="007E494A">
      <w:pPr>
        <w:pStyle w:val="SingleTxtG"/>
      </w:pPr>
      <w:r>
        <w:t>Partie de l’ATP concernée</w:t>
      </w:r>
      <w:r w:rsidR="007534EC">
        <w:t xml:space="preserve"> </w:t>
      </w:r>
      <w:r>
        <w:t>: Annexe 1, appendice N°2, section 8 Procès-verbaux d’essais, Modèle N°12.</w:t>
      </w:r>
    </w:p>
    <w:p w:rsidR="007E494A" w:rsidRDefault="007E494A" w:rsidP="007E494A">
      <w:pPr>
        <w:pStyle w:val="SingleTxtG"/>
      </w:pPr>
      <w:r>
        <w:t>Proposition :</w:t>
      </w:r>
    </w:p>
    <w:p w:rsidR="007E494A" w:rsidRPr="007E494A" w:rsidRDefault="007E494A" w:rsidP="007E494A">
      <w:pPr>
        <w:pStyle w:val="SingleTxtG"/>
        <w:rPr>
          <w:b/>
          <w:bCs/>
        </w:rPr>
      </w:pPr>
      <w:r w:rsidRPr="007E494A">
        <w:rPr>
          <w:b/>
          <w:bCs/>
        </w:rPr>
        <w:t>Modèle N°12</w:t>
      </w:r>
      <w:r w:rsidR="007534EC">
        <w:rPr>
          <w:b/>
          <w:bCs/>
        </w:rPr>
        <w:t xml:space="preserve"> </w:t>
      </w:r>
      <w:r w:rsidRPr="007E494A">
        <w:rPr>
          <w:b/>
          <w:bCs/>
        </w:rPr>
        <w:t>:</w:t>
      </w:r>
    </w:p>
    <w:p w:rsidR="007E494A" w:rsidRPr="007E494A" w:rsidRDefault="007E494A" w:rsidP="007E494A">
      <w:pPr>
        <w:pStyle w:val="SingleTxtG"/>
        <w:rPr>
          <w:b/>
          <w:bCs/>
        </w:rPr>
      </w:pPr>
      <w:r w:rsidRPr="007E494A">
        <w:rPr>
          <w:b/>
          <w:bCs/>
        </w:rPr>
        <w:t>Il est proposé de modifier le paragraphe suivant de l’ATP :</w:t>
      </w:r>
    </w:p>
    <w:p w:rsidR="007E494A" w:rsidRPr="007E494A" w:rsidRDefault="007E494A" w:rsidP="007E494A">
      <w:pPr>
        <w:pStyle w:val="SingleTxtG"/>
        <w:rPr>
          <w:b/>
          <w:bCs/>
        </w:rPr>
      </w:pPr>
      <w:r w:rsidRPr="007E494A">
        <w:rPr>
          <w:b/>
          <w:bCs/>
        </w:rPr>
        <w:t>Paragraphe d’origine de l’ATP :</w:t>
      </w:r>
    </w:p>
    <w:p w:rsidR="007E494A" w:rsidRDefault="007E494A" w:rsidP="007E494A">
      <w:pPr>
        <w:pStyle w:val="SingleTxtG"/>
      </w:pPr>
      <w:r>
        <w:t>Débit d'air au soufflage de l'évaporateur :</w:t>
      </w:r>
    </w:p>
    <w:p w:rsidR="007E494A" w:rsidRDefault="007E494A" w:rsidP="007E494A">
      <w:pPr>
        <w:pStyle w:val="SingleTxtG"/>
        <w:spacing w:after="0"/>
      </w:pPr>
      <w:r>
        <w:t>Valeur mesurée</w:t>
      </w:r>
      <w:r w:rsidR="007534EC">
        <w:t xml:space="preserve"> </w:t>
      </w:r>
      <w:r>
        <w:t>………………</w:t>
      </w:r>
      <w:proofErr w:type="gramStart"/>
      <w:r>
        <w:t>…….</w:t>
      </w:r>
      <w:proofErr w:type="gramEnd"/>
      <w:r>
        <w:t>……</w:t>
      </w:r>
      <w:r w:rsidR="007534EC">
        <w:t xml:space="preserve"> </w:t>
      </w:r>
      <w:r>
        <w:t>m</w:t>
      </w:r>
      <w:r>
        <w:rPr>
          <w:vertAlign w:val="superscript"/>
        </w:rPr>
        <w:t>3</w:t>
      </w:r>
      <w:r>
        <w:t>/h</w:t>
      </w:r>
    </w:p>
    <w:p w:rsidR="007E494A" w:rsidRDefault="007E494A" w:rsidP="007E494A">
      <w:pPr>
        <w:pStyle w:val="SingleTxtG"/>
      </w:pPr>
      <w:r>
        <w:t>Sous une pression de ……………………</w:t>
      </w:r>
      <w:r w:rsidR="007534EC">
        <w:t xml:space="preserve"> </w:t>
      </w:r>
      <w:r>
        <w:t>Pa</w:t>
      </w:r>
    </w:p>
    <w:p w:rsidR="007E494A" w:rsidRPr="007E494A" w:rsidRDefault="007E494A" w:rsidP="007E494A">
      <w:pPr>
        <w:pStyle w:val="SingleTxtG"/>
        <w:rPr>
          <w:b/>
          <w:bCs/>
        </w:rPr>
      </w:pPr>
      <w:r w:rsidRPr="007E494A">
        <w:rPr>
          <w:b/>
          <w:bCs/>
        </w:rPr>
        <w:t>Modification proposée :</w:t>
      </w:r>
    </w:p>
    <w:p w:rsidR="007E494A" w:rsidRDefault="007E494A" w:rsidP="007E494A">
      <w:pPr>
        <w:pStyle w:val="SingleTxtG"/>
      </w:pPr>
      <w:r>
        <w:t>Débit d'air au soufflage de l</w:t>
      </w:r>
      <w:r w:rsidR="007534EC">
        <w:t>’</w:t>
      </w:r>
      <w:r>
        <w:t>évaporateur</w:t>
      </w:r>
      <w:r w:rsidR="007534EC">
        <w:t xml:space="preserve"> </w:t>
      </w:r>
      <w:r>
        <w:t>:</w:t>
      </w:r>
    </w:p>
    <w:p w:rsidR="007E494A" w:rsidRDefault="007E494A" w:rsidP="007E494A">
      <w:pPr>
        <w:pStyle w:val="SingleTxtG"/>
        <w:spacing w:after="0"/>
      </w:pPr>
      <w:r>
        <w:t>Valeur mesurée</w:t>
      </w:r>
      <w:r w:rsidR="007534EC">
        <w:t xml:space="preserve"> </w:t>
      </w:r>
      <w:r>
        <w:t>………………</w:t>
      </w:r>
      <w:proofErr w:type="gramStart"/>
      <w:r>
        <w:t>…….</w:t>
      </w:r>
      <w:proofErr w:type="gramEnd"/>
      <w:r>
        <w:t>……</w:t>
      </w:r>
      <w:r w:rsidR="007534EC">
        <w:t xml:space="preserve"> </w:t>
      </w:r>
      <w:r>
        <w:t>m</w:t>
      </w:r>
      <w:r>
        <w:rPr>
          <w:vertAlign w:val="superscript"/>
        </w:rPr>
        <w:t>3</w:t>
      </w:r>
      <w:r>
        <w:t>/h</w:t>
      </w:r>
    </w:p>
    <w:p w:rsidR="007E494A" w:rsidRDefault="007E494A" w:rsidP="007E494A">
      <w:pPr>
        <w:pStyle w:val="SingleTxtG"/>
      </w:pPr>
      <w:r>
        <w:t>Sous une pression statique différentielle mesurée entre le soufflage et l’entrée d’air de l’évaporateur de …...……………………</w:t>
      </w:r>
      <w:r w:rsidR="007534EC">
        <w:t xml:space="preserve"> </w:t>
      </w:r>
      <w:r>
        <w:t>Pa</w:t>
      </w:r>
    </w:p>
    <w:p w:rsidR="007E494A" w:rsidRPr="007E494A" w:rsidRDefault="007E494A" w:rsidP="007E494A">
      <w:pPr>
        <w:spacing w:before="240"/>
        <w:jc w:val="center"/>
        <w:rPr>
          <w:u w:val="single"/>
          <w:lang w:val="fr-FR"/>
        </w:rPr>
      </w:pPr>
      <w:r>
        <w:rPr>
          <w:u w:val="single"/>
          <w:lang w:val="fr-FR"/>
        </w:rPr>
        <w:tab/>
      </w:r>
      <w:r>
        <w:rPr>
          <w:u w:val="single"/>
          <w:lang w:val="fr-FR"/>
        </w:rPr>
        <w:tab/>
      </w:r>
      <w:r>
        <w:rPr>
          <w:u w:val="single"/>
          <w:lang w:val="fr-FR"/>
        </w:rPr>
        <w:tab/>
      </w:r>
    </w:p>
    <w:sectPr w:rsidR="007E494A" w:rsidRPr="007E494A" w:rsidSect="007E494A">
      <w:headerReference w:type="even" r:id="rId9"/>
      <w:head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94A" w:rsidRDefault="007E494A" w:rsidP="00F95C08">
      <w:pPr>
        <w:spacing w:line="240" w:lineRule="auto"/>
      </w:pPr>
    </w:p>
  </w:endnote>
  <w:endnote w:type="continuationSeparator" w:id="0">
    <w:p w:rsidR="007E494A" w:rsidRPr="00AC3823" w:rsidRDefault="007E494A" w:rsidP="00AC3823">
      <w:pPr>
        <w:pStyle w:val="Footer"/>
      </w:pPr>
    </w:p>
  </w:endnote>
  <w:endnote w:type="continuationNotice" w:id="1">
    <w:p w:rsidR="007E494A" w:rsidRDefault="007E4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94A" w:rsidRPr="00AC3823" w:rsidRDefault="007E494A" w:rsidP="00AC3823">
      <w:pPr>
        <w:pStyle w:val="Footer"/>
        <w:tabs>
          <w:tab w:val="right" w:pos="2155"/>
        </w:tabs>
        <w:spacing w:after="80" w:line="240" w:lineRule="atLeast"/>
        <w:ind w:left="680"/>
        <w:rPr>
          <w:u w:val="single"/>
        </w:rPr>
      </w:pPr>
      <w:r>
        <w:rPr>
          <w:u w:val="single"/>
        </w:rPr>
        <w:tab/>
      </w:r>
    </w:p>
  </w:footnote>
  <w:footnote w:type="continuationSeparator" w:id="0">
    <w:p w:rsidR="007E494A" w:rsidRPr="00AC3823" w:rsidRDefault="007E494A" w:rsidP="00AC3823">
      <w:pPr>
        <w:pStyle w:val="Footer"/>
        <w:tabs>
          <w:tab w:val="right" w:pos="2155"/>
        </w:tabs>
        <w:spacing w:after="80" w:line="240" w:lineRule="atLeast"/>
        <w:ind w:left="680"/>
        <w:rPr>
          <w:u w:val="single"/>
        </w:rPr>
      </w:pPr>
      <w:r>
        <w:rPr>
          <w:u w:val="single"/>
        </w:rPr>
        <w:tab/>
      </w:r>
    </w:p>
  </w:footnote>
  <w:footnote w:type="continuationNotice" w:id="1">
    <w:p w:rsidR="007E494A" w:rsidRPr="00AC3823" w:rsidRDefault="007E49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4A" w:rsidRDefault="007E494A">
    <w:pPr>
      <w:pStyle w:val="Header"/>
    </w:pPr>
    <w:r>
      <w:t>ECE/TRANS/WP.11/2019/</w:t>
    </w:r>
    <w:r w:rsidR="0027527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4A" w:rsidRDefault="007E494A">
    <w:pPr>
      <w:pStyle w:val="Header"/>
    </w:pPr>
    <w:r>
      <w:t>ECE/TRANS/WP.11/2019/**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B797299"/>
    <w:multiLevelType w:val="hybridMultilevel"/>
    <w:tmpl w:val="A8CAF102"/>
    <w:lvl w:ilvl="0" w:tplc="0AC4482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8136EAA"/>
    <w:multiLevelType w:val="multilevel"/>
    <w:tmpl w:val="935E06D8"/>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2CF67FE"/>
    <w:multiLevelType w:val="hybridMultilevel"/>
    <w:tmpl w:val="6C2C6FA4"/>
    <w:lvl w:ilvl="0" w:tplc="93A6F5E8">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 w:numId="16">
    <w:abstractNumId w:val="12"/>
    <w:lvlOverride w:ilvl="0">
      <w:startOverride w:val="1"/>
    </w:lvlOverride>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4A"/>
    <w:rsid w:val="00017F94"/>
    <w:rsid w:val="000218A0"/>
    <w:rsid w:val="00023842"/>
    <w:rsid w:val="000334F9"/>
    <w:rsid w:val="00075FFA"/>
    <w:rsid w:val="0007796D"/>
    <w:rsid w:val="000B7790"/>
    <w:rsid w:val="000C390E"/>
    <w:rsid w:val="00103267"/>
    <w:rsid w:val="00111F2F"/>
    <w:rsid w:val="0014365E"/>
    <w:rsid w:val="0014660A"/>
    <w:rsid w:val="00150DB2"/>
    <w:rsid w:val="00176178"/>
    <w:rsid w:val="001F525A"/>
    <w:rsid w:val="00223272"/>
    <w:rsid w:val="00225683"/>
    <w:rsid w:val="0024779E"/>
    <w:rsid w:val="0027527F"/>
    <w:rsid w:val="00291F1D"/>
    <w:rsid w:val="0029407C"/>
    <w:rsid w:val="00350987"/>
    <w:rsid w:val="00353ED5"/>
    <w:rsid w:val="00382A1F"/>
    <w:rsid w:val="00390178"/>
    <w:rsid w:val="003D1AD0"/>
    <w:rsid w:val="00446FE5"/>
    <w:rsid w:val="00452396"/>
    <w:rsid w:val="004857F0"/>
    <w:rsid w:val="004D1CEB"/>
    <w:rsid w:val="005505B7"/>
    <w:rsid w:val="00573BE5"/>
    <w:rsid w:val="0057655A"/>
    <w:rsid w:val="00586ED3"/>
    <w:rsid w:val="00596AA9"/>
    <w:rsid w:val="005B5113"/>
    <w:rsid w:val="006122C4"/>
    <w:rsid w:val="006E2C9B"/>
    <w:rsid w:val="0071601D"/>
    <w:rsid w:val="00724605"/>
    <w:rsid w:val="007534EC"/>
    <w:rsid w:val="0076624F"/>
    <w:rsid w:val="00766CEC"/>
    <w:rsid w:val="0079527C"/>
    <w:rsid w:val="007A62E6"/>
    <w:rsid w:val="007D0A06"/>
    <w:rsid w:val="007E494A"/>
    <w:rsid w:val="0080684C"/>
    <w:rsid w:val="00815502"/>
    <w:rsid w:val="00871C75"/>
    <w:rsid w:val="008776DC"/>
    <w:rsid w:val="008F2A1D"/>
    <w:rsid w:val="0093050C"/>
    <w:rsid w:val="00957790"/>
    <w:rsid w:val="009705C8"/>
    <w:rsid w:val="00994663"/>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709CF"/>
    <w:rsid w:val="00C94FD2"/>
    <w:rsid w:val="00CE59B7"/>
    <w:rsid w:val="00CF3AE1"/>
    <w:rsid w:val="00D3439C"/>
    <w:rsid w:val="00D40AEB"/>
    <w:rsid w:val="00DA22F4"/>
    <w:rsid w:val="00DB1831"/>
    <w:rsid w:val="00DC7B76"/>
    <w:rsid w:val="00DD1870"/>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FB4DA"/>
  <w15:chartTrackingRefBased/>
  <w15:docId w15:val="{41A91096-7C68-4870-BFF8-02E70B8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94A"/>
    <w:pPr>
      <w:suppressAutoHyphens/>
      <w:kinsoku w:val="0"/>
      <w:overflowPunct w:val="0"/>
      <w:autoSpaceDE w:val="0"/>
      <w:autoSpaceDN w:val="0"/>
      <w:adjustRightInd w:val="0"/>
      <w:snapToGrid w:val="0"/>
      <w:spacing w:after="0" w:line="240" w:lineRule="atLeast"/>
    </w:pPr>
    <w:rPr>
      <w:rFonts w:eastAsia="Times New Roman"/>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style>
  <w:style w:type="paragraph" w:customStyle="1" w:styleId="Standard">
    <w:name w:val="Standard"/>
    <w:rsid w:val="007E494A"/>
    <w:pPr>
      <w:suppressAutoHyphens/>
      <w:autoSpaceDN w:val="0"/>
      <w:snapToGrid w:val="0"/>
      <w:spacing w:after="0" w:line="240" w:lineRule="atLeast"/>
      <w:textAlignment w:val="baseline"/>
    </w:pPr>
    <w:rPr>
      <w:rFonts w:eastAsia="Calibri"/>
      <w:kern w:val="3"/>
      <w:lang w:eastAsia="en-US"/>
    </w:rPr>
  </w:style>
  <w:style w:type="numbering" w:customStyle="1" w:styleId="WWNum17">
    <w:name w:val="WWNum17"/>
    <w:basedOn w:val="NoList"/>
    <w:rsid w:val="007E494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2736-79AC-4558-B0C6-35C1AE6A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522</Words>
  <Characters>2989</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14</cp:revision>
  <cp:lastPrinted>2014-05-14T10:59:00Z</cp:lastPrinted>
  <dcterms:created xsi:type="dcterms:W3CDTF">2019-07-17T07:14:00Z</dcterms:created>
  <dcterms:modified xsi:type="dcterms:W3CDTF">2019-07-24T10:13:00Z</dcterms:modified>
</cp:coreProperties>
</file>