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D788FE3" w14:textId="77777777" w:rsidTr="00387CD4">
        <w:trPr>
          <w:trHeight w:hRule="exact" w:val="851"/>
        </w:trPr>
        <w:tc>
          <w:tcPr>
            <w:tcW w:w="142" w:type="dxa"/>
            <w:tcBorders>
              <w:bottom w:val="single" w:sz="4" w:space="0" w:color="auto"/>
            </w:tcBorders>
          </w:tcPr>
          <w:p w14:paraId="4F8E6FB4" w14:textId="77777777" w:rsidR="002D5AAC" w:rsidRDefault="002D5AAC" w:rsidP="005600E1">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26602BED"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281ED47" w14:textId="77777777" w:rsidR="002D5AAC" w:rsidRDefault="005600E1" w:rsidP="005600E1">
            <w:pPr>
              <w:jc w:val="right"/>
            </w:pPr>
            <w:r w:rsidRPr="005600E1">
              <w:rPr>
                <w:sz w:val="40"/>
              </w:rPr>
              <w:t>ECE</w:t>
            </w:r>
            <w:r>
              <w:t>/TRANS/WP.11/2019/4</w:t>
            </w:r>
          </w:p>
        </w:tc>
      </w:tr>
      <w:tr w:rsidR="002D5AAC" w14:paraId="7DFE46B5" w14:textId="77777777" w:rsidTr="00387CD4">
        <w:trPr>
          <w:trHeight w:hRule="exact" w:val="2835"/>
        </w:trPr>
        <w:tc>
          <w:tcPr>
            <w:tcW w:w="1280" w:type="dxa"/>
            <w:gridSpan w:val="2"/>
            <w:tcBorders>
              <w:top w:val="single" w:sz="4" w:space="0" w:color="auto"/>
              <w:bottom w:val="single" w:sz="12" w:space="0" w:color="auto"/>
            </w:tcBorders>
          </w:tcPr>
          <w:p w14:paraId="7534E229" w14:textId="77777777" w:rsidR="002D5AAC" w:rsidRDefault="002E5067" w:rsidP="00387CD4">
            <w:pPr>
              <w:spacing w:before="120"/>
              <w:jc w:val="center"/>
            </w:pPr>
            <w:r>
              <w:rPr>
                <w:noProof/>
                <w:lang w:eastAsia="ru-RU"/>
              </w:rPr>
              <w:drawing>
                <wp:inline distT="0" distB="0" distL="0" distR="0" wp14:anchorId="0B7D2856" wp14:editId="5B811A9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8D531EA"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5E88A96" w14:textId="77777777" w:rsidR="002D5AAC" w:rsidRDefault="005600E1" w:rsidP="00387CD4">
            <w:pPr>
              <w:spacing w:before="240"/>
              <w:rPr>
                <w:lang w:val="en-US"/>
              </w:rPr>
            </w:pPr>
            <w:r>
              <w:rPr>
                <w:lang w:val="en-US"/>
              </w:rPr>
              <w:t>Distr.: General</w:t>
            </w:r>
          </w:p>
          <w:p w14:paraId="75199F9D" w14:textId="77777777" w:rsidR="005600E1" w:rsidRDefault="005600E1" w:rsidP="005600E1">
            <w:pPr>
              <w:spacing w:line="240" w:lineRule="exact"/>
              <w:rPr>
                <w:lang w:val="en-US"/>
              </w:rPr>
            </w:pPr>
            <w:r>
              <w:rPr>
                <w:lang w:val="en-US"/>
              </w:rPr>
              <w:t>24 July 2019</w:t>
            </w:r>
          </w:p>
          <w:p w14:paraId="730D4570" w14:textId="77777777" w:rsidR="005600E1" w:rsidRDefault="005600E1" w:rsidP="005600E1">
            <w:pPr>
              <w:spacing w:line="240" w:lineRule="exact"/>
              <w:rPr>
                <w:lang w:val="en-US"/>
              </w:rPr>
            </w:pPr>
            <w:r>
              <w:rPr>
                <w:lang w:val="en-US"/>
              </w:rPr>
              <w:t>Russian</w:t>
            </w:r>
          </w:p>
          <w:p w14:paraId="5F2DE02F" w14:textId="77777777" w:rsidR="005600E1" w:rsidRPr="008D53B6" w:rsidRDefault="005600E1" w:rsidP="005600E1">
            <w:pPr>
              <w:spacing w:line="240" w:lineRule="exact"/>
              <w:rPr>
                <w:lang w:val="en-US"/>
              </w:rPr>
            </w:pPr>
            <w:r>
              <w:rPr>
                <w:lang w:val="en-US"/>
              </w:rPr>
              <w:t>Original: English</w:t>
            </w:r>
          </w:p>
        </w:tc>
      </w:tr>
    </w:tbl>
    <w:p w14:paraId="1EEB9394" w14:textId="77777777" w:rsidR="005600E1" w:rsidRDefault="008A37C8" w:rsidP="00255343">
      <w:pPr>
        <w:spacing w:before="120"/>
        <w:rPr>
          <w:b/>
          <w:sz w:val="28"/>
          <w:szCs w:val="28"/>
        </w:rPr>
      </w:pPr>
      <w:r w:rsidRPr="00245892">
        <w:rPr>
          <w:b/>
          <w:sz w:val="28"/>
          <w:szCs w:val="28"/>
        </w:rPr>
        <w:t>Европейская экономическая комиссия</w:t>
      </w:r>
    </w:p>
    <w:p w14:paraId="4E895820" w14:textId="77777777" w:rsidR="005600E1" w:rsidRPr="005600E1" w:rsidRDefault="005600E1" w:rsidP="005600E1">
      <w:pPr>
        <w:spacing w:before="120"/>
        <w:rPr>
          <w:sz w:val="28"/>
          <w:szCs w:val="28"/>
        </w:rPr>
      </w:pPr>
      <w:r w:rsidRPr="005600E1">
        <w:rPr>
          <w:sz w:val="28"/>
          <w:szCs w:val="28"/>
        </w:rPr>
        <w:t>Комитет по внутреннему транспорту</w:t>
      </w:r>
    </w:p>
    <w:p w14:paraId="0606A8C8" w14:textId="77777777" w:rsidR="005600E1" w:rsidRPr="005600E1" w:rsidRDefault="005600E1" w:rsidP="005600E1">
      <w:pPr>
        <w:spacing w:before="120"/>
        <w:rPr>
          <w:b/>
          <w:sz w:val="24"/>
          <w:szCs w:val="24"/>
        </w:rPr>
      </w:pPr>
      <w:r w:rsidRPr="005600E1">
        <w:rPr>
          <w:b/>
          <w:bCs/>
          <w:sz w:val="24"/>
          <w:szCs w:val="24"/>
        </w:rPr>
        <w:t xml:space="preserve">Рабочая группа по перевозкам скоропортящихся </w:t>
      </w:r>
      <w:r>
        <w:rPr>
          <w:b/>
          <w:bCs/>
          <w:sz w:val="24"/>
          <w:szCs w:val="24"/>
        </w:rPr>
        <w:br/>
      </w:r>
      <w:r w:rsidRPr="005600E1">
        <w:rPr>
          <w:b/>
          <w:bCs/>
          <w:sz w:val="24"/>
          <w:szCs w:val="24"/>
        </w:rPr>
        <w:t>пищевых продуктов</w:t>
      </w:r>
    </w:p>
    <w:p w14:paraId="4885BC60" w14:textId="77777777" w:rsidR="005600E1" w:rsidRPr="005600E1" w:rsidRDefault="005600E1" w:rsidP="005600E1">
      <w:pPr>
        <w:spacing w:before="120"/>
        <w:rPr>
          <w:b/>
        </w:rPr>
      </w:pPr>
      <w:r w:rsidRPr="005600E1">
        <w:rPr>
          <w:b/>
        </w:rPr>
        <w:t>Семьдесят пятая сессия</w:t>
      </w:r>
    </w:p>
    <w:p w14:paraId="4D987FCC" w14:textId="77777777" w:rsidR="005600E1" w:rsidRDefault="005600E1" w:rsidP="005600E1">
      <w:r>
        <w:t>Женева, 8–11 октября 2019 года</w:t>
      </w:r>
    </w:p>
    <w:p w14:paraId="6E6B958A" w14:textId="77777777" w:rsidR="00934A32" w:rsidRPr="00934A32" w:rsidRDefault="00934A32" w:rsidP="005600E1">
      <w:r>
        <w:t xml:space="preserve">Пункт 5 </w:t>
      </w:r>
      <w:r>
        <w:rPr>
          <w:lang w:val="en-US"/>
        </w:rPr>
        <w:t xml:space="preserve">b) </w:t>
      </w:r>
      <w:r>
        <w:t>предварительной повестки дня</w:t>
      </w:r>
    </w:p>
    <w:p w14:paraId="3054C692" w14:textId="77777777" w:rsidR="005600E1" w:rsidRPr="008415D2" w:rsidRDefault="005600E1" w:rsidP="005600E1">
      <w:pPr>
        <w:spacing w:line="276" w:lineRule="auto"/>
        <w:rPr>
          <w:b/>
          <w:bCs/>
        </w:rPr>
      </w:pPr>
      <w:r>
        <w:rPr>
          <w:b/>
          <w:bCs/>
        </w:rPr>
        <w:t xml:space="preserve">Предложения по поправкам к СПС: </w:t>
      </w:r>
      <w:r>
        <w:rPr>
          <w:b/>
          <w:bCs/>
        </w:rPr>
        <w:br/>
        <w:t>новые предложения</w:t>
      </w:r>
    </w:p>
    <w:p w14:paraId="3F529732" w14:textId="77777777" w:rsidR="005600E1" w:rsidRPr="00F2528F" w:rsidRDefault="005600E1" w:rsidP="005600E1">
      <w:pPr>
        <w:pStyle w:val="HChG"/>
      </w:pPr>
      <w:r>
        <w:tab/>
      </w:r>
      <w:r>
        <w:tab/>
        <w:t xml:space="preserve">Предложение о внесении </w:t>
      </w:r>
      <w:r w:rsidRPr="005600E1">
        <w:t>поправок</w:t>
      </w:r>
      <w:r>
        <w:t xml:space="preserve"> в раздел 6 а) и b) добавления 1 к приложению 1: Действительность протоколов испытаний для механических холодильных установок</w:t>
      </w:r>
    </w:p>
    <w:p w14:paraId="5E7F2FEE" w14:textId="77777777" w:rsidR="005600E1" w:rsidRDefault="005600E1" w:rsidP="005600E1">
      <w:pPr>
        <w:pStyle w:val="H1G"/>
      </w:pPr>
      <w:r>
        <w:tab/>
      </w:r>
      <w:r>
        <w:tab/>
        <w:t xml:space="preserve">Передано правительством </w:t>
      </w:r>
      <w:r w:rsidRPr="005600E1">
        <w:t>Германии</w:t>
      </w:r>
    </w:p>
    <w:tbl>
      <w:tblPr>
        <w:tblStyle w:val="TableGrid"/>
        <w:tblW w:w="0" w:type="auto"/>
        <w:jc w:val="center"/>
        <w:tblLook w:val="05E0" w:firstRow="1" w:lastRow="1" w:firstColumn="1" w:lastColumn="1" w:noHBand="0" w:noVBand="1"/>
      </w:tblPr>
      <w:tblGrid>
        <w:gridCol w:w="9628"/>
      </w:tblGrid>
      <w:tr w:rsidR="005600E1" w:rsidRPr="005600E1" w14:paraId="59D36024" w14:textId="77777777" w:rsidTr="00850215">
        <w:trPr>
          <w:jc w:val="center"/>
        </w:trPr>
        <w:tc>
          <w:tcPr>
            <w:tcW w:w="9637" w:type="dxa"/>
            <w:tcBorders>
              <w:bottom w:val="nil"/>
            </w:tcBorders>
          </w:tcPr>
          <w:p w14:paraId="505EA456" w14:textId="77777777" w:rsidR="005600E1" w:rsidRPr="005600E1" w:rsidRDefault="005600E1" w:rsidP="00850215">
            <w:pPr>
              <w:tabs>
                <w:tab w:val="left" w:pos="255"/>
              </w:tabs>
              <w:spacing w:before="240" w:after="120"/>
              <w:rPr>
                <w:rFonts w:cs="Times New Roman"/>
                <w:sz w:val="24"/>
              </w:rPr>
            </w:pPr>
            <w:r w:rsidRPr="005600E1">
              <w:rPr>
                <w:rFonts w:cs="Times New Roman"/>
              </w:rPr>
              <w:tab/>
            </w:r>
            <w:r w:rsidRPr="005600E1">
              <w:rPr>
                <w:rFonts w:cs="Times New Roman"/>
                <w:i/>
                <w:sz w:val="24"/>
              </w:rPr>
              <w:t>Резюме</w:t>
            </w:r>
          </w:p>
        </w:tc>
      </w:tr>
      <w:tr w:rsidR="005600E1" w:rsidRPr="005600E1" w14:paraId="54E20D02" w14:textId="77777777" w:rsidTr="00850215">
        <w:trPr>
          <w:jc w:val="center"/>
        </w:trPr>
        <w:tc>
          <w:tcPr>
            <w:tcW w:w="9637" w:type="dxa"/>
            <w:tcBorders>
              <w:top w:val="nil"/>
              <w:bottom w:val="nil"/>
            </w:tcBorders>
            <w:shd w:val="clear" w:color="auto" w:fill="auto"/>
          </w:tcPr>
          <w:p w14:paraId="1D1C2A4F" w14:textId="77777777" w:rsidR="005600E1" w:rsidRDefault="005600E1" w:rsidP="005600E1">
            <w:pPr>
              <w:pStyle w:val="SingleTxtG"/>
              <w:tabs>
                <w:tab w:val="left" w:pos="3758"/>
              </w:tabs>
              <w:ind w:left="3730" w:right="1138" w:hanging="2592"/>
            </w:pPr>
            <w:r>
              <w:rPr>
                <w:b/>
                <w:bCs/>
              </w:rPr>
              <w:t>Существо предложения:</w:t>
            </w:r>
            <w:r>
              <w:rPr>
                <w:b/>
                <w:bCs/>
              </w:rPr>
              <w:tab/>
            </w:r>
            <w:r>
              <w:t xml:space="preserve">Если никакие модификации холодильной установки, имеющие отношение к СПС, не производились, то повторное испытание холодильной установки ранее допущенного типа дает лишь те результаты, которые были получены в ходе первого испытания, и, как следствие, не позволяет получить какие-либо новые данные. По этой причине следует предусмотреть возможность продления срока действия свидетельства о допущении типа </w:t>
            </w:r>
            <w:proofErr w:type="spellStart"/>
            <w:r>
              <w:t>немодифицированной</w:t>
            </w:r>
            <w:proofErr w:type="spellEnd"/>
            <w:r>
              <w:t xml:space="preserve"> холодильной установки на основе подтверждения компетентного органа о том, что данная холодильная установка изготовлена в соответствии с ранее допущенным типом.</w:t>
            </w:r>
          </w:p>
          <w:p w14:paraId="5C8FDB62" w14:textId="77777777" w:rsidR="005600E1" w:rsidRDefault="005600E1" w:rsidP="005600E1">
            <w:pPr>
              <w:pStyle w:val="SingleTxtG"/>
              <w:tabs>
                <w:tab w:val="left" w:pos="3758"/>
              </w:tabs>
              <w:ind w:left="3730" w:right="1138" w:hanging="2592"/>
              <w:rPr>
                <w:lang w:val="en-US"/>
              </w:rPr>
            </w:pPr>
            <w:r>
              <w:rPr>
                <w:b/>
                <w:bCs/>
              </w:rPr>
              <w:t>Предлагаемое решение:</w:t>
            </w:r>
            <w:r>
              <w:rPr>
                <w:b/>
                <w:bCs/>
              </w:rPr>
              <w:tab/>
            </w:r>
            <w:r>
              <w:t xml:space="preserve">Внести </w:t>
            </w:r>
            <w:r w:rsidRPr="005600E1">
              <w:rPr>
                <w:lang w:val="en-US"/>
              </w:rPr>
              <w:t>поправки</w:t>
            </w:r>
            <w:r>
              <w:t xml:space="preserve"> в раздел 6 а) и b) добавления 1 к приложению 1</w:t>
            </w:r>
            <w:r>
              <w:rPr>
                <w:lang w:val="en-US"/>
              </w:rPr>
              <w:t>.</w:t>
            </w:r>
          </w:p>
          <w:p w14:paraId="15E031C5" w14:textId="77777777" w:rsidR="005600E1" w:rsidRPr="00BC4863" w:rsidRDefault="005600E1" w:rsidP="005600E1">
            <w:pPr>
              <w:pStyle w:val="SingleTxtG"/>
              <w:tabs>
                <w:tab w:val="left" w:pos="3758"/>
              </w:tabs>
              <w:ind w:left="3730" w:right="1138" w:hanging="2592"/>
              <w:jc w:val="left"/>
            </w:pPr>
            <w:r w:rsidRPr="009566D2">
              <w:rPr>
                <w:b/>
                <w:bCs/>
              </w:rPr>
              <w:t>Справочные</w:t>
            </w:r>
            <w:r>
              <w:rPr>
                <w:b/>
                <w:bCs/>
                <w:lang w:val="en-US"/>
              </w:rPr>
              <w:t xml:space="preserve"> </w:t>
            </w:r>
            <w:r w:rsidRPr="009566D2">
              <w:rPr>
                <w:b/>
                <w:bCs/>
              </w:rPr>
              <w:t>документы:</w:t>
            </w:r>
            <w:r>
              <w:rPr>
                <w:b/>
                <w:bCs/>
              </w:rPr>
              <w:tab/>
            </w:r>
            <w:r w:rsidRPr="008415D2">
              <w:rPr>
                <w:lang w:val="en-US"/>
              </w:rPr>
              <w:t xml:space="preserve">ECE/TRANS/WP.11/2015/1 </w:t>
            </w:r>
            <w:r>
              <w:t>и</w:t>
            </w:r>
            <w:r w:rsidRPr="008415D2">
              <w:rPr>
                <w:lang w:val="en-US"/>
              </w:rPr>
              <w:t xml:space="preserve"> ECE/TRANS/WP.11/2018/13</w:t>
            </w:r>
            <w:r w:rsidR="00BC4863">
              <w:t>.</w:t>
            </w:r>
          </w:p>
        </w:tc>
      </w:tr>
      <w:tr w:rsidR="005600E1" w:rsidRPr="005600E1" w14:paraId="228AE258" w14:textId="77777777" w:rsidTr="00850215">
        <w:trPr>
          <w:jc w:val="center"/>
        </w:trPr>
        <w:tc>
          <w:tcPr>
            <w:tcW w:w="9637" w:type="dxa"/>
            <w:tcBorders>
              <w:top w:val="nil"/>
            </w:tcBorders>
          </w:tcPr>
          <w:p w14:paraId="7F19F9A3" w14:textId="77777777" w:rsidR="005600E1" w:rsidRPr="005600E1" w:rsidRDefault="005600E1" w:rsidP="00850215">
            <w:pPr>
              <w:rPr>
                <w:rFonts w:cs="Times New Roman"/>
              </w:rPr>
            </w:pPr>
          </w:p>
        </w:tc>
      </w:tr>
    </w:tbl>
    <w:p w14:paraId="451A14D2" w14:textId="77777777" w:rsidR="005600E1" w:rsidRPr="008415D2" w:rsidRDefault="005600E1" w:rsidP="005600E1">
      <w:pPr>
        <w:pStyle w:val="HChG"/>
      </w:pPr>
      <w:r w:rsidRPr="008415D2">
        <w:rPr>
          <w:lang w:val="en-US"/>
        </w:rPr>
        <w:lastRenderedPageBreak/>
        <w:tab/>
      </w:r>
      <w:r w:rsidRPr="008415D2">
        <w:rPr>
          <w:lang w:val="en-US"/>
        </w:rPr>
        <w:tab/>
      </w:r>
      <w:r>
        <w:rPr>
          <w:bCs/>
        </w:rPr>
        <w:t>Введение</w:t>
      </w:r>
    </w:p>
    <w:p w14:paraId="149DA7BD" w14:textId="77777777" w:rsidR="005600E1" w:rsidRPr="008729BB" w:rsidRDefault="005600E1" w:rsidP="005600E1">
      <w:pPr>
        <w:pStyle w:val="SingleTxtG"/>
      </w:pPr>
      <w:r>
        <w:t>1.</w:t>
      </w:r>
      <w:r>
        <w:tab/>
        <w:t>На семьдесят первой сессии в 2015 году Соединенное Королевство представило предложение ECE/TRANS/WP.11/2015/1, в соответствии с которым в образец № 12 в добавлении 2 к приложению 1 были включены следующие изменения:</w:t>
      </w:r>
    </w:p>
    <w:p w14:paraId="7F38C344" w14:textId="77777777" w:rsidR="005600E1" w:rsidRPr="003243A6" w:rsidRDefault="005600E1" w:rsidP="005600E1">
      <w:pPr>
        <w:pStyle w:val="SingleTxtG"/>
      </w:pPr>
      <w:r>
        <w:t>«Исходя из приведенных выше результатов испытания, использование настоящего протокола в качестве свидетельства о допущении типа транспортного средства в соответствии с пунктом 6 а) добавления 1 к приложению 1 к СПС возможно только в течение не более шести лет, т. е. до...»</w:t>
      </w:r>
    </w:p>
    <w:p w14:paraId="3FA7FE17" w14:textId="77777777" w:rsidR="005600E1" w:rsidRPr="008415D2" w:rsidRDefault="005600E1" w:rsidP="005600E1">
      <w:pPr>
        <w:pStyle w:val="SingleTxtG"/>
      </w:pPr>
      <w:r>
        <w:t>2.</w:t>
      </w:r>
      <w:r>
        <w:tab/>
        <w:t xml:space="preserve">До вступления в силу этого добавления свидетельства о допущении типа холодильных установок не имели ограничений срока действия при условии, что никакие модификации ранее допущенного типа, имеющие отношение к СПС, не производились. </w:t>
      </w:r>
    </w:p>
    <w:p w14:paraId="2ACB91E5" w14:textId="77777777" w:rsidR="005600E1" w:rsidRPr="008415D2" w:rsidRDefault="005600E1" w:rsidP="005600E1">
      <w:pPr>
        <w:pStyle w:val="SingleTxtG"/>
      </w:pPr>
      <w:r>
        <w:t>3.</w:t>
      </w:r>
      <w:r>
        <w:tab/>
        <w:t>Если никакие модификации холодильной установки, имеющие отношение к СПС, не производились, то повторное испытание холодильной установки ранее допущенного типа дает лишь те результаты, которые были получены в ходе первого испытания, и, как следствие, не позволяет получить каки</w:t>
      </w:r>
      <w:r w:rsidR="00214DC9">
        <w:t>е</w:t>
      </w:r>
      <w:r>
        <w:t>-либо новые данные.</w:t>
      </w:r>
    </w:p>
    <w:p w14:paraId="5EA8DA5A" w14:textId="77777777" w:rsidR="005600E1" w:rsidRPr="008415D2" w:rsidRDefault="005600E1" w:rsidP="005600E1">
      <w:pPr>
        <w:pStyle w:val="SingleTxtG"/>
        <w:rPr>
          <w:rFonts w:cs="Arial"/>
        </w:rPr>
      </w:pPr>
      <w:r>
        <w:t>4.</w:t>
      </w:r>
      <w:r>
        <w:tab/>
        <w:t xml:space="preserve">Для малых и средних изготовителей холодильных установок ограничение срока действия протоколов испытания является серьезным экономическим бременем, поскольку эти изготовители зачастую ориентируются на конкретные потребности своих заказчиков. Как следствие, они предлагают широкий ассортимент изделий, как правило, изготовленных небольшими партиями и существенно отличающихся от изделий серийного производства. </w:t>
      </w:r>
    </w:p>
    <w:p w14:paraId="0ECD9893" w14:textId="77777777" w:rsidR="005600E1" w:rsidRPr="008415D2" w:rsidRDefault="005600E1" w:rsidP="005600E1">
      <w:pPr>
        <w:pStyle w:val="SingleTxtG"/>
        <w:rPr>
          <w:rFonts w:cs="Arial"/>
        </w:rPr>
      </w:pPr>
      <w:r>
        <w:t>5.</w:t>
      </w:r>
      <w:r>
        <w:tab/>
        <w:t xml:space="preserve">После того как изготовитель получает свидетельство о допущении типа, зачастую никакие модификации испытанной холодильной установки, которые имели бы отношение к СПС, не производятся на протяжении многих лет. Расходы на обязательные повторные испытания </w:t>
      </w:r>
      <w:proofErr w:type="spellStart"/>
      <w:r>
        <w:t>немодифицированных</w:t>
      </w:r>
      <w:proofErr w:type="spellEnd"/>
      <w:r>
        <w:t xml:space="preserve"> холодильных установок каждые шесть лет являются чрезмерно высокими, особенно в случае холодильных установок с разными температурными режимами. </w:t>
      </w:r>
    </w:p>
    <w:p w14:paraId="0062E5C5" w14:textId="77777777" w:rsidR="005600E1" w:rsidRPr="008415D2" w:rsidRDefault="005600E1" w:rsidP="005600E1">
      <w:pPr>
        <w:pStyle w:val="SingleTxtG"/>
        <w:rPr>
          <w:rFonts w:cs="Arial"/>
        </w:rPr>
      </w:pPr>
      <w:r>
        <w:t>6.</w:t>
      </w:r>
      <w:r>
        <w:tab/>
        <w:t>Германия отметила, что холодильная установка как таковая не подпадает под определение транспортного средства. По этой причине ссылка в образце № 12 добавления 2 к приложению 1 на пункт 6 a) добавления 1 к приложению 1 вводит в заблуждение. В настоящее время текст СПС не содержит какого-либо положения, которое регламентировало бы это термическое оборудование и которое было бы сопоставимо с пунктом 6 a) добавления 1 к приложению 1. Отсутствие сопоставимого положения, регламентирующего термическое оборудование, объясняется тем фактом, что компоненты транспортной холодильной установки – за исключением изотермических транспортных средств – в принципе легкодоступны. Это позволяет увидеть невооруженным глазом, соответствуют ли компоненты данной транспортной холодильной установки компонентам испытанной установки, указанным в протоколе испытания типа.</w:t>
      </w:r>
    </w:p>
    <w:p w14:paraId="6D156A0A" w14:textId="77777777" w:rsidR="005600E1" w:rsidRPr="008415D2" w:rsidRDefault="005600E1" w:rsidP="005600E1">
      <w:pPr>
        <w:pStyle w:val="HChG"/>
      </w:pPr>
      <w:r>
        <w:tab/>
      </w:r>
      <w:r>
        <w:tab/>
      </w:r>
      <w:r>
        <w:rPr>
          <w:bCs/>
        </w:rPr>
        <w:t>Предлагаемая поправка</w:t>
      </w:r>
    </w:p>
    <w:p w14:paraId="6991F9AB" w14:textId="77777777" w:rsidR="005600E1" w:rsidRPr="00000A84" w:rsidRDefault="005600E1" w:rsidP="005600E1">
      <w:pPr>
        <w:pStyle w:val="SingleTxtG"/>
        <w:spacing w:line="240" w:lineRule="auto"/>
        <w:rPr>
          <w:rFonts w:cs="Arial"/>
        </w:rPr>
      </w:pPr>
      <w:r>
        <w:t>7.</w:t>
      </w:r>
      <w:r>
        <w:tab/>
        <w:t>Включить следующий текст в раздел 6 а) и b) добавления 1 к приложению 1:</w:t>
      </w:r>
    </w:p>
    <w:p w14:paraId="2023FCE6" w14:textId="77777777" w:rsidR="005600E1" w:rsidRPr="008415D2" w:rsidRDefault="005600E1" w:rsidP="005600E1">
      <w:pPr>
        <w:spacing w:after="120" w:line="240" w:lineRule="auto"/>
        <w:ind w:left="1134" w:right="1134"/>
      </w:pPr>
      <w:r>
        <w:t>6.</w:t>
      </w:r>
      <w:r>
        <w:tab/>
        <w:t>a)</w:t>
      </w:r>
    </w:p>
    <w:p w14:paraId="1FA9CCFD" w14:textId="77777777" w:rsidR="005600E1" w:rsidRPr="008415D2" w:rsidRDefault="005600E1" w:rsidP="005600E1">
      <w:pPr>
        <w:pStyle w:val="SingleTxtG"/>
        <w:ind w:left="1701"/>
      </w:pPr>
      <w:r w:rsidRPr="003243A6">
        <w:rPr>
          <w:b/>
          <w:bCs/>
        </w:rPr>
        <w:t>i)</w:t>
      </w:r>
      <w:r>
        <w:tab/>
        <w:t xml:space="preserve">Допущение новых транспортных средств, производимых серийно в соответствии с определенным типом, может осуществляться путем проведения испытаний на </w:t>
      </w:r>
      <w:r>
        <w:rPr>
          <w:strike/>
        </w:rPr>
        <w:t>образце</w:t>
      </w:r>
      <w:r>
        <w:t xml:space="preserve"> </w:t>
      </w:r>
      <w:r>
        <w:rPr>
          <w:b/>
          <w:bCs/>
        </w:rPr>
        <w:t>одном транспортном средстве</w:t>
      </w:r>
      <w:r>
        <w:t xml:space="preserve"> данного типа. Если </w:t>
      </w:r>
      <w:proofErr w:type="spellStart"/>
      <w:r>
        <w:t>подвергнут</w:t>
      </w:r>
      <w:r>
        <w:rPr>
          <w:strike/>
        </w:rPr>
        <w:t>ый</w:t>
      </w:r>
      <w:r>
        <w:rPr>
          <w:b/>
          <w:bCs/>
        </w:rPr>
        <w:t>ое</w:t>
      </w:r>
      <w:proofErr w:type="spellEnd"/>
      <w:r>
        <w:t xml:space="preserve"> такому испытанию </w:t>
      </w:r>
      <w:r>
        <w:rPr>
          <w:strike/>
        </w:rPr>
        <w:t>образец</w:t>
      </w:r>
      <w:r>
        <w:t xml:space="preserve"> </w:t>
      </w:r>
      <w:r>
        <w:rPr>
          <w:b/>
          <w:bCs/>
        </w:rPr>
        <w:t>транспортное средство</w:t>
      </w:r>
      <w:r>
        <w:t xml:space="preserve"> отвечает техническим требованиям для этого класса, то соответствующий протокол испытания рассматривается в качестве свидетельства о допущении данного типа. Срок действия свидетельства </w:t>
      </w:r>
      <w:r>
        <w:rPr>
          <w:b/>
          <w:bCs/>
        </w:rPr>
        <w:t>о допущении типа</w:t>
      </w:r>
      <w:r>
        <w:t xml:space="preserve"> прекращается по истечении шестилетнего периода с момента окончания испытаний.</w:t>
      </w:r>
      <w:bookmarkStart w:id="1" w:name="_Hlk5631360"/>
    </w:p>
    <w:p w14:paraId="5029B9AF" w14:textId="77777777" w:rsidR="005600E1" w:rsidRPr="008415D2" w:rsidRDefault="005600E1" w:rsidP="005600E1">
      <w:pPr>
        <w:spacing w:after="120" w:line="240" w:lineRule="auto"/>
        <w:ind w:left="1701" w:right="1134"/>
      </w:pPr>
      <w:r>
        <w:lastRenderedPageBreak/>
        <w:t>Дата истечения срока действия протоколов испытаний указывается в месяцах и годах.</w:t>
      </w:r>
    </w:p>
    <w:bookmarkEnd w:id="1"/>
    <w:p w14:paraId="6BC55C1E" w14:textId="77777777" w:rsidR="005600E1" w:rsidRPr="008415D2" w:rsidRDefault="005600E1" w:rsidP="005600E1">
      <w:pPr>
        <w:pStyle w:val="SingleTxtG"/>
        <w:ind w:left="1701"/>
        <w:rPr>
          <w:b/>
          <w:bCs/>
        </w:rPr>
      </w:pPr>
      <w:proofErr w:type="spellStart"/>
      <w:r>
        <w:rPr>
          <w:b/>
          <w:bCs/>
        </w:rPr>
        <w:t>ii</w:t>
      </w:r>
      <w:proofErr w:type="spellEnd"/>
      <w:r>
        <w:rPr>
          <w:b/>
          <w:bCs/>
        </w:rPr>
        <w:t>)</w:t>
      </w:r>
      <w:r>
        <w:tab/>
      </w:r>
      <w:r>
        <w:rPr>
          <w:b/>
          <w:bCs/>
        </w:rPr>
        <w:t>Допущение нового термического оборудования, производимого серийно в соответствии с определенным типом, может осуществляться путем проведения испытаний на одном образце термического оборудования данного типа.</w:t>
      </w:r>
      <w:r>
        <w:t xml:space="preserve"> </w:t>
      </w:r>
      <w:r>
        <w:rPr>
          <w:b/>
          <w:bCs/>
        </w:rPr>
        <w:t>Соответствующий протокол испытания рассматривается в качестве свидетельства о допущении данного типа.</w:t>
      </w:r>
      <w:r>
        <w:t xml:space="preserve"> </w:t>
      </w:r>
      <w:r>
        <w:rPr>
          <w:b/>
          <w:bCs/>
        </w:rPr>
        <w:t>Срок действия свидетельства о допущении типа прекращается по истечении шестилетнего периода с момента окончания испытаний.</w:t>
      </w:r>
    </w:p>
    <w:p w14:paraId="0D6BDA2C" w14:textId="77777777" w:rsidR="005600E1" w:rsidRPr="008415D2" w:rsidRDefault="005600E1" w:rsidP="005600E1">
      <w:pPr>
        <w:pStyle w:val="SingleTxtG"/>
        <w:ind w:left="1701"/>
        <w:rPr>
          <w:b/>
          <w:bCs/>
        </w:rPr>
      </w:pPr>
      <w:r>
        <w:rPr>
          <w:b/>
          <w:bCs/>
        </w:rPr>
        <w:t>В том случае, если никакие модификации ранее допущенного типа холодильной установки, имеющие отношение к СПС, не производились, то срок действия ранее выданного протокола испытания соответствующей холодильной установки может быть продлен на три года на основе подтверждения компетентного органа о том, что эта холодильная установка изготовлена в соответствии с ранее допущенным типом.</w:t>
      </w:r>
      <w:r>
        <w:t xml:space="preserve"> </w:t>
      </w:r>
      <w:r>
        <w:rPr>
          <w:b/>
          <w:bCs/>
        </w:rPr>
        <w:t>Это подтверждение должно быть представлено в течение одного месяца по истечении срока действия свидетельства о допущении типа или самой последней проверки.</w:t>
      </w:r>
      <w:r>
        <w:t xml:space="preserve"> </w:t>
      </w:r>
      <w:r>
        <w:rPr>
          <w:b/>
          <w:bCs/>
        </w:rPr>
        <w:t>Подтверждение может выдаваться компетентным органом п</w:t>
      </w:r>
      <w:r w:rsidR="00214DC9">
        <w:rPr>
          <w:b/>
          <w:bCs/>
        </w:rPr>
        <w:t>овторно с интервалом в три года</w:t>
      </w:r>
      <w:r>
        <w:rPr>
          <w:b/>
          <w:bCs/>
        </w:rPr>
        <w:t>.</w:t>
      </w:r>
    </w:p>
    <w:tbl>
      <w:tblPr>
        <w:tblW w:w="0" w:type="auto"/>
        <w:tblInd w:w="1139" w:type="dxa"/>
        <w:tblLayout w:type="fixed"/>
        <w:tblCellMar>
          <w:left w:w="0" w:type="dxa"/>
          <w:right w:w="0" w:type="dxa"/>
        </w:tblCellMar>
        <w:tblLook w:val="04A0" w:firstRow="1" w:lastRow="0" w:firstColumn="1" w:lastColumn="0" w:noHBand="0" w:noVBand="1"/>
      </w:tblPr>
      <w:tblGrid>
        <w:gridCol w:w="567"/>
        <w:gridCol w:w="567"/>
        <w:gridCol w:w="6237"/>
      </w:tblGrid>
      <w:tr w:rsidR="005600E1" w:rsidRPr="009566D2" w14:paraId="0A94E3BD" w14:textId="77777777" w:rsidTr="00D51E64">
        <w:trPr>
          <w:cantSplit/>
        </w:trPr>
        <w:tc>
          <w:tcPr>
            <w:tcW w:w="567" w:type="dxa"/>
            <w:shd w:val="clear" w:color="auto" w:fill="auto"/>
          </w:tcPr>
          <w:p w14:paraId="7D9D736B" w14:textId="77777777" w:rsidR="005600E1" w:rsidRPr="008415D2" w:rsidRDefault="005600E1" w:rsidP="00D51E64">
            <w:pPr>
              <w:tabs>
                <w:tab w:val="left" w:pos="923"/>
              </w:tabs>
              <w:spacing w:line="240" w:lineRule="auto"/>
              <w:jc w:val="both"/>
            </w:pPr>
          </w:p>
        </w:tc>
        <w:tc>
          <w:tcPr>
            <w:tcW w:w="567" w:type="dxa"/>
            <w:shd w:val="clear" w:color="auto" w:fill="auto"/>
          </w:tcPr>
          <w:p w14:paraId="1C61BADF" w14:textId="77777777" w:rsidR="005600E1" w:rsidRPr="00E826DF" w:rsidRDefault="005600E1" w:rsidP="00D51E64">
            <w:pPr>
              <w:tabs>
                <w:tab w:val="left" w:pos="923"/>
              </w:tabs>
              <w:spacing w:line="240" w:lineRule="auto"/>
            </w:pPr>
            <w:r>
              <w:t>b)</w:t>
            </w:r>
          </w:p>
        </w:tc>
        <w:tc>
          <w:tcPr>
            <w:tcW w:w="6237" w:type="dxa"/>
            <w:shd w:val="clear" w:color="auto" w:fill="auto"/>
          </w:tcPr>
          <w:p w14:paraId="6C4ABF2C" w14:textId="77777777" w:rsidR="005600E1" w:rsidRPr="008415D2" w:rsidRDefault="005600E1" w:rsidP="00D51E64">
            <w:pPr>
              <w:pStyle w:val="SingleTxtG"/>
              <w:ind w:left="-2" w:right="0"/>
            </w:pPr>
            <w:r>
              <w:t xml:space="preserve">Компетентный орган принимает меры для проверки соответствия производства </w:t>
            </w:r>
            <w:r>
              <w:rPr>
                <w:strike/>
              </w:rPr>
              <w:t>других транспортных средств</w:t>
            </w:r>
            <w:r>
              <w:t xml:space="preserve"> </w:t>
            </w:r>
            <w:r>
              <w:rPr>
                <w:b/>
                <w:bCs/>
              </w:rPr>
              <w:t xml:space="preserve">всех транспортных средств </w:t>
            </w:r>
            <w:r>
              <w:t xml:space="preserve">допущенному типу. Для этой цели </w:t>
            </w:r>
            <w:r>
              <w:rPr>
                <w:strike/>
              </w:rPr>
              <w:t>он</w:t>
            </w:r>
            <w:r>
              <w:t xml:space="preserve"> </w:t>
            </w:r>
            <w:r>
              <w:rPr>
                <w:b/>
                <w:bCs/>
              </w:rPr>
              <w:t>компетентный орган</w:t>
            </w:r>
            <w:r>
              <w:t xml:space="preserve"> </w:t>
            </w:r>
            <w:r>
              <w:rPr>
                <w:b/>
                <w:bCs/>
              </w:rPr>
              <w:t>страны изготовления</w:t>
            </w:r>
            <w:r>
              <w:t xml:space="preserve"> может производить проверки путем испытания </w:t>
            </w:r>
            <w:r>
              <w:rPr>
                <w:strike/>
              </w:rPr>
              <w:t>образцов</w:t>
            </w:r>
            <w:r>
              <w:t xml:space="preserve"> </w:t>
            </w:r>
            <w:r>
              <w:rPr>
                <w:b/>
                <w:bCs/>
              </w:rPr>
              <w:t>транспортных средств</w:t>
            </w:r>
            <w:r>
              <w:t>, выбранных произвольно из данной производственной серии.</w:t>
            </w:r>
          </w:p>
        </w:tc>
      </w:tr>
    </w:tbl>
    <w:p w14:paraId="0CF17ABE" w14:textId="77777777" w:rsidR="005600E1" w:rsidRPr="003848D7" w:rsidRDefault="005600E1" w:rsidP="005600E1">
      <w:pPr>
        <w:pStyle w:val="HChG"/>
        <w:rPr>
          <w:b w:val="0"/>
        </w:rPr>
      </w:pPr>
      <w:r>
        <w:tab/>
      </w:r>
      <w:r>
        <w:tab/>
        <w:t>Последствия</w:t>
      </w:r>
    </w:p>
    <w:tbl>
      <w:tblPr>
        <w:tblW w:w="0" w:type="auto"/>
        <w:tblInd w:w="1134" w:type="dxa"/>
        <w:tblLayout w:type="fixed"/>
        <w:tblCellMar>
          <w:left w:w="0" w:type="dxa"/>
          <w:right w:w="0" w:type="dxa"/>
        </w:tblCellMar>
        <w:tblLook w:val="01E0" w:firstRow="1" w:lastRow="1" w:firstColumn="1" w:lastColumn="1" w:noHBand="0" w:noVBand="0"/>
      </w:tblPr>
      <w:tblGrid>
        <w:gridCol w:w="2376"/>
        <w:gridCol w:w="5134"/>
      </w:tblGrid>
      <w:tr w:rsidR="005600E1" w:rsidRPr="009566D2" w14:paraId="1EF6FECC" w14:textId="77777777" w:rsidTr="005600E1">
        <w:tc>
          <w:tcPr>
            <w:tcW w:w="2376" w:type="dxa"/>
            <w:shd w:val="clear" w:color="auto" w:fill="auto"/>
          </w:tcPr>
          <w:p w14:paraId="26FE7D87" w14:textId="77777777" w:rsidR="005600E1" w:rsidRPr="00472429" w:rsidRDefault="005600E1" w:rsidP="00D51E64">
            <w:pPr>
              <w:spacing w:after="120"/>
              <w:jc w:val="both"/>
            </w:pPr>
            <w:r>
              <w:t>Затраты:</w:t>
            </w:r>
          </w:p>
        </w:tc>
        <w:tc>
          <w:tcPr>
            <w:tcW w:w="5134" w:type="dxa"/>
            <w:shd w:val="clear" w:color="auto" w:fill="auto"/>
          </w:tcPr>
          <w:p w14:paraId="0C2267DB" w14:textId="77777777" w:rsidR="005600E1" w:rsidRPr="008415D2" w:rsidRDefault="005600E1" w:rsidP="005600E1">
            <w:pPr>
              <w:pStyle w:val="SingleTxtG"/>
              <w:ind w:left="92" w:right="0" w:hanging="576"/>
            </w:pPr>
            <w:r>
              <w:tab/>
              <w:t xml:space="preserve">Расходы на повторные испытания </w:t>
            </w:r>
            <w:proofErr w:type="spellStart"/>
            <w:r>
              <w:t>немодифицированных</w:t>
            </w:r>
            <w:proofErr w:type="spellEnd"/>
            <w:r>
              <w:t xml:space="preserve"> ранее допущенных типов холодильных установок существенно сократятся.</w:t>
            </w:r>
          </w:p>
        </w:tc>
      </w:tr>
      <w:tr w:rsidR="005600E1" w:rsidRPr="00A04806" w14:paraId="29ABABB9" w14:textId="77777777" w:rsidTr="005600E1">
        <w:tc>
          <w:tcPr>
            <w:tcW w:w="2376" w:type="dxa"/>
            <w:shd w:val="clear" w:color="auto" w:fill="auto"/>
          </w:tcPr>
          <w:p w14:paraId="0499A178" w14:textId="77777777" w:rsidR="005600E1" w:rsidRPr="00472429" w:rsidRDefault="005600E1" w:rsidP="00D51E64">
            <w:pPr>
              <w:spacing w:after="120"/>
              <w:jc w:val="both"/>
            </w:pPr>
            <w:r>
              <w:t>Осуществимость:</w:t>
            </w:r>
          </w:p>
        </w:tc>
        <w:tc>
          <w:tcPr>
            <w:tcW w:w="5134" w:type="dxa"/>
            <w:shd w:val="clear" w:color="auto" w:fill="auto"/>
          </w:tcPr>
          <w:p w14:paraId="14D42567" w14:textId="77777777" w:rsidR="005600E1" w:rsidRPr="00472429" w:rsidRDefault="005600E1" w:rsidP="005600E1">
            <w:pPr>
              <w:pStyle w:val="SingleTxtG"/>
              <w:ind w:left="92" w:right="0" w:hanging="576"/>
            </w:pPr>
            <w:r>
              <w:tab/>
              <w:t>Предлагаемая поправка может быть легко реализована в рамках СПС. Переходный период не требуется.</w:t>
            </w:r>
          </w:p>
        </w:tc>
      </w:tr>
      <w:tr w:rsidR="005600E1" w:rsidRPr="00302D36" w14:paraId="6C9CA78D" w14:textId="77777777" w:rsidTr="005600E1">
        <w:trPr>
          <w:trHeight w:val="192"/>
        </w:trPr>
        <w:tc>
          <w:tcPr>
            <w:tcW w:w="2376" w:type="dxa"/>
            <w:shd w:val="clear" w:color="auto" w:fill="auto"/>
          </w:tcPr>
          <w:p w14:paraId="39E7A0BD" w14:textId="77777777" w:rsidR="005600E1" w:rsidRPr="00472429" w:rsidRDefault="005600E1" w:rsidP="00D51E64">
            <w:pPr>
              <w:spacing w:after="120"/>
              <w:jc w:val="both"/>
            </w:pPr>
            <w:r>
              <w:t>Обеспечение применения</w:t>
            </w:r>
            <w:r w:rsidRPr="00472429">
              <w:t>:</w:t>
            </w:r>
          </w:p>
        </w:tc>
        <w:tc>
          <w:tcPr>
            <w:tcW w:w="5134" w:type="dxa"/>
            <w:shd w:val="clear" w:color="auto" w:fill="auto"/>
          </w:tcPr>
          <w:p w14:paraId="060E45E9" w14:textId="77777777" w:rsidR="005600E1" w:rsidRPr="00472429" w:rsidRDefault="005600E1" w:rsidP="005600E1">
            <w:pPr>
              <w:pStyle w:val="SingleTxtG"/>
              <w:ind w:left="92" w:right="0" w:hanging="576"/>
            </w:pPr>
            <w:r>
              <w:tab/>
              <w:t>Никаких проблем не ожидается</w:t>
            </w:r>
            <w:r w:rsidRPr="00472429">
              <w:t>.</w:t>
            </w:r>
          </w:p>
        </w:tc>
      </w:tr>
    </w:tbl>
    <w:p w14:paraId="50D4B6FF" w14:textId="77777777" w:rsidR="00E12C5F" w:rsidRPr="005600E1" w:rsidRDefault="005600E1" w:rsidP="005600E1">
      <w:pPr>
        <w:spacing w:before="240"/>
        <w:jc w:val="center"/>
        <w:rPr>
          <w:u w:val="single"/>
        </w:rPr>
      </w:pPr>
      <w:r>
        <w:rPr>
          <w:u w:val="single"/>
        </w:rPr>
        <w:tab/>
      </w:r>
      <w:r>
        <w:rPr>
          <w:u w:val="single"/>
        </w:rPr>
        <w:tab/>
      </w:r>
      <w:r>
        <w:rPr>
          <w:u w:val="single"/>
        </w:rPr>
        <w:tab/>
      </w:r>
    </w:p>
    <w:sectPr w:rsidR="00E12C5F" w:rsidRPr="005600E1" w:rsidSect="005600E1">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E9DCA" w14:textId="77777777" w:rsidR="006209EA" w:rsidRPr="00A312BC" w:rsidRDefault="006209EA" w:rsidP="00A312BC"/>
  </w:endnote>
  <w:endnote w:type="continuationSeparator" w:id="0">
    <w:p w14:paraId="5C28820D" w14:textId="77777777" w:rsidR="006209EA" w:rsidRPr="00A312BC" w:rsidRDefault="006209E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65EBB" w14:textId="77777777" w:rsidR="005600E1" w:rsidRPr="005600E1" w:rsidRDefault="005600E1">
    <w:pPr>
      <w:pStyle w:val="Footer"/>
    </w:pPr>
    <w:r w:rsidRPr="005600E1">
      <w:rPr>
        <w:b/>
        <w:sz w:val="18"/>
      </w:rPr>
      <w:fldChar w:fldCharType="begin"/>
    </w:r>
    <w:r w:rsidRPr="005600E1">
      <w:rPr>
        <w:b/>
        <w:sz w:val="18"/>
      </w:rPr>
      <w:instrText xml:space="preserve"> PAGE  \* MERGEFORMAT </w:instrText>
    </w:r>
    <w:r w:rsidRPr="005600E1">
      <w:rPr>
        <w:b/>
        <w:sz w:val="18"/>
      </w:rPr>
      <w:fldChar w:fldCharType="separate"/>
    </w:r>
    <w:r w:rsidR="00922259">
      <w:rPr>
        <w:b/>
        <w:noProof/>
        <w:sz w:val="18"/>
      </w:rPr>
      <w:t>2</w:t>
    </w:r>
    <w:r w:rsidRPr="005600E1">
      <w:rPr>
        <w:b/>
        <w:sz w:val="18"/>
      </w:rPr>
      <w:fldChar w:fldCharType="end"/>
    </w:r>
    <w:r>
      <w:rPr>
        <w:b/>
        <w:sz w:val="18"/>
      </w:rPr>
      <w:tab/>
    </w:r>
    <w:r>
      <w:t>GE.19-12559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0E6DC" w14:textId="77777777" w:rsidR="005600E1" w:rsidRPr="005600E1" w:rsidRDefault="005600E1" w:rsidP="005600E1">
    <w:pPr>
      <w:pStyle w:val="Footer"/>
      <w:tabs>
        <w:tab w:val="clear" w:pos="9639"/>
        <w:tab w:val="right" w:pos="9638"/>
      </w:tabs>
      <w:rPr>
        <w:b/>
        <w:sz w:val="18"/>
      </w:rPr>
    </w:pPr>
    <w:r>
      <w:t>GE.19-12559</w:t>
    </w:r>
    <w:r>
      <w:tab/>
    </w:r>
    <w:r w:rsidRPr="005600E1">
      <w:rPr>
        <w:b/>
        <w:sz w:val="18"/>
      </w:rPr>
      <w:fldChar w:fldCharType="begin"/>
    </w:r>
    <w:r w:rsidRPr="005600E1">
      <w:rPr>
        <w:b/>
        <w:sz w:val="18"/>
      </w:rPr>
      <w:instrText xml:space="preserve"> PAGE  \* MERGEFORMAT </w:instrText>
    </w:r>
    <w:r w:rsidRPr="005600E1">
      <w:rPr>
        <w:b/>
        <w:sz w:val="18"/>
      </w:rPr>
      <w:fldChar w:fldCharType="separate"/>
    </w:r>
    <w:r w:rsidR="00922259">
      <w:rPr>
        <w:b/>
        <w:noProof/>
        <w:sz w:val="18"/>
      </w:rPr>
      <w:t>3</w:t>
    </w:r>
    <w:r w:rsidRPr="005600E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9A022" w14:textId="77777777" w:rsidR="00042B72" w:rsidRPr="005600E1" w:rsidRDefault="005600E1" w:rsidP="005600E1">
    <w:pPr>
      <w:spacing w:before="120" w:line="240" w:lineRule="auto"/>
    </w:pPr>
    <w:r>
      <w:t>GE.</w:t>
    </w:r>
    <w:r w:rsidR="00DF71B9">
      <w:rPr>
        <w:b/>
        <w:noProof/>
        <w:lang w:eastAsia="ru-RU"/>
      </w:rPr>
      <w:drawing>
        <wp:anchor distT="0" distB="0" distL="114300" distR="114300" simplePos="0" relativeHeight="251658240" behindDoc="0" locked="0" layoutInCell="1" allowOverlap="1" wp14:anchorId="4B38ACB5" wp14:editId="584677C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12559  (</w:t>
    </w:r>
    <w:proofErr w:type="gramEnd"/>
    <w:r>
      <w:t>R)</w:t>
    </w:r>
    <w:r>
      <w:rPr>
        <w:lang w:val="en-US"/>
      </w:rPr>
      <w:t xml:space="preserve">  310719  050819</w:t>
    </w:r>
    <w:r>
      <w:br/>
    </w:r>
    <w:r w:rsidRPr="005600E1">
      <w:rPr>
        <w:rFonts w:ascii="C39T30Lfz" w:hAnsi="C39T30Lfz"/>
        <w:kern w:val="14"/>
        <w:sz w:val="56"/>
      </w:rPr>
      <w:t></w:t>
    </w:r>
    <w:r w:rsidRPr="005600E1">
      <w:rPr>
        <w:rFonts w:ascii="C39T30Lfz" w:hAnsi="C39T30Lfz"/>
        <w:kern w:val="14"/>
        <w:sz w:val="56"/>
      </w:rPr>
      <w:t></w:t>
    </w:r>
    <w:r w:rsidRPr="005600E1">
      <w:rPr>
        <w:rFonts w:ascii="C39T30Lfz" w:hAnsi="C39T30Lfz"/>
        <w:kern w:val="14"/>
        <w:sz w:val="56"/>
      </w:rPr>
      <w:t></w:t>
    </w:r>
    <w:r w:rsidRPr="005600E1">
      <w:rPr>
        <w:rFonts w:ascii="C39T30Lfz" w:hAnsi="C39T30Lfz"/>
        <w:kern w:val="14"/>
        <w:sz w:val="56"/>
      </w:rPr>
      <w:t></w:t>
    </w:r>
    <w:r w:rsidRPr="005600E1">
      <w:rPr>
        <w:rFonts w:ascii="C39T30Lfz" w:hAnsi="C39T30Lfz"/>
        <w:kern w:val="14"/>
        <w:sz w:val="56"/>
      </w:rPr>
      <w:t></w:t>
    </w:r>
    <w:r w:rsidRPr="005600E1">
      <w:rPr>
        <w:rFonts w:ascii="C39T30Lfz" w:hAnsi="C39T30Lfz"/>
        <w:kern w:val="14"/>
        <w:sz w:val="56"/>
      </w:rPr>
      <w:t></w:t>
    </w:r>
    <w:r w:rsidRPr="005600E1">
      <w:rPr>
        <w:rFonts w:ascii="C39T30Lfz" w:hAnsi="C39T30Lfz"/>
        <w:kern w:val="14"/>
        <w:sz w:val="56"/>
      </w:rPr>
      <w:t></w:t>
    </w:r>
    <w:r w:rsidRPr="005600E1">
      <w:rPr>
        <w:rFonts w:ascii="C39T30Lfz" w:hAnsi="C39T30Lfz"/>
        <w:kern w:val="14"/>
        <w:sz w:val="56"/>
      </w:rPr>
      <w:t></w:t>
    </w:r>
    <w:r w:rsidRPr="005600E1">
      <w:rPr>
        <w:rFonts w:ascii="C39T30Lfz" w:hAnsi="C39T30Lfz"/>
        <w:kern w:val="14"/>
        <w:sz w:val="56"/>
      </w:rPr>
      <w:t></w:t>
    </w:r>
    <w:r>
      <w:rPr>
        <w:noProof/>
        <w:lang w:eastAsia="ru-RU"/>
      </w:rPr>
      <w:drawing>
        <wp:anchor distT="0" distB="0" distL="114300" distR="114300" simplePos="0" relativeHeight="251659264" behindDoc="0" locked="0" layoutInCell="1" allowOverlap="1" wp14:anchorId="226D7624" wp14:editId="5C5A180C">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1/2019/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9/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631A2" w14:textId="77777777" w:rsidR="006209EA" w:rsidRPr="001075E9" w:rsidRDefault="006209EA" w:rsidP="001075E9">
      <w:pPr>
        <w:tabs>
          <w:tab w:val="right" w:pos="2155"/>
        </w:tabs>
        <w:spacing w:after="80" w:line="240" w:lineRule="auto"/>
        <w:ind w:left="680"/>
        <w:rPr>
          <w:u w:val="single"/>
        </w:rPr>
      </w:pPr>
      <w:r>
        <w:rPr>
          <w:u w:val="single"/>
        </w:rPr>
        <w:tab/>
      </w:r>
    </w:p>
  </w:footnote>
  <w:footnote w:type="continuationSeparator" w:id="0">
    <w:p w14:paraId="3BF55A0B" w14:textId="77777777" w:rsidR="006209EA" w:rsidRDefault="006209EA"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4C8A" w14:textId="5E39E36F" w:rsidR="005600E1" w:rsidRPr="005600E1" w:rsidRDefault="00922259">
    <w:pPr>
      <w:pStyle w:val="Header"/>
    </w:pPr>
    <w:fldSimple w:instr=" TITLE  \* MERGEFORMAT ">
      <w:r w:rsidR="00C771F0">
        <w:t>ECE/TRANS/WP.11/2019/4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36A41" w14:textId="69D108B6" w:rsidR="005600E1" w:rsidRPr="005600E1" w:rsidRDefault="00922259" w:rsidP="005600E1">
    <w:pPr>
      <w:pStyle w:val="Header"/>
      <w:jc w:val="right"/>
    </w:pPr>
    <w:fldSimple w:instr=" TITLE  \* MERGEFORMAT ">
      <w:r w:rsidR="00C771F0">
        <w:t>ECE/TRANS/WP.11/2019/4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EA"/>
    <w:rsid w:val="00033EE1"/>
    <w:rsid w:val="00042B72"/>
    <w:rsid w:val="000558BD"/>
    <w:rsid w:val="000B57E7"/>
    <w:rsid w:val="000B6373"/>
    <w:rsid w:val="000C5A49"/>
    <w:rsid w:val="000E4E5B"/>
    <w:rsid w:val="000F09DF"/>
    <w:rsid w:val="000F61B2"/>
    <w:rsid w:val="001075E9"/>
    <w:rsid w:val="0014152F"/>
    <w:rsid w:val="00180183"/>
    <w:rsid w:val="0018024D"/>
    <w:rsid w:val="0018649F"/>
    <w:rsid w:val="00196389"/>
    <w:rsid w:val="001B3EF6"/>
    <w:rsid w:val="001C7A89"/>
    <w:rsid w:val="00214DC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75C23"/>
    <w:rsid w:val="004E05B7"/>
    <w:rsid w:val="0050108D"/>
    <w:rsid w:val="00513081"/>
    <w:rsid w:val="00517901"/>
    <w:rsid w:val="00526683"/>
    <w:rsid w:val="005600E1"/>
    <w:rsid w:val="005639C1"/>
    <w:rsid w:val="005709E0"/>
    <w:rsid w:val="00572E19"/>
    <w:rsid w:val="005961C8"/>
    <w:rsid w:val="005966F1"/>
    <w:rsid w:val="005D7914"/>
    <w:rsid w:val="005E2B41"/>
    <w:rsid w:val="005F0B42"/>
    <w:rsid w:val="00617A43"/>
    <w:rsid w:val="006209EA"/>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22259"/>
    <w:rsid w:val="00934A32"/>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C4863"/>
    <w:rsid w:val="00BD33EE"/>
    <w:rsid w:val="00BE1CC7"/>
    <w:rsid w:val="00C106D6"/>
    <w:rsid w:val="00C119AE"/>
    <w:rsid w:val="00C60F0C"/>
    <w:rsid w:val="00C71E84"/>
    <w:rsid w:val="00C771F0"/>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25C62"/>
    <w:rsid w:val="00F43903"/>
    <w:rsid w:val="00F94155"/>
    <w:rsid w:val="00F9783F"/>
    <w:rsid w:val="00FD1242"/>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2DD7F"/>
  <w15:docId w15:val="{14E346D5-121C-42EC-AE59-32BA09F7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ChGChar">
    <w:name w:val="_ H _Ch_G Char"/>
    <w:link w:val="HChG"/>
    <w:rsid w:val="005600E1"/>
    <w:rPr>
      <w:b/>
      <w:sz w:val="28"/>
      <w:lang w:val="ru-RU" w:eastAsia="ru-RU"/>
    </w:rPr>
  </w:style>
  <w:style w:type="character" w:customStyle="1" w:styleId="SingleTxtGChar">
    <w:name w:val="_ Single Txt_G Char"/>
    <w:link w:val="SingleTxtG"/>
    <w:rsid w:val="005600E1"/>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5594</Characters>
  <Application>Microsoft Office Word</Application>
  <DocSecurity>0</DocSecurity>
  <Lines>46</Lines>
  <Paragraphs>13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ECE/TRANS/WP.11/2019/4</vt:lpstr>
      <vt:lpstr>ECE/TRANS/WP.11/2019/4</vt:lpstr>
      <vt:lpstr>A/</vt:lpstr>
    </vt:vector>
  </TitlesOfParts>
  <Company>DCM</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ECE/TRANS/WP.11/2019/4</dc:title>
  <dc:subject/>
  <dc:creator>Tatiana SHARKINA</dc:creator>
  <cp:keywords/>
  <cp:lastModifiedBy>Marie-Claude Collet</cp:lastModifiedBy>
  <cp:revision>3</cp:revision>
  <cp:lastPrinted>2019-08-27T05:37:00Z</cp:lastPrinted>
  <dcterms:created xsi:type="dcterms:W3CDTF">2019-08-27T05:37:00Z</dcterms:created>
  <dcterms:modified xsi:type="dcterms:W3CDTF">2019-08-27T05:37:00Z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