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0C8BF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767B73" w14:textId="77777777" w:rsidR="002D5AAC" w:rsidRDefault="002D5AAC" w:rsidP="00563A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6AC1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817904" w14:textId="77777777" w:rsidR="002D5AAC" w:rsidRDefault="00563AFB" w:rsidP="00563AFB">
            <w:pPr>
              <w:jc w:val="right"/>
            </w:pPr>
            <w:r w:rsidRPr="00563AFB">
              <w:rPr>
                <w:sz w:val="40"/>
              </w:rPr>
              <w:t>ECE</w:t>
            </w:r>
            <w:r>
              <w:t>/TRANS/WP.11/2019/3</w:t>
            </w:r>
          </w:p>
        </w:tc>
      </w:tr>
      <w:tr w:rsidR="002D5AAC" w14:paraId="1BC967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6219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9C1C73" wp14:editId="45FC5EE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73B2B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9BFD94" w14:textId="77777777" w:rsidR="002D5AAC" w:rsidRDefault="00563A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5C1493" w14:textId="77777777" w:rsidR="00563AFB" w:rsidRDefault="005D5754" w:rsidP="00563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563AFB">
              <w:rPr>
                <w:lang w:val="en-US"/>
              </w:rPr>
              <w:t xml:space="preserve"> July 2019</w:t>
            </w:r>
          </w:p>
          <w:p w14:paraId="2C8DFDE8" w14:textId="77777777" w:rsidR="00563AFB" w:rsidRDefault="00563AFB" w:rsidP="00563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527117" w14:textId="77777777" w:rsidR="00563AFB" w:rsidRPr="008D53B6" w:rsidRDefault="00563AFB" w:rsidP="00563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A5EB5D" w14:textId="77777777" w:rsidR="00563AF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42FB98" w14:textId="77777777" w:rsidR="00563AFB" w:rsidRPr="00563AFB" w:rsidRDefault="00563AFB" w:rsidP="00563AFB">
      <w:pPr>
        <w:spacing w:before="120"/>
        <w:rPr>
          <w:sz w:val="28"/>
          <w:szCs w:val="28"/>
        </w:rPr>
      </w:pPr>
      <w:r w:rsidRPr="00563AFB">
        <w:rPr>
          <w:sz w:val="28"/>
          <w:szCs w:val="28"/>
        </w:rPr>
        <w:t>Комитет по внутреннему транспорту</w:t>
      </w:r>
    </w:p>
    <w:p w14:paraId="14BAC186" w14:textId="77777777" w:rsidR="00563AFB" w:rsidRPr="00563AFB" w:rsidRDefault="00563AFB" w:rsidP="00563AFB">
      <w:pPr>
        <w:spacing w:before="120"/>
        <w:rPr>
          <w:b/>
          <w:sz w:val="24"/>
          <w:szCs w:val="24"/>
        </w:rPr>
      </w:pPr>
      <w:r w:rsidRPr="00563AFB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563AFB">
        <w:rPr>
          <w:b/>
          <w:bCs/>
          <w:sz w:val="24"/>
          <w:szCs w:val="24"/>
        </w:rPr>
        <w:t>пищевых продуктов</w:t>
      </w:r>
    </w:p>
    <w:p w14:paraId="5B9EFA35" w14:textId="77777777" w:rsidR="00563AFB" w:rsidRPr="00E87123" w:rsidRDefault="00563AFB" w:rsidP="00563AFB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7CF1BCDC" w14:textId="77777777" w:rsidR="00563AFB" w:rsidRPr="00E87123" w:rsidRDefault="00563AFB" w:rsidP="00563AFB">
      <w:r>
        <w:t>Женева, 8–11 октября 2019 года</w:t>
      </w:r>
    </w:p>
    <w:p w14:paraId="60E73C8E" w14:textId="77777777" w:rsidR="00563AFB" w:rsidRPr="00E87123" w:rsidRDefault="00563AFB" w:rsidP="00563AFB">
      <w:r>
        <w:t>Пункт 5 b) предварительной повестки дня</w:t>
      </w:r>
    </w:p>
    <w:p w14:paraId="220AFE83" w14:textId="77777777" w:rsidR="00563AFB" w:rsidRPr="00E87123" w:rsidRDefault="00563AFB" w:rsidP="00563AFB">
      <w:pPr>
        <w:spacing w:line="276" w:lineRule="auto"/>
        <w:rPr>
          <w:b/>
          <w:bCs/>
        </w:rPr>
      </w:pPr>
      <w:r>
        <w:rPr>
          <w:b/>
          <w:bCs/>
        </w:rPr>
        <w:t xml:space="preserve">Предложения по поправкам к СПС: </w:t>
      </w:r>
      <w:r>
        <w:rPr>
          <w:b/>
          <w:bCs/>
        </w:rPr>
        <w:br/>
        <w:t>новые предложения</w:t>
      </w:r>
      <w:r>
        <w:t xml:space="preserve"> </w:t>
      </w:r>
    </w:p>
    <w:p w14:paraId="1AD2A2C9" w14:textId="77777777" w:rsidR="00563AFB" w:rsidRPr="00F2528F" w:rsidRDefault="00563AFB" w:rsidP="00563AFB">
      <w:pPr>
        <w:pStyle w:val="HChG"/>
      </w:pPr>
      <w:r>
        <w:tab/>
      </w:r>
      <w:r>
        <w:tab/>
      </w:r>
      <w:r w:rsidRPr="00563AFB">
        <w:t>Предложение</w:t>
      </w:r>
      <w:r>
        <w:t xml:space="preserve"> о внесении поправки в раздел 6 добавления</w:t>
      </w:r>
      <w:r w:rsidR="005D5754">
        <w:t> </w:t>
      </w:r>
      <w:r>
        <w:t>1 к приложению 1: согласование формулировок</w:t>
      </w:r>
    </w:p>
    <w:p w14:paraId="1DBBBF88" w14:textId="77777777" w:rsidR="00563AFB" w:rsidRPr="00DE2745" w:rsidRDefault="00563AFB" w:rsidP="00563AFB">
      <w:pPr>
        <w:pStyle w:val="H1G"/>
      </w:pPr>
      <w:r>
        <w:tab/>
      </w:r>
      <w:r>
        <w:tab/>
        <w:t xml:space="preserve">Передано </w:t>
      </w:r>
      <w:r w:rsidRPr="00563AFB">
        <w:t>правительством</w:t>
      </w:r>
      <w:r>
        <w:t xml:space="preserve">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41974" w:rsidRPr="00712BA0" w14:paraId="5426CFD1" w14:textId="77777777" w:rsidTr="00241974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6AF74F6" w14:textId="77777777" w:rsidR="00241974" w:rsidRPr="00712BA0" w:rsidRDefault="00241974" w:rsidP="002F191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12BA0">
              <w:rPr>
                <w:rFonts w:cs="Times New Roman"/>
              </w:rPr>
              <w:tab/>
            </w:r>
            <w:r w:rsidRPr="00712BA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41974" w:rsidRPr="00712BA0" w14:paraId="7FE297BF" w14:textId="77777777" w:rsidTr="00241974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FFF6595" w14:textId="77777777" w:rsidR="00241974" w:rsidRDefault="00241974" w:rsidP="002F1910">
            <w:pPr>
              <w:pStyle w:val="SingleTxtG"/>
            </w:pPr>
            <w:r w:rsidRPr="00375F10"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 xml:space="preserve">В Соглашении СПС для описания термического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оборудования, такого как холодильные установки,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обогревательные установки и т. д., во избежание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неправильных толкований следует использовать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термин «установка».</w:t>
            </w:r>
          </w:p>
          <w:p w14:paraId="33E8EB1B" w14:textId="77777777" w:rsidR="00241974" w:rsidRPr="00712BA0" w:rsidRDefault="00241974" w:rsidP="002F1910">
            <w:pPr>
              <w:pStyle w:val="SingleTxtG"/>
              <w:rPr>
                <w:b/>
                <w:bCs/>
                <w:lang w:val="en-US"/>
              </w:rPr>
            </w:pPr>
            <w:r w:rsidRPr="00375F10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 xml:space="preserve">Внесение поправок в раздел 6 добавления 1 к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приложению 1</w:t>
            </w:r>
            <w:r>
              <w:rPr>
                <w:lang w:val="en-US"/>
              </w:rPr>
              <w:t>.</w:t>
            </w:r>
          </w:p>
          <w:p w14:paraId="09904CE5" w14:textId="77777777" w:rsidR="00241974" w:rsidRPr="00712BA0" w:rsidRDefault="00241974" w:rsidP="002F1910">
            <w:pPr>
              <w:pStyle w:val="SingleTxtG"/>
            </w:pPr>
            <w:r w:rsidRPr="00375F10">
              <w:rPr>
                <w:b/>
                <w:bCs/>
              </w:rPr>
              <w:t>Справочные документы:</w:t>
            </w:r>
            <w:r w:rsidR="005D5754">
              <w:rPr>
                <w:b/>
                <w:bCs/>
              </w:rPr>
              <w:tab/>
              <w:t>–</w:t>
            </w:r>
          </w:p>
        </w:tc>
      </w:tr>
      <w:tr w:rsidR="00241974" w:rsidRPr="00712BA0" w14:paraId="033CB93A" w14:textId="77777777" w:rsidTr="00241974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2E4812F" w14:textId="77777777" w:rsidR="00241974" w:rsidRPr="00712BA0" w:rsidRDefault="00241974" w:rsidP="002F1910">
            <w:pPr>
              <w:rPr>
                <w:rFonts w:cs="Times New Roman"/>
              </w:rPr>
            </w:pPr>
          </w:p>
        </w:tc>
      </w:tr>
    </w:tbl>
    <w:p w14:paraId="4B9A8EAE" w14:textId="77777777" w:rsidR="00563AFB" w:rsidRPr="002623B8" w:rsidRDefault="00563AFB" w:rsidP="00563AF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360944A" w14:textId="77777777" w:rsidR="00563AFB" w:rsidRPr="00E87123" w:rsidRDefault="00563AFB" w:rsidP="00563AFB">
      <w:pPr>
        <w:pStyle w:val="SingleTxtG"/>
      </w:pPr>
      <w:r>
        <w:t>1.</w:t>
      </w:r>
      <w:r>
        <w:tab/>
        <w:t xml:space="preserve">В Соглашении СПС для описания термического оборудования, такого как холодильные установки, обогревательные установки и т. д., следует использовать термин </w:t>
      </w:r>
      <w:r w:rsidR="00241974">
        <w:t>«</w:t>
      </w:r>
      <w:r>
        <w:t>установка</w:t>
      </w:r>
      <w:r w:rsidR="00241974">
        <w:t>»</w:t>
      </w:r>
      <w:r>
        <w:t>.</w:t>
      </w:r>
    </w:p>
    <w:p w14:paraId="2B2594A7" w14:textId="77777777" w:rsidR="00563AFB" w:rsidRPr="00E87123" w:rsidRDefault="00563AFB" w:rsidP="00563AFB">
      <w:pPr>
        <w:pStyle w:val="SingleTxtG"/>
      </w:pPr>
      <w:r>
        <w:t>2.</w:t>
      </w:r>
      <w:r>
        <w:tab/>
        <w:t xml:space="preserve">Однако в разделе 6 добавления 1 к приложению 1 термин </w:t>
      </w:r>
      <w:r w:rsidR="00241974">
        <w:t>«</w:t>
      </w:r>
      <w:r>
        <w:t>образец</w:t>
      </w:r>
      <w:r w:rsidR="00241974">
        <w:t>»</w:t>
      </w:r>
      <w:r>
        <w:t xml:space="preserve"> используется как синоним термина </w:t>
      </w:r>
      <w:r w:rsidR="00241974">
        <w:t>«</w:t>
      </w:r>
      <w:r>
        <w:t>изотермическое транспортное средство</w:t>
      </w:r>
      <w:r w:rsidR="00241974">
        <w:t>»</w:t>
      </w:r>
      <w:r>
        <w:t xml:space="preserve">. Поэтому во избежание неправильного толкования термин </w:t>
      </w:r>
      <w:r w:rsidR="00241974">
        <w:t>«</w:t>
      </w:r>
      <w:r>
        <w:t>образец</w:t>
      </w:r>
      <w:r w:rsidR="00241974">
        <w:t>»</w:t>
      </w:r>
      <w:r>
        <w:t xml:space="preserve"> следует заменить термином </w:t>
      </w:r>
      <w:r w:rsidR="00241974">
        <w:t>«</w:t>
      </w:r>
      <w:r>
        <w:t>изотермическое транспортное средство</w:t>
      </w:r>
      <w:r w:rsidR="00241974">
        <w:t>»</w:t>
      </w:r>
      <w:r>
        <w:t>.</w:t>
      </w:r>
    </w:p>
    <w:p w14:paraId="5BC4A63B" w14:textId="77777777" w:rsidR="00563AFB" w:rsidRPr="00DF11CB" w:rsidRDefault="00563AFB" w:rsidP="0096566C">
      <w:pPr>
        <w:pStyle w:val="HChG"/>
      </w:pPr>
      <w:r w:rsidRPr="00DF11CB">
        <w:lastRenderedPageBreak/>
        <w:tab/>
      </w:r>
      <w:r w:rsidRPr="00DF11CB">
        <w:tab/>
      </w:r>
      <w:r w:rsidRPr="0096566C">
        <w:t>Предлагаемая</w:t>
      </w:r>
      <w:r w:rsidRPr="00DF11CB">
        <w:t xml:space="preserve"> поправка</w:t>
      </w:r>
    </w:p>
    <w:p w14:paraId="2229FDED" w14:textId="77777777" w:rsidR="00563AFB" w:rsidRPr="00DF11CB" w:rsidRDefault="00563AFB" w:rsidP="00DF11CB">
      <w:pPr>
        <w:pStyle w:val="SingleTxtG"/>
      </w:pPr>
      <w:r w:rsidRPr="00DF11CB">
        <w:t>3.</w:t>
      </w:r>
      <w:r w:rsidRPr="00DF11CB">
        <w:tab/>
        <w:t xml:space="preserve">В разделе 6 добавления 1 к приложению 1 заменить термин </w:t>
      </w:r>
      <w:r w:rsidR="00241974" w:rsidRPr="00DF11CB">
        <w:t>«</w:t>
      </w:r>
      <w:r w:rsidRPr="00DF11CB">
        <w:t>образец</w:t>
      </w:r>
      <w:r w:rsidR="00241974" w:rsidRPr="00DF11CB">
        <w:t>»</w:t>
      </w:r>
      <w:r w:rsidRPr="00DF11CB">
        <w:t xml:space="preserve"> термином </w:t>
      </w:r>
      <w:r w:rsidR="00241974" w:rsidRPr="00DF11CB">
        <w:t>«</w:t>
      </w:r>
      <w:r w:rsidRPr="00DF11CB">
        <w:t>транспортное средство</w:t>
      </w:r>
      <w:r w:rsidR="00241974" w:rsidRPr="00DF11CB">
        <w:t>»</w:t>
      </w:r>
      <w:r w:rsidRPr="00DF11CB">
        <w:t>:</w:t>
      </w:r>
    </w:p>
    <w:p w14:paraId="3FFF346E" w14:textId="77777777" w:rsidR="00563AFB" w:rsidRPr="00DF11CB" w:rsidRDefault="00563AFB" w:rsidP="00DF11CB">
      <w:pPr>
        <w:pStyle w:val="SingleTxtG"/>
      </w:pPr>
      <w:r w:rsidRPr="00DF11CB">
        <w:t>6.</w:t>
      </w:r>
      <w:r w:rsidRPr="00DF11CB">
        <w:tab/>
        <w:t>а)</w:t>
      </w:r>
      <w:r w:rsidRPr="00DF11CB">
        <w:tab/>
        <w:t xml:space="preserve">Допущение новых транспортных средств, производимых серийно в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соответствии с определенным типом, может осуществляться путем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проведения испытаний на </w:t>
      </w:r>
      <w:r w:rsidRPr="00DF11CB">
        <w:rPr>
          <w:strike/>
        </w:rPr>
        <w:t>образце</w:t>
      </w:r>
      <w:r w:rsidRPr="00DF11CB">
        <w:t xml:space="preserve"> </w:t>
      </w:r>
      <w:r w:rsidRPr="00DF11CB">
        <w:rPr>
          <w:b/>
          <w:bCs/>
        </w:rPr>
        <w:t xml:space="preserve">изотермическом транспортном </w:t>
      </w:r>
      <w:r w:rsidR="00012CCA" w:rsidRPr="00DF11CB">
        <w:rPr>
          <w:b/>
          <w:bCs/>
        </w:rPr>
        <w:br/>
      </w:r>
      <w:r w:rsidR="00012CCA" w:rsidRPr="00DF11CB">
        <w:rPr>
          <w:b/>
          <w:bCs/>
        </w:rPr>
        <w:tab/>
      </w:r>
      <w:r w:rsidR="00012CCA" w:rsidRPr="00DF11CB">
        <w:rPr>
          <w:b/>
          <w:bCs/>
        </w:rPr>
        <w:tab/>
      </w:r>
      <w:r w:rsidR="00012CCA" w:rsidRPr="00DF11CB">
        <w:rPr>
          <w:b/>
          <w:bCs/>
        </w:rPr>
        <w:tab/>
      </w:r>
      <w:r w:rsidRPr="00DF11CB">
        <w:rPr>
          <w:b/>
          <w:bCs/>
        </w:rPr>
        <w:t xml:space="preserve">средстве </w:t>
      </w:r>
      <w:r w:rsidRPr="00DF11CB">
        <w:t xml:space="preserve">данного типа. Если подвергнутое такому испытанию </w:t>
      </w:r>
      <w:r w:rsidRPr="00DF11CB">
        <w:rPr>
          <w:strike/>
        </w:rPr>
        <w:t>образец</w:t>
      </w:r>
      <w:r w:rsidRPr="00DF11CB">
        <w:t xml:space="preserve">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rPr>
          <w:b/>
          <w:bCs/>
        </w:rPr>
        <w:t xml:space="preserve">изотермическое транспортное средство </w:t>
      </w:r>
      <w:r w:rsidRPr="00DF11CB">
        <w:t xml:space="preserve">отвечает техническим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требованиям для этого класса, то соответствующий протокол испытания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рассматривается в качестве свидетельства о допущении данного типа.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Срок действия свидетельства прекращается по истечении шестилетнего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>периода с момента окончания испытания.</w:t>
      </w:r>
    </w:p>
    <w:p w14:paraId="3C8B36CE" w14:textId="77777777" w:rsidR="00563AFB" w:rsidRPr="00DF11CB" w:rsidRDefault="00563AFB" w:rsidP="00DF11CB">
      <w:pPr>
        <w:pStyle w:val="SingleTxtG"/>
      </w:pPr>
      <w:r w:rsidRPr="00DF11CB">
        <w:tab/>
      </w:r>
      <w:r w:rsidR="00012CCA" w:rsidRPr="00DF11CB">
        <w:tab/>
      </w:r>
      <w:r w:rsidR="00012CCA" w:rsidRPr="00DF11CB">
        <w:tab/>
      </w:r>
      <w:r w:rsidRPr="00DF11CB">
        <w:t xml:space="preserve">Дата истечения срока действия протоколов испытаний указывается в </w:t>
      </w:r>
      <w:r w:rsidR="00012CCA" w:rsidRPr="00DF11CB">
        <w:br/>
      </w:r>
      <w:r w:rsidR="00012CCA" w:rsidRPr="00DF11CB">
        <w:tab/>
      </w:r>
      <w:r w:rsidR="00012CCA" w:rsidRPr="00DF11CB">
        <w:tab/>
      </w:r>
      <w:r w:rsidR="00012CCA" w:rsidRPr="00DF11CB">
        <w:tab/>
      </w:r>
      <w:r w:rsidRPr="00DF11CB">
        <w:t>месяцах и годах.</w:t>
      </w:r>
    </w:p>
    <w:p w14:paraId="43C24451" w14:textId="77777777" w:rsidR="00563AFB" w:rsidRPr="00DF11CB" w:rsidRDefault="00563AFB" w:rsidP="00DF11CB">
      <w:pPr>
        <w:pStyle w:val="SingleTxtG"/>
        <w:ind w:left="2261" w:right="1138" w:hanging="562"/>
      </w:pPr>
      <w:r w:rsidRPr="00DF11CB">
        <w:t>b)</w:t>
      </w:r>
      <w:r w:rsidRPr="00DF11CB">
        <w:tab/>
        <w:t xml:space="preserve">Компетентный орган принимает меры для проверки соответствия производства </w:t>
      </w:r>
      <w:r w:rsidRPr="00DF11CB">
        <w:rPr>
          <w:strike/>
        </w:rPr>
        <w:t>других</w:t>
      </w:r>
      <w:r w:rsidRPr="00DF11CB">
        <w:t xml:space="preserve"> </w:t>
      </w:r>
      <w:r w:rsidRPr="00DF11CB">
        <w:rPr>
          <w:b/>
          <w:bCs/>
        </w:rPr>
        <w:t xml:space="preserve">всех изотермических </w:t>
      </w:r>
      <w:r w:rsidRPr="00DF11CB">
        <w:t xml:space="preserve">транспортных средств допущенному типу. Для этой цели он может производить проверки путем испытания образцов </w:t>
      </w:r>
      <w:r w:rsidRPr="00DF11CB">
        <w:rPr>
          <w:b/>
          <w:bCs/>
        </w:rPr>
        <w:t xml:space="preserve">изотермических </w:t>
      </w:r>
      <w:r w:rsidRPr="00DF11CB">
        <w:t>транспортных средств, выбранных произвольно из данной производственной серии.</w:t>
      </w:r>
    </w:p>
    <w:p w14:paraId="0EC3BC35" w14:textId="77777777" w:rsidR="00563AFB" w:rsidRPr="00DF11CB" w:rsidRDefault="00563AFB" w:rsidP="00DF11CB">
      <w:pPr>
        <w:pStyle w:val="SingleTxtG"/>
        <w:ind w:left="2261" w:right="1138" w:hanging="562"/>
      </w:pPr>
      <w:r w:rsidRPr="00DF11CB">
        <w:t>с)</w:t>
      </w:r>
      <w:r w:rsidRPr="00DF11CB">
        <w:tab/>
      </w:r>
      <w:r w:rsidRPr="00DF11CB">
        <w:rPr>
          <w:b/>
          <w:bCs/>
        </w:rPr>
        <w:t xml:space="preserve">Изотермическое </w:t>
      </w:r>
      <w:r w:rsidRPr="00DF11CB">
        <w:t xml:space="preserve">транспортное средство считается транспортным средством того же типа, что и </w:t>
      </w:r>
      <w:r w:rsidRPr="00DF11CB">
        <w:rPr>
          <w:b/>
          <w:bCs/>
        </w:rPr>
        <w:t xml:space="preserve">изотермическое </w:t>
      </w:r>
      <w:r w:rsidRPr="00DF11CB">
        <w:t>транспортное средство, подвергнутое испытанию, только в том случае, если оно удовлетворяет следующим минимальным требованиям:</w:t>
      </w:r>
    </w:p>
    <w:p w14:paraId="0617FC7F" w14:textId="77777777" w:rsidR="00563AFB" w:rsidRPr="00DF11CB" w:rsidRDefault="00563AFB" w:rsidP="00DF11CB">
      <w:pPr>
        <w:pStyle w:val="SingleTxtG"/>
        <w:ind w:left="2823" w:right="1138" w:hanging="562"/>
      </w:pPr>
      <w:r w:rsidRPr="00DF11CB">
        <w:t>i)</w:t>
      </w:r>
      <w:r w:rsidRPr="00DF11CB">
        <w:tab/>
        <w:t>если речь идет об изотермических транспортных средствах, для которых образцом может служить изотермическое транспортное средство, транспортное средство-ледник, транспортное средство-рефрижератор, отапливаемое транспортное средство или транспортное средство-рефрижератор и отапливаемое</w:t>
      </w:r>
      <w:r w:rsidRPr="00DF11CB">
        <w:rPr>
          <w:bCs/>
        </w:rPr>
        <w:t>,</w:t>
      </w:r>
      <w:r w:rsidRPr="00DF11CB">
        <w:t xml:space="preserve"> то </w:t>
      </w:r>
    </w:p>
    <w:p w14:paraId="613E534D" w14:textId="77777777" w:rsidR="00563AFB" w:rsidRPr="00DF11CB" w:rsidRDefault="00012CCA" w:rsidP="00DF11CB">
      <w:pPr>
        <w:pStyle w:val="SingleTxtG"/>
        <w:ind w:left="2823"/>
      </w:pPr>
      <w:r w:rsidRPr="00DF11CB">
        <w:tab/>
      </w:r>
      <w:r w:rsidR="00563AFB" w:rsidRPr="00DF11CB">
        <w:t>конструкция должна быть сопоставимой, и в частности изоляционный материал и метод изоляции должны быть идентичными;</w:t>
      </w:r>
    </w:p>
    <w:p w14:paraId="2F0E8F89" w14:textId="77777777" w:rsidR="00563AFB" w:rsidRPr="00DF11CB" w:rsidRDefault="00563AFB" w:rsidP="00DF11CB">
      <w:pPr>
        <w:pStyle w:val="SingleTxtG"/>
        <w:ind w:left="2823"/>
      </w:pPr>
      <w:r w:rsidRPr="00DF11CB">
        <w:t>толщина изоляционного материала должна быть не меньше толщины материала транспортного средства, которое служит образцом;</w:t>
      </w:r>
    </w:p>
    <w:p w14:paraId="5CA53716" w14:textId="77777777" w:rsidR="00563AFB" w:rsidRPr="00DF11CB" w:rsidRDefault="00563AFB" w:rsidP="00DF11CB">
      <w:pPr>
        <w:pStyle w:val="SingleTxtG"/>
        <w:ind w:left="2823"/>
      </w:pPr>
      <w:r w:rsidRPr="00DF11CB">
        <w:t>внутреннее оборудование должно быть идентичным или упрощенным;</w:t>
      </w:r>
    </w:p>
    <w:p w14:paraId="493F294C" w14:textId="77777777" w:rsidR="00563AFB" w:rsidRPr="00DF11CB" w:rsidRDefault="00563AFB" w:rsidP="00DF11CB">
      <w:pPr>
        <w:pStyle w:val="SingleTxtG"/>
        <w:ind w:left="2823"/>
      </w:pPr>
      <w:r w:rsidRPr="00DF11CB">
        <w:t>число дверей и люков или других отверстий должно быть одинаковым или меньшим; и</w:t>
      </w:r>
    </w:p>
    <w:p w14:paraId="17202E71" w14:textId="77777777" w:rsidR="00563AFB" w:rsidRPr="00DF11CB" w:rsidRDefault="00563AFB" w:rsidP="00DF11CB">
      <w:pPr>
        <w:pStyle w:val="SingleTxtG"/>
        <w:ind w:left="2823"/>
      </w:pPr>
      <w:r w:rsidRPr="00DF11CB">
        <w:t>площади внутренней поверхности кузова должны различаться не более чем на 20%;</w:t>
      </w:r>
    </w:p>
    <w:p w14:paraId="48A252C2" w14:textId="77777777" w:rsidR="00563AFB" w:rsidRPr="00DF11CB" w:rsidRDefault="00563AFB" w:rsidP="00DF11CB">
      <w:pPr>
        <w:pStyle w:val="SingleTxtG"/>
        <w:ind w:left="2823"/>
      </w:pPr>
      <w:r w:rsidRPr="00DF11CB">
        <w:t>могут допускаться незначительные и ограниченные изменения добавляемого или заменяемого внутреннего и внешнего оборудования</w:t>
      </w:r>
      <w:r w:rsidR="0096566C" w:rsidRPr="0096566C">
        <w:rPr>
          <w:sz w:val="18"/>
          <w:szCs w:val="18"/>
          <w:vertAlign w:val="superscript"/>
        </w:rPr>
        <w:t>4</w:t>
      </w:r>
      <w:r w:rsidRPr="00DF11CB">
        <w:t>:</w:t>
      </w:r>
    </w:p>
    <w:p w14:paraId="164DAEAD" w14:textId="77777777" w:rsidR="00563AFB" w:rsidRPr="00DF11CB" w:rsidRDefault="00012CCA" w:rsidP="00DF11CB">
      <w:pPr>
        <w:pStyle w:val="SingleTxtG"/>
        <w:ind w:left="3384" w:right="1138" w:hanging="562"/>
      </w:pPr>
      <w:r w:rsidRPr="00DF11CB">
        <w:t>–</w:t>
      </w:r>
      <w:r w:rsidR="00563AFB" w:rsidRPr="00DF11CB">
        <w:tab/>
        <w:t xml:space="preserve">если эквивалентный объем изоляционного материала всех дополнительных элементов не превышает одной сотой от общего объема изоляционного материала </w:t>
      </w:r>
      <w:r w:rsidR="00563AFB" w:rsidRPr="00DF11CB">
        <w:rPr>
          <w:b/>
          <w:bCs/>
        </w:rPr>
        <w:t xml:space="preserve">изотермического </w:t>
      </w:r>
      <w:r w:rsidR="00563AFB" w:rsidRPr="00DF11CB">
        <w:t>транспортного средства</w:t>
      </w:r>
      <w:r w:rsidR="00563AFB" w:rsidRPr="00DF11CB">
        <w:rPr>
          <w:strike/>
        </w:rPr>
        <w:t>, которое служит образцом</w:t>
      </w:r>
      <w:r w:rsidR="00563AFB" w:rsidRPr="00DF11CB">
        <w:t>;</w:t>
      </w:r>
    </w:p>
    <w:p w14:paraId="3D32E04A" w14:textId="77777777" w:rsidR="00563AFB" w:rsidRPr="00DF11CB" w:rsidRDefault="00012CCA" w:rsidP="00DF11CB">
      <w:pPr>
        <w:pStyle w:val="SingleTxtG"/>
        <w:ind w:left="3384" w:right="1138" w:hanging="562"/>
      </w:pPr>
      <w:r w:rsidRPr="00DF11CB">
        <w:t>–</w:t>
      </w:r>
      <w:r w:rsidR="00563AFB" w:rsidRPr="00DF11CB">
        <w:tab/>
        <w:t xml:space="preserve">если коэффициент </w:t>
      </w:r>
      <w:r w:rsidR="00563AFB" w:rsidRPr="00DF11CB">
        <w:rPr>
          <w:lang w:val="en-US"/>
        </w:rPr>
        <w:t>K</w:t>
      </w:r>
      <w:r w:rsidR="00563AFB" w:rsidRPr="00DF11CB">
        <w:t xml:space="preserve"> испытуемого транспортного средства, которое служит образцом, скорректированный путем расчета дополнительных теплопотерь, не превышает </w:t>
      </w:r>
      <w:r w:rsidR="00563AFB" w:rsidRPr="00DF11CB">
        <w:lastRenderedPageBreak/>
        <w:t>предельного коэффициента </w:t>
      </w:r>
      <w:r w:rsidR="00563AFB" w:rsidRPr="00DF11CB">
        <w:rPr>
          <w:lang w:val="en-US"/>
        </w:rPr>
        <w:t>K</w:t>
      </w:r>
      <w:r w:rsidR="00563AFB" w:rsidRPr="00DF11CB">
        <w:t xml:space="preserve"> для транспортного средства данной категории; и</w:t>
      </w:r>
    </w:p>
    <w:p w14:paraId="63D34E9F" w14:textId="77777777" w:rsidR="00563AFB" w:rsidRPr="00DF11CB" w:rsidRDefault="00012CCA" w:rsidP="00DF11CB">
      <w:pPr>
        <w:pStyle w:val="SingleTxtG"/>
        <w:ind w:left="3384" w:right="1138" w:hanging="562"/>
      </w:pPr>
      <w:r w:rsidRPr="00DF11CB">
        <w:t>–</w:t>
      </w:r>
      <w:r w:rsidR="00563AFB" w:rsidRPr="00DF11CB">
        <w:tab/>
        <w:t>если такие изменения внутреннего оборудования производятся с использованием одинаковых методов, в частности в случае склеенного оборудования</w:t>
      </w:r>
      <w:r w:rsidR="005D5754">
        <w:t>.</w:t>
      </w:r>
    </w:p>
    <w:p w14:paraId="3C7C1E80" w14:textId="77777777" w:rsidR="00563AFB" w:rsidRPr="0096566C" w:rsidRDefault="00563AFB" w:rsidP="0096566C">
      <w:pPr>
        <w:pStyle w:val="SingleTxtG"/>
        <w:ind w:left="3384"/>
      </w:pPr>
      <w:r w:rsidRPr="0096566C">
        <w:t>Все изменения должны быть произведены или одобрены изготовителем изотермического транспортного средства</w:t>
      </w:r>
      <w:r w:rsidR="005D5754">
        <w:t>;</w:t>
      </w:r>
    </w:p>
    <w:p w14:paraId="00AAEE31" w14:textId="77777777" w:rsidR="00563AFB" w:rsidRPr="00DF11CB" w:rsidRDefault="00563AFB" w:rsidP="00DF11CB">
      <w:pPr>
        <w:pStyle w:val="SingleTxtG"/>
        <w:ind w:left="2823" w:right="1138" w:hanging="562"/>
      </w:pPr>
      <w:proofErr w:type="spellStart"/>
      <w:r w:rsidRPr="00DF11CB">
        <w:t>ii</w:t>
      </w:r>
      <w:proofErr w:type="spellEnd"/>
      <w:r w:rsidRPr="00DF11CB">
        <w:t>)</w:t>
      </w:r>
      <w:r w:rsidRPr="00DF11CB">
        <w:tab/>
        <w:t>если речь идет о транспортных средствах-ледниках, для которых образцом служит транспортное средство-ледник, то</w:t>
      </w:r>
    </w:p>
    <w:p w14:paraId="38809189" w14:textId="77777777" w:rsidR="00563AFB" w:rsidRPr="00DF11CB" w:rsidRDefault="00563AFB" w:rsidP="005D5754">
      <w:pPr>
        <w:pStyle w:val="SingleTxtG"/>
        <w:ind w:left="3402"/>
      </w:pPr>
      <w:r w:rsidRPr="00DF11CB">
        <w:t>должны быть соблюдены условия, указанные в подпункте i) выше;</w:t>
      </w:r>
    </w:p>
    <w:p w14:paraId="375C1667" w14:textId="77777777" w:rsidR="00563AFB" w:rsidRPr="00DF11CB" w:rsidRDefault="00563AFB" w:rsidP="005D5754">
      <w:pPr>
        <w:pStyle w:val="SingleTxtG"/>
        <w:ind w:left="3402"/>
      </w:pPr>
      <w:r w:rsidRPr="00DF11CB">
        <w:t>внутренний вентилятор для циркуляции должен быть сопоставимым;</w:t>
      </w:r>
    </w:p>
    <w:p w14:paraId="62D4465B" w14:textId="77777777" w:rsidR="00563AFB" w:rsidRPr="00DF11CB" w:rsidRDefault="00563AFB" w:rsidP="005D5754">
      <w:pPr>
        <w:pStyle w:val="SingleTxtG"/>
        <w:ind w:left="3402"/>
      </w:pPr>
      <w:r w:rsidRPr="00DF11CB">
        <w:t>источник холода должен быть идентичным; и</w:t>
      </w:r>
    </w:p>
    <w:p w14:paraId="049C0234" w14:textId="77777777" w:rsidR="00563AFB" w:rsidRPr="00DF11CB" w:rsidRDefault="00012CCA" w:rsidP="005D5754">
      <w:pPr>
        <w:pStyle w:val="SingleTxtG"/>
        <w:ind w:left="3402"/>
      </w:pPr>
      <w:r w:rsidRPr="00DF11CB">
        <w:tab/>
      </w:r>
      <w:r w:rsidR="0096566C" w:rsidRPr="00DF11CB">
        <w:t>запас</w:t>
      </w:r>
      <w:r w:rsidR="00563AFB" w:rsidRPr="00DF11CB">
        <w:t xml:space="preserve"> холода </w:t>
      </w:r>
      <w:r w:rsidR="00563AFB" w:rsidRPr="00DF11CB">
        <w:rPr>
          <w:b/>
          <w:bCs/>
        </w:rPr>
        <w:t xml:space="preserve">изотермического транспортного средства </w:t>
      </w:r>
      <w:r w:rsidR="00563AFB" w:rsidRPr="00DF11CB">
        <w:t xml:space="preserve">на внутренней поверхности должен быть </w:t>
      </w:r>
      <w:proofErr w:type="spellStart"/>
      <w:r w:rsidR="00563AFB" w:rsidRPr="00DF11CB">
        <w:t>бо́льшим</w:t>
      </w:r>
      <w:proofErr w:type="spellEnd"/>
      <w:r w:rsidR="00563AFB" w:rsidRPr="00DF11CB">
        <w:t xml:space="preserve"> или одинаковым;</w:t>
      </w:r>
    </w:p>
    <w:p w14:paraId="700D4301" w14:textId="77777777" w:rsidR="00563AFB" w:rsidRPr="00DF11CB" w:rsidRDefault="00563AFB" w:rsidP="00DF11CB">
      <w:pPr>
        <w:pStyle w:val="SingleTxtG"/>
        <w:ind w:left="2823" w:right="1138" w:hanging="562"/>
      </w:pPr>
      <w:proofErr w:type="spellStart"/>
      <w:r w:rsidRPr="00DF11CB">
        <w:t>iii</w:t>
      </w:r>
      <w:proofErr w:type="spellEnd"/>
      <w:r w:rsidRPr="00DF11CB">
        <w:t>)</w:t>
      </w:r>
      <w:r w:rsidRPr="00DF11CB">
        <w:tab/>
        <w:t>если речь идет о транспортных средствах-рефрижераторах, то в этом случае образцом служит либо:</w:t>
      </w:r>
    </w:p>
    <w:p w14:paraId="47D06D75" w14:textId="77777777" w:rsidR="00563AFB" w:rsidRPr="00DF11CB" w:rsidRDefault="00563AFB" w:rsidP="00DF11CB">
      <w:pPr>
        <w:pStyle w:val="SingleTxtG"/>
        <w:ind w:left="2823"/>
      </w:pPr>
      <w:r w:rsidRPr="00DF11CB">
        <w:t>a)</w:t>
      </w:r>
      <w:r w:rsidRPr="00DF11CB">
        <w:tab/>
        <w:t>транспортное средство-рефрижератор;</w:t>
      </w:r>
    </w:p>
    <w:p w14:paraId="2203F128" w14:textId="77777777" w:rsidR="00563AFB" w:rsidRPr="00DF11CB" w:rsidRDefault="00012CCA" w:rsidP="00DF11CB">
      <w:pPr>
        <w:pStyle w:val="SingleTxtG"/>
        <w:ind w:left="3960" w:right="1138" w:hanging="562"/>
      </w:pPr>
      <w:r w:rsidRPr="00DF11CB">
        <w:t>–</w:t>
      </w:r>
      <w:r w:rsidR="00563AFB" w:rsidRPr="00DF11CB">
        <w:tab/>
        <w:t>должны быть соблюдены условия, указанные в подпункте i) выше; и</w:t>
      </w:r>
    </w:p>
    <w:p w14:paraId="0C47423B" w14:textId="77777777" w:rsidR="00563AFB" w:rsidRPr="00DF11CB" w:rsidRDefault="00012CCA" w:rsidP="0096566C">
      <w:pPr>
        <w:pStyle w:val="SingleTxtG"/>
        <w:ind w:left="3960" w:right="1138" w:hanging="562"/>
      </w:pPr>
      <w:r w:rsidRPr="00DF11CB">
        <w:t>–</w:t>
      </w:r>
      <w:r w:rsidR="00563AFB" w:rsidRPr="00DF11CB">
        <w:tab/>
        <w:t xml:space="preserve">полезная холодопроизводительность холодильной установки </w:t>
      </w:r>
      <w:r w:rsidR="00563AFB" w:rsidRPr="00DF11CB">
        <w:rPr>
          <w:b/>
          <w:bCs/>
        </w:rPr>
        <w:t xml:space="preserve">изотермического транспортного средства </w:t>
      </w:r>
      <w:r w:rsidR="00563AFB" w:rsidRPr="00DF11CB">
        <w:t>на внутренней поверхности при тех же температурных условиях должна быть большей или одинаковой;</w:t>
      </w:r>
      <w:r w:rsidR="0096566C">
        <w:t xml:space="preserve"> </w:t>
      </w:r>
      <w:r w:rsidR="00563AFB" w:rsidRPr="00DF11CB">
        <w:t>либо</w:t>
      </w:r>
    </w:p>
    <w:p w14:paraId="24C49BD7" w14:textId="77777777" w:rsidR="00563AFB" w:rsidRPr="00DF11CB" w:rsidRDefault="00563AFB" w:rsidP="00DF11CB">
      <w:pPr>
        <w:pStyle w:val="SingleTxtG"/>
        <w:ind w:left="3384" w:right="1138" w:hanging="562"/>
      </w:pPr>
      <w:r w:rsidRPr="00DF11CB">
        <w:t>b)</w:t>
      </w:r>
      <w:r w:rsidRPr="00DF11CB">
        <w:tab/>
        <w:t xml:space="preserve">изотермическое транспортное средство, которое является полностью комплектным, за исключением холодильной установки, которая будет установлена впоследствии. </w:t>
      </w:r>
    </w:p>
    <w:p w14:paraId="259B48BF" w14:textId="77777777" w:rsidR="00563AFB" w:rsidRPr="00DF11CB" w:rsidRDefault="00563AFB" w:rsidP="00DF11CB">
      <w:pPr>
        <w:pStyle w:val="SingleTxtG"/>
        <w:ind w:left="3384"/>
      </w:pPr>
      <w:r w:rsidRPr="00DF11CB">
        <w:t>Полученное таким образом отверстие при измерении коэффициента К заполняется плотно прилегающим уплотнительным щитом, соответствующим по общей толщине и изотермическому типу щиту, которым оборудована передняя стенка, то</w:t>
      </w:r>
    </w:p>
    <w:p w14:paraId="51427F5C" w14:textId="77777777" w:rsidR="00563AFB" w:rsidRPr="00DF11CB" w:rsidRDefault="00012CCA" w:rsidP="00DF11CB">
      <w:pPr>
        <w:pStyle w:val="SingleTxtG"/>
        <w:ind w:left="3960" w:right="1138" w:hanging="562"/>
      </w:pPr>
      <w:r w:rsidRPr="00DF11CB">
        <w:t>–</w:t>
      </w:r>
      <w:r w:rsidR="00563AFB" w:rsidRPr="00DF11CB">
        <w:tab/>
        <w:t>должны быть соблюдены условия, указанные в подпункте i) выше; и</w:t>
      </w:r>
    </w:p>
    <w:p w14:paraId="7F1CBA32" w14:textId="77777777" w:rsidR="00563AFB" w:rsidRPr="00DF11CB" w:rsidRDefault="00012CCA" w:rsidP="00DF11CB">
      <w:pPr>
        <w:pStyle w:val="SingleTxtG"/>
        <w:ind w:left="3960" w:right="1138" w:hanging="562"/>
      </w:pPr>
      <w:r w:rsidRPr="00DF11CB">
        <w:t>–</w:t>
      </w:r>
      <w:r w:rsidR="00563AFB" w:rsidRPr="00DF11CB">
        <w:tab/>
        <w:t xml:space="preserve">полезная холодопроизводительность холодильной установки, которой оборудовано изотермическое транспортное средство, служащее в качестве образца, должна соответствовать величине, указанной в пункте 3.2.6 добавления 2 </w:t>
      </w:r>
      <w:r w:rsidR="0096566C">
        <w:br/>
      </w:r>
      <w:r w:rsidR="00563AFB" w:rsidRPr="00DF11CB">
        <w:t>к приложению 1;</w:t>
      </w:r>
    </w:p>
    <w:p w14:paraId="0C1FFED6" w14:textId="77777777" w:rsidR="00563AFB" w:rsidRPr="00DF11CB" w:rsidRDefault="00563AFB" w:rsidP="00DF11CB">
      <w:pPr>
        <w:pStyle w:val="SingleTxtG"/>
        <w:ind w:left="2823" w:right="1138" w:hanging="562"/>
      </w:pPr>
      <w:proofErr w:type="spellStart"/>
      <w:r w:rsidRPr="00DF11CB">
        <w:t>iv</w:t>
      </w:r>
      <w:proofErr w:type="spellEnd"/>
      <w:r w:rsidRPr="00DF11CB">
        <w:t>)</w:t>
      </w:r>
      <w:r w:rsidRPr="00DF11CB">
        <w:tab/>
        <w:t>если речь идет об отапливаемых транспортных средствах, для которых образцом может служить изотермическое или отапливаемое транспортное средство, то</w:t>
      </w:r>
    </w:p>
    <w:p w14:paraId="42801628" w14:textId="77777777" w:rsidR="00563AFB" w:rsidRPr="00DF11CB" w:rsidRDefault="003E1211" w:rsidP="00DF11CB">
      <w:pPr>
        <w:pStyle w:val="SingleTxtG"/>
        <w:ind w:left="3397" w:right="1138" w:hanging="562"/>
      </w:pPr>
      <w:r w:rsidRPr="00DF11CB">
        <w:t>–</w:t>
      </w:r>
      <w:r w:rsidR="00563AFB" w:rsidRPr="00DF11CB">
        <w:tab/>
        <w:t xml:space="preserve">должны быть соблюдены условия, указанные </w:t>
      </w:r>
      <w:r w:rsidR="0096566C">
        <w:br/>
      </w:r>
      <w:r w:rsidR="00563AFB" w:rsidRPr="00DF11CB">
        <w:t>в подпункте i);</w:t>
      </w:r>
    </w:p>
    <w:p w14:paraId="46DEE222" w14:textId="77777777" w:rsidR="00563AFB" w:rsidRPr="00DF11CB" w:rsidRDefault="003E1211" w:rsidP="00DF11CB">
      <w:pPr>
        <w:pStyle w:val="SingleTxtG"/>
        <w:ind w:left="3397" w:right="1138" w:hanging="562"/>
      </w:pPr>
      <w:r w:rsidRPr="00DF11CB">
        <w:t>–</w:t>
      </w:r>
      <w:r w:rsidR="00563AFB" w:rsidRPr="00DF11CB">
        <w:tab/>
        <w:t>источник тепла должен быть идентичным; и</w:t>
      </w:r>
    </w:p>
    <w:p w14:paraId="6F9617E0" w14:textId="77777777" w:rsidR="00563AFB" w:rsidRPr="00DF11CB" w:rsidRDefault="003E1211" w:rsidP="00DF11CB">
      <w:pPr>
        <w:pStyle w:val="SingleTxtG"/>
        <w:ind w:left="3397" w:right="1138" w:hanging="562"/>
      </w:pPr>
      <w:r w:rsidRPr="00DF11CB">
        <w:lastRenderedPageBreak/>
        <w:t>–</w:t>
      </w:r>
      <w:r w:rsidR="00563AFB" w:rsidRPr="00DF11CB">
        <w:tab/>
        <w:t xml:space="preserve">мощность отопительного оборудования </w:t>
      </w:r>
      <w:r w:rsidR="00563AFB" w:rsidRPr="00DF11CB">
        <w:rPr>
          <w:b/>
          <w:bCs/>
        </w:rPr>
        <w:t xml:space="preserve">изотермического транспортного средства </w:t>
      </w:r>
      <w:r w:rsidR="00563AFB" w:rsidRPr="00DF11CB">
        <w:t xml:space="preserve">на внутренней поверхности должна быть большей или одинаковой; </w:t>
      </w:r>
    </w:p>
    <w:p w14:paraId="6C1EF14C" w14:textId="77777777" w:rsidR="00563AFB" w:rsidRPr="00DF11CB" w:rsidRDefault="00563AFB" w:rsidP="00DF11CB">
      <w:pPr>
        <w:pStyle w:val="SingleTxtG"/>
        <w:ind w:left="2823" w:right="1138" w:hanging="562"/>
      </w:pPr>
      <w:r w:rsidRPr="00DF11CB">
        <w:t>v)</w:t>
      </w:r>
      <w:r w:rsidRPr="00DF11CB">
        <w:tab/>
        <w:t>если речь идет о транспортных средствах-рефрижераторах и отапливаемых, для которых образцом служит:</w:t>
      </w:r>
    </w:p>
    <w:p w14:paraId="7A1BD370" w14:textId="77777777" w:rsidR="00563AFB" w:rsidRPr="00DF11CB" w:rsidRDefault="00964651" w:rsidP="00DF11CB">
      <w:pPr>
        <w:pStyle w:val="SingleTxtG"/>
        <w:ind w:left="2823"/>
      </w:pPr>
      <w:r>
        <w:t>а)</w:t>
      </w:r>
      <w:r w:rsidR="00563AFB" w:rsidRPr="00DF11CB">
        <w:tab/>
        <w:t>транспортное средство-рефрижератор и отапливаемое, то</w:t>
      </w:r>
    </w:p>
    <w:p w14:paraId="188B6002" w14:textId="77777777" w:rsidR="00563AFB" w:rsidRPr="00DF11CB" w:rsidRDefault="0096566C" w:rsidP="0096566C">
      <w:pPr>
        <w:pStyle w:val="SingleTxtG"/>
        <w:ind w:left="3964" w:right="1138" w:hanging="562"/>
      </w:pPr>
      <w:r>
        <w:t>–</w:t>
      </w:r>
      <w:r w:rsidR="00563AFB" w:rsidRPr="00DF11CB">
        <w:tab/>
        <w:t>должны быть соблюдены условия, указанные в подпункте i) выше;</w:t>
      </w:r>
    </w:p>
    <w:p w14:paraId="35EEEAFE" w14:textId="77777777" w:rsidR="00563AFB" w:rsidRPr="00DF11CB" w:rsidRDefault="00563AFB" w:rsidP="0096566C">
      <w:pPr>
        <w:tabs>
          <w:tab w:val="left" w:pos="2835"/>
        </w:tabs>
        <w:spacing w:after="240" w:line="240" w:lineRule="auto"/>
        <w:ind w:left="3969" w:hanging="2835"/>
        <w:jc w:val="both"/>
        <w:rPr>
          <w:szCs w:val="20"/>
        </w:rPr>
      </w:pPr>
      <w:r w:rsidRPr="00DF11CB">
        <w:rPr>
          <w:szCs w:val="20"/>
        </w:rPr>
        <w:tab/>
      </w:r>
      <w:r w:rsidRPr="00DF11CB">
        <w:rPr>
          <w:szCs w:val="20"/>
        </w:rPr>
        <w:tab/>
        <w:t>и</w:t>
      </w:r>
    </w:p>
    <w:p w14:paraId="29B9E9F1" w14:textId="77777777" w:rsidR="00563AFB" w:rsidRPr="00DF11CB" w:rsidRDefault="003E1211" w:rsidP="0096566C">
      <w:pPr>
        <w:pStyle w:val="SingleTxtG"/>
        <w:ind w:left="3959" w:right="1138" w:hanging="562"/>
      </w:pPr>
      <w:r w:rsidRPr="00DF11CB">
        <w:t>–</w:t>
      </w:r>
      <w:r w:rsidR="00563AFB" w:rsidRPr="00DF11CB">
        <w:tab/>
        <w:t xml:space="preserve">полезная холодопроизводительность холодильной или холодильно-обогревательной установки </w:t>
      </w:r>
      <w:r w:rsidR="00563AFB" w:rsidRPr="00DF11CB">
        <w:rPr>
          <w:b/>
          <w:bCs/>
        </w:rPr>
        <w:t>изотермического транспортного средства</w:t>
      </w:r>
      <w:r w:rsidR="00563AFB" w:rsidRPr="00DF11CB">
        <w:t xml:space="preserve"> на внутренней поверхности при тех же температурных условиях должна быть большей или одинаковой;</w:t>
      </w:r>
    </w:p>
    <w:p w14:paraId="5C5089F5" w14:textId="77777777" w:rsidR="00563AFB" w:rsidRPr="00DF11CB" w:rsidRDefault="003E1211" w:rsidP="0096566C">
      <w:pPr>
        <w:pStyle w:val="SingleTxtG"/>
        <w:ind w:left="3959" w:right="1138" w:hanging="562"/>
      </w:pPr>
      <w:r w:rsidRPr="00DF11CB">
        <w:t>–</w:t>
      </w:r>
      <w:r w:rsidR="00563AFB" w:rsidRPr="00DF11CB">
        <w:tab/>
        <w:t>источник тепла должен быть идентичным; и</w:t>
      </w:r>
    </w:p>
    <w:p w14:paraId="18C959D1" w14:textId="77777777" w:rsidR="00563AFB" w:rsidRPr="00DF11CB" w:rsidRDefault="003E1211" w:rsidP="0096566C">
      <w:pPr>
        <w:pStyle w:val="SingleTxtG"/>
        <w:ind w:left="3959" w:right="1138" w:hanging="562"/>
      </w:pPr>
      <w:r w:rsidRPr="00DF11CB">
        <w:t>–</w:t>
      </w:r>
      <w:r w:rsidR="00563AFB" w:rsidRPr="00DF11CB">
        <w:tab/>
        <w:t xml:space="preserve">мощность отопительного оборудования </w:t>
      </w:r>
      <w:r w:rsidR="00563AFB" w:rsidRPr="00DF11CB">
        <w:rPr>
          <w:b/>
          <w:bCs/>
        </w:rPr>
        <w:t>изотермического транспортного средства</w:t>
      </w:r>
      <w:r w:rsidR="00563AFB" w:rsidRPr="00DF11CB">
        <w:t xml:space="preserve"> на внутренней поверхности должна быть большей или одинаковой;</w:t>
      </w:r>
    </w:p>
    <w:p w14:paraId="7F876A48" w14:textId="77777777" w:rsidR="00563AFB" w:rsidRPr="00DF11CB" w:rsidRDefault="003E1211" w:rsidP="00964651">
      <w:pPr>
        <w:pStyle w:val="SingleTxtG"/>
        <w:ind w:left="2837"/>
      </w:pPr>
      <w:r w:rsidRPr="00DF11CB">
        <w:tab/>
      </w:r>
      <w:r w:rsidR="00563AFB" w:rsidRPr="00DF11CB">
        <w:t>или</w:t>
      </w:r>
    </w:p>
    <w:p w14:paraId="090557AD" w14:textId="77777777" w:rsidR="00563AFB" w:rsidRPr="00DF11CB" w:rsidRDefault="00563AFB" w:rsidP="00964651">
      <w:pPr>
        <w:pStyle w:val="SingleTxtG"/>
        <w:ind w:left="3399" w:right="1138" w:hanging="562"/>
      </w:pPr>
      <w:r w:rsidRPr="00DF11CB">
        <w:t xml:space="preserve">b) </w:t>
      </w:r>
      <w:r w:rsidRPr="00DF11CB">
        <w:tab/>
        <w:t xml:space="preserve">если речь идет о транспортных средствах-рефрижераторах и отапливаемых, для которых образцом служит изотермическое транспортное средство, которое является полностью комплектным, за исключением холодильной, обогревательной или холодильно-обогревательной установок, которые будут установлены впоследствии. </w:t>
      </w:r>
    </w:p>
    <w:p w14:paraId="2D0143B8" w14:textId="77777777" w:rsidR="00563AFB" w:rsidRPr="00DF11CB" w:rsidRDefault="00563AFB" w:rsidP="005D5754">
      <w:pPr>
        <w:pStyle w:val="SingleTxtG"/>
        <w:ind w:left="2837"/>
      </w:pPr>
      <w:r w:rsidRPr="00DF11CB">
        <w:t>Полученное таким образом отверстие при измерении коэффициента К заполняется плотно прилегающим уплотнительным щитом, соответствующим по общей толщине и изотермическому типу щиту, которым оборудована передняя стенка, то</w:t>
      </w:r>
    </w:p>
    <w:p w14:paraId="248FA257" w14:textId="77777777" w:rsidR="00563AFB" w:rsidRPr="00DF11CB" w:rsidRDefault="003E1211" w:rsidP="00964651">
      <w:pPr>
        <w:pStyle w:val="SingleTxtG"/>
        <w:ind w:left="3959" w:right="1138" w:hanging="562"/>
      </w:pPr>
      <w:r w:rsidRPr="00DF11CB">
        <w:t>–</w:t>
      </w:r>
      <w:r w:rsidR="00563AFB" w:rsidRPr="00DF11CB">
        <w:t xml:space="preserve"> </w:t>
      </w:r>
      <w:r w:rsidR="00563AFB" w:rsidRPr="00DF11CB">
        <w:tab/>
        <w:t>должны быть соблюдены условия, указанные в подпункте i) выше;</w:t>
      </w:r>
    </w:p>
    <w:p w14:paraId="3553BBCC" w14:textId="77777777" w:rsidR="00563AFB" w:rsidRPr="00DF11CB" w:rsidRDefault="00563AFB" w:rsidP="00964651">
      <w:pPr>
        <w:pStyle w:val="SingleTxtG"/>
        <w:ind w:left="3959"/>
      </w:pPr>
      <w:r w:rsidRPr="00DF11CB">
        <w:t>и</w:t>
      </w:r>
    </w:p>
    <w:p w14:paraId="685852EE" w14:textId="77777777" w:rsidR="00563AFB" w:rsidRPr="00DF11CB" w:rsidRDefault="003E1211" w:rsidP="00964651">
      <w:pPr>
        <w:pStyle w:val="SingleTxtG"/>
        <w:ind w:left="3959" w:right="1138" w:hanging="562"/>
      </w:pPr>
      <w:r w:rsidRPr="00DF11CB">
        <w:t>–</w:t>
      </w:r>
      <w:r w:rsidR="00563AFB" w:rsidRPr="00DF11CB">
        <w:tab/>
        <w:t>полезная холодопроизводительность холодильной или холодильно-обогревательной установки, которой оборудовано изотермическое транспортное средство, служащее в качестве образца, должна соответствовать величине, указанной в пункте</w:t>
      </w:r>
      <w:r w:rsidR="00563AFB" w:rsidRPr="00DF11CB">
        <w:rPr>
          <w:lang w:val="en-US"/>
        </w:rPr>
        <w:t> </w:t>
      </w:r>
      <w:r w:rsidR="00563AFB" w:rsidRPr="00DF11CB">
        <w:t>3.4.7 добавления 2 к приложению 1;</w:t>
      </w:r>
    </w:p>
    <w:p w14:paraId="1F725BCA" w14:textId="77777777" w:rsidR="00563AFB" w:rsidRPr="00DF11CB" w:rsidRDefault="003E1211" w:rsidP="00964651">
      <w:pPr>
        <w:pStyle w:val="SingleTxtG"/>
        <w:ind w:left="3959" w:right="1138" w:hanging="562"/>
      </w:pPr>
      <w:r w:rsidRPr="00DF11CB">
        <w:t>–</w:t>
      </w:r>
      <w:r w:rsidR="00563AFB" w:rsidRPr="00DF11CB">
        <w:t xml:space="preserve"> </w:t>
      </w:r>
      <w:r w:rsidR="00563AFB" w:rsidRPr="00DF11CB">
        <w:tab/>
        <w:t>источник тепла должен быть идентичным; и</w:t>
      </w:r>
    </w:p>
    <w:p w14:paraId="01381A5F" w14:textId="77777777" w:rsidR="00563AFB" w:rsidRPr="00DF11CB" w:rsidRDefault="003E1211" w:rsidP="00964651">
      <w:pPr>
        <w:pStyle w:val="SingleTxtG"/>
        <w:ind w:left="3959" w:right="1138" w:hanging="562"/>
      </w:pPr>
      <w:r w:rsidRPr="00DF11CB">
        <w:t>–</w:t>
      </w:r>
      <w:r w:rsidR="00563AFB" w:rsidRPr="00DF11CB">
        <w:t xml:space="preserve"> </w:t>
      </w:r>
      <w:r w:rsidR="00563AFB" w:rsidRPr="00DF11CB">
        <w:tab/>
        <w:t xml:space="preserve">мощность обогревательного оборудования </w:t>
      </w:r>
      <w:r w:rsidR="00563AFB" w:rsidRPr="00DF11CB">
        <w:rPr>
          <w:b/>
          <w:bCs/>
        </w:rPr>
        <w:t>изотермического транспортного средства</w:t>
      </w:r>
      <w:r w:rsidR="00563AFB" w:rsidRPr="00DF11CB">
        <w:t xml:space="preserve"> на внутренней поверхности должна быть большей или одинаковой.</w:t>
      </w:r>
    </w:p>
    <w:p w14:paraId="605854A6" w14:textId="77777777" w:rsidR="00563AFB" w:rsidRPr="00DF11CB" w:rsidRDefault="00563AFB" w:rsidP="00DF11CB">
      <w:pPr>
        <w:pStyle w:val="SingleTxtG"/>
        <w:ind w:left="2261" w:right="1138" w:hanging="562"/>
      </w:pPr>
      <w:r w:rsidRPr="00DF11CB">
        <w:t>d)</w:t>
      </w:r>
      <w:r w:rsidRPr="00DF11CB">
        <w:tab/>
        <w:t xml:space="preserve">Если в течение шестилетнего периода серия транспортных средств насчитывает более 100 </w:t>
      </w:r>
      <w:r w:rsidRPr="00DF11CB">
        <w:rPr>
          <w:strike/>
        </w:rPr>
        <w:t>единиц</w:t>
      </w:r>
      <w:r w:rsidRPr="00DF11CB">
        <w:t xml:space="preserve"> </w:t>
      </w:r>
      <w:r w:rsidRPr="00DF11CB">
        <w:rPr>
          <w:b/>
          <w:bCs/>
        </w:rPr>
        <w:t>изотермических транспортных средств</w:t>
      </w:r>
      <w:r w:rsidRPr="00DF11CB">
        <w:t xml:space="preserve">, то компетентный орган определяет, какая часть этих </w:t>
      </w:r>
      <w:r w:rsidRPr="00DF11CB">
        <w:rPr>
          <w:b/>
          <w:bCs/>
        </w:rPr>
        <w:t xml:space="preserve">изотермических </w:t>
      </w:r>
      <w:r w:rsidRPr="00DF11CB">
        <w:t>транспортных средств должна подвергаться испытаниям.</w:t>
      </w:r>
    </w:p>
    <w:p w14:paraId="37B44F9B" w14:textId="77777777" w:rsidR="00563AFB" w:rsidRPr="00DF11CB" w:rsidRDefault="00563AFB" w:rsidP="00964651">
      <w:pPr>
        <w:pStyle w:val="HChG"/>
        <w:pageBreakBefore/>
        <w:ind w:left="1138" w:right="1138" w:hanging="1138"/>
      </w:pPr>
      <w:r w:rsidRPr="00DF11CB">
        <w:lastRenderedPageBreak/>
        <w:tab/>
      </w:r>
      <w:r w:rsidRPr="00DF11CB">
        <w:tab/>
      </w:r>
      <w:r w:rsidRPr="00964651"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047"/>
      </w:tblGrid>
      <w:tr w:rsidR="00563AFB" w:rsidRPr="00DF11CB" w14:paraId="1A48A2D7" w14:textId="77777777" w:rsidTr="003E1211">
        <w:tc>
          <w:tcPr>
            <w:tcW w:w="2466" w:type="dxa"/>
            <w:shd w:val="clear" w:color="auto" w:fill="auto"/>
          </w:tcPr>
          <w:p w14:paraId="1B5EB072" w14:textId="77777777" w:rsidR="00563AFB" w:rsidRPr="00DF11CB" w:rsidRDefault="00563AFB" w:rsidP="00DF11CB">
            <w:pPr>
              <w:spacing w:after="120"/>
              <w:jc w:val="both"/>
              <w:rPr>
                <w:szCs w:val="20"/>
              </w:rPr>
            </w:pPr>
            <w:r w:rsidRPr="00DF11CB">
              <w:rPr>
                <w:szCs w:val="20"/>
              </w:rPr>
              <w:t>Затраты:</w:t>
            </w:r>
          </w:p>
        </w:tc>
        <w:tc>
          <w:tcPr>
            <w:tcW w:w="5047" w:type="dxa"/>
            <w:shd w:val="clear" w:color="auto" w:fill="auto"/>
          </w:tcPr>
          <w:p w14:paraId="1AA3D5AA" w14:textId="77777777" w:rsidR="00563AFB" w:rsidRPr="00DF11CB" w:rsidRDefault="00563AFB" w:rsidP="00DF11CB">
            <w:pPr>
              <w:spacing w:after="120"/>
              <w:rPr>
                <w:szCs w:val="20"/>
              </w:rPr>
            </w:pPr>
            <w:r w:rsidRPr="00DF11CB">
              <w:rPr>
                <w:szCs w:val="20"/>
              </w:rPr>
              <w:t>Отсутствуют.</w:t>
            </w:r>
          </w:p>
        </w:tc>
      </w:tr>
      <w:tr w:rsidR="00563AFB" w:rsidRPr="00DF11CB" w14:paraId="1F250A89" w14:textId="77777777" w:rsidTr="003E1211">
        <w:tc>
          <w:tcPr>
            <w:tcW w:w="2466" w:type="dxa"/>
            <w:shd w:val="clear" w:color="auto" w:fill="auto"/>
          </w:tcPr>
          <w:p w14:paraId="6F9BE1E7" w14:textId="77777777" w:rsidR="00563AFB" w:rsidRPr="00DF11CB" w:rsidRDefault="00563AFB" w:rsidP="00DF11CB">
            <w:pPr>
              <w:spacing w:after="120"/>
              <w:jc w:val="both"/>
              <w:rPr>
                <w:szCs w:val="20"/>
              </w:rPr>
            </w:pPr>
            <w:r w:rsidRPr="00DF11CB">
              <w:rPr>
                <w:szCs w:val="20"/>
              </w:rPr>
              <w:t>Осуществимость:</w:t>
            </w:r>
          </w:p>
        </w:tc>
        <w:tc>
          <w:tcPr>
            <w:tcW w:w="5047" w:type="dxa"/>
            <w:shd w:val="clear" w:color="auto" w:fill="auto"/>
          </w:tcPr>
          <w:p w14:paraId="4A3645EA" w14:textId="77777777" w:rsidR="00563AFB" w:rsidRPr="00DF11CB" w:rsidRDefault="00563AFB" w:rsidP="00DF11CB">
            <w:pPr>
              <w:spacing w:after="120"/>
              <w:rPr>
                <w:szCs w:val="20"/>
              </w:rPr>
            </w:pPr>
            <w:r w:rsidRPr="00DF11CB">
              <w:rPr>
                <w:szCs w:val="20"/>
              </w:rPr>
              <w:t xml:space="preserve">Предлагаемая поправка может быть легко реализована </w:t>
            </w:r>
            <w:r w:rsidR="003E1211" w:rsidRPr="00DF11CB">
              <w:rPr>
                <w:szCs w:val="20"/>
              </w:rPr>
              <w:br/>
            </w:r>
            <w:r w:rsidRPr="00DF11CB">
              <w:rPr>
                <w:szCs w:val="20"/>
              </w:rPr>
              <w:t>в рамках СПС. Переходный период не требуется.</w:t>
            </w:r>
          </w:p>
        </w:tc>
      </w:tr>
      <w:tr w:rsidR="00563AFB" w:rsidRPr="00DF11CB" w14:paraId="1CF016A8" w14:textId="77777777" w:rsidTr="003E1211">
        <w:trPr>
          <w:trHeight w:val="192"/>
        </w:trPr>
        <w:tc>
          <w:tcPr>
            <w:tcW w:w="2466" w:type="dxa"/>
            <w:shd w:val="clear" w:color="auto" w:fill="auto"/>
          </w:tcPr>
          <w:p w14:paraId="6B11EC27" w14:textId="77777777" w:rsidR="00563AFB" w:rsidRPr="00DF11CB" w:rsidRDefault="00563AFB" w:rsidP="00DF11CB">
            <w:pPr>
              <w:spacing w:after="120"/>
              <w:jc w:val="both"/>
              <w:rPr>
                <w:szCs w:val="20"/>
              </w:rPr>
            </w:pPr>
            <w:r w:rsidRPr="00DF11CB">
              <w:rPr>
                <w:szCs w:val="20"/>
              </w:rPr>
              <w:t>Обеспечение применения:</w:t>
            </w:r>
          </w:p>
        </w:tc>
        <w:tc>
          <w:tcPr>
            <w:tcW w:w="5047" w:type="dxa"/>
            <w:shd w:val="clear" w:color="auto" w:fill="auto"/>
          </w:tcPr>
          <w:p w14:paraId="299D91D3" w14:textId="77777777" w:rsidR="00563AFB" w:rsidRPr="00DF11CB" w:rsidRDefault="00563AFB" w:rsidP="00DF11CB">
            <w:pPr>
              <w:spacing w:after="120"/>
              <w:jc w:val="both"/>
              <w:rPr>
                <w:szCs w:val="20"/>
              </w:rPr>
            </w:pPr>
            <w:r w:rsidRPr="00DF11CB">
              <w:rPr>
                <w:szCs w:val="20"/>
              </w:rPr>
              <w:t>Никаких проблем не ожидается.</w:t>
            </w:r>
          </w:p>
        </w:tc>
      </w:tr>
    </w:tbl>
    <w:p w14:paraId="41A1FE0D" w14:textId="77777777" w:rsidR="00563AFB" w:rsidRPr="003E1211" w:rsidRDefault="003E1211" w:rsidP="003E12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3AFB" w:rsidRPr="003E1211" w:rsidSect="00563A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4F17" w14:textId="77777777" w:rsidR="00DC095F" w:rsidRPr="00A312BC" w:rsidRDefault="00DC095F" w:rsidP="00A312BC"/>
  </w:endnote>
  <w:endnote w:type="continuationSeparator" w:id="0">
    <w:p w14:paraId="3889ED8D" w14:textId="77777777" w:rsidR="00DC095F" w:rsidRPr="00A312BC" w:rsidRDefault="00DC09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DF6B" w14:textId="77777777" w:rsidR="00563AFB" w:rsidRPr="00563AFB" w:rsidRDefault="00563AFB">
    <w:pPr>
      <w:pStyle w:val="Footer"/>
    </w:pPr>
    <w:r w:rsidRPr="00563AFB">
      <w:rPr>
        <w:b/>
        <w:sz w:val="18"/>
      </w:rPr>
      <w:fldChar w:fldCharType="begin"/>
    </w:r>
    <w:r w:rsidRPr="00563AFB">
      <w:rPr>
        <w:b/>
        <w:sz w:val="18"/>
      </w:rPr>
      <w:instrText xml:space="preserve"> PAGE  \* MERGEFORMAT </w:instrText>
    </w:r>
    <w:r w:rsidRPr="00563AFB">
      <w:rPr>
        <w:b/>
        <w:sz w:val="18"/>
      </w:rPr>
      <w:fldChar w:fldCharType="separate"/>
    </w:r>
    <w:r w:rsidR="004B7C13">
      <w:rPr>
        <w:b/>
        <w:noProof/>
        <w:sz w:val="18"/>
      </w:rPr>
      <w:t>2</w:t>
    </w:r>
    <w:r w:rsidRPr="00563AFB">
      <w:rPr>
        <w:b/>
        <w:sz w:val="18"/>
      </w:rPr>
      <w:fldChar w:fldCharType="end"/>
    </w:r>
    <w:r>
      <w:rPr>
        <w:b/>
        <w:sz w:val="18"/>
      </w:rPr>
      <w:tab/>
    </w:r>
    <w:r>
      <w:t>GE.19-12556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0041" w14:textId="77777777" w:rsidR="00563AFB" w:rsidRPr="00563AFB" w:rsidRDefault="00563AFB" w:rsidP="00563AF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GE.19-12556</w:t>
    </w:r>
    <w:r>
      <w:tab/>
    </w:r>
    <w:r w:rsidRPr="00563AFB">
      <w:rPr>
        <w:b/>
        <w:sz w:val="18"/>
      </w:rPr>
      <w:fldChar w:fldCharType="begin"/>
    </w:r>
    <w:r w:rsidRPr="00563AFB">
      <w:rPr>
        <w:b/>
        <w:sz w:val="18"/>
      </w:rPr>
      <w:instrText xml:space="preserve"> PAGE  \* MERGEFORMAT </w:instrText>
    </w:r>
    <w:r w:rsidRPr="00563AFB">
      <w:rPr>
        <w:b/>
        <w:sz w:val="18"/>
      </w:rPr>
      <w:fldChar w:fldCharType="separate"/>
    </w:r>
    <w:r w:rsidR="004B7C13">
      <w:rPr>
        <w:b/>
        <w:noProof/>
        <w:sz w:val="18"/>
      </w:rPr>
      <w:t>5</w:t>
    </w:r>
    <w:r w:rsidRPr="00563A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958A" w14:textId="77777777" w:rsidR="00042B72" w:rsidRPr="00563AFB" w:rsidRDefault="00563AFB" w:rsidP="00563A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873E137" wp14:editId="0093C4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12556  (</w:t>
    </w:r>
    <w:proofErr w:type="gramEnd"/>
    <w:r>
      <w:t>R)</w:t>
    </w:r>
    <w:r w:rsidR="00241974">
      <w:t xml:space="preserve">  150819  160819</w:t>
    </w:r>
    <w:r>
      <w:br/>
    </w:r>
    <w:r w:rsidRPr="00563AFB">
      <w:rPr>
        <w:rFonts w:ascii="C39T30Lfz" w:hAnsi="C39T30Lfz"/>
        <w:kern w:val="14"/>
        <w:sz w:val="56"/>
      </w:rPr>
      <w:t></w:t>
    </w:r>
    <w:r w:rsidRPr="00563AFB">
      <w:rPr>
        <w:rFonts w:ascii="C39T30Lfz" w:hAnsi="C39T30Lfz"/>
        <w:kern w:val="14"/>
        <w:sz w:val="56"/>
      </w:rPr>
      <w:t></w:t>
    </w:r>
    <w:r w:rsidRPr="00563AFB">
      <w:rPr>
        <w:rFonts w:ascii="C39T30Lfz" w:hAnsi="C39T30Lfz"/>
        <w:kern w:val="14"/>
        <w:sz w:val="56"/>
      </w:rPr>
      <w:t></w:t>
    </w:r>
    <w:r w:rsidRPr="00563AFB">
      <w:rPr>
        <w:rFonts w:ascii="C39T30Lfz" w:hAnsi="C39T30Lfz"/>
        <w:kern w:val="14"/>
        <w:sz w:val="56"/>
      </w:rPr>
      <w:t></w:t>
    </w:r>
    <w:r w:rsidRPr="00563AFB">
      <w:rPr>
        <w:rFonts w:ascii="C39T30Lfz" w:hAnsi="C39T30Lfz"/>
        <w:kern w:val="14"/>
        <w:sz w:val="56"/>
      </w:rPr>
      <w:t></w:t>
    </w:r>
    <w:r w:rsidRPr="00563AFB">
      <w:rPr>
        <w:rFonts w:ascii="C39T30Lfz" w:hAnsi="C39T30Lfz"/>
        <w:kern w:val="14"/>
        <w:sz w:val="56"/>
      </w:rPr>
      <w:t></w:t>
    </w:r>
    <w:r w:rsidRPr="00563AFB">
      <w:rPr>
        <w:rFonts w:ascii="C39T30Lfz" w:hAnsi="C39T30Lfz"/>
        <w:kern w:val="14"/>
        <w:sz w:val="56"/>
      </w:rPr>
      <w:t></w:t>
    </w:r>
    <w:r w:rsidRPr="00563AFB">
      <w:rPr>
        <w:rFonts w:ascii="C39T30Lfz" w:hAnsi="C39T30Lfz"/>
        <w:kern w:val="14"/>
        <w:sz w:val="56"/>
      </w:rPr>
      <w:t></w:t>
    </w:r>
    <w:r w:rsidRPr="00563A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DFEA6A" wp14:editId="0C30AF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09A6" w14:textId="77777777" w:rsidR="00DC095F" w:rsidRPr="001075E9" w:rsidRDefault="00DC09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B346E7" w14:textId="77777777" w:rsidR="00DC095F" w:rsidRDefault="00DC09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0B86" w14:textId="017D30BF" w:rsidR="00563AFB" w:rsidRPr="00563AFB" w:rsidRDefault="006546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46C5" w14:textId="053F5122" w:rsidR="00563AFB" w:rsidRPr="00563AFB" w:rsidRDefault="006546DE" w:rsidP="00563AF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5F"/>
    <w:rsid w:val="00012CC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1974"/>
    <w:rsid w:val="00255343"/>
    <w:rsid w:val="002669B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211"/>
    <w:rsid w:val="00407B78"/>
    <w:rsid w:val="00424203"/>
    <w:rsid w:val="00452493"/>
    <w:rsid w:val="00453318"/>
    <w:rsid w:val="00454AF2"/>
    <w:rsid w:val="00454E07"/>
    <w:rsid w:val="00455B89"/>
    <w:rsid w:val="00472C5C"/>
    <w:rsid w:val="004B7C13"/>
    <w:rsid w:val="004E05B7"/>
    <w:rsid w:val="0050108D"/>
    <w:rsid w:val="00513081"/>
    <w:rsid w:val="00517901"/>
    <w:rsid w:val="00526683"/>
    <w:rsid w:val="005639C1"/>
    <w:rsid w:val="00563AFB"/>
    <w:rsid w:val="005709E0"/>
    <w:rsid w:val="00572E19"/>
    <w:rsid w:val="005961C8"/>
    <w:rsid w:val="005966F1"/>
    <w:rsid w:val="005D5754"/>
    <w:rsid w:val="005D7914"/>
    <w:rsid w:val="005E2B41"/>
    <w:rsid w:val="005F0B42"/>
    <w:rsid w:val="00617A43"/>
    <w:rsid w:val="006345DB"/>
    <w:rsid w:val="00640F49"/>
    <w:rsid w:val="006546D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AD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651"/>
    <w:rsid w:val="0096566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95F"/>
    <w:rsid w:val="00DD78D1"/>
    <w:rsid w:val="00DE32CD"/>
    <w:rsid w:val="00DF11CB"/>
    <w:rsid w:val="00DF5767"/>
    <w:rsid w:val="00DF71B9"/>
    <w:rsid w:val="00E12C5F"/>
    <w:rsid w:val="00E1708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537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4432E"/>
  <w15:docId w15:val="{490A6B16-E2D8-4313-BC02-09A1BCD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63AF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4197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ECE/TRANS/WP.11/2019/3</vt:lpstr>
      <vt:lpstr>ECE/TRANS/WP.11/2019/3</vt:lpstr>
      <vt:lpstr>A/</vt:lpstr>
    </vt:vector>
  </TitlesOfParts>
  <Company>DCM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ECE/TRANS/WP.11/2019/3</dc:title>
  <dc:subject/>
  <dc:creator>Tatiana SHARKINA</dc:creator>
  <cp:keywords/>
  <cp:lastModifiedBy>Marie-Claude Collet</cp:lastModifiedBy>
  <cp:revision>3</cp:revision>
  <cp:lastPrinted>2019-08-22T06:14:00Z</cp:lastPrinted>
  <dcterms:created xsi:type="dcterms:W3CDTF">2019-08-22T06:14:00Z</dcterms:created>
  <dcterms:modified xsi:type="dcterms:W3CDTF">2019-08-22T06:14:00Z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