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400A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400A4" w:rsidP="006400A4">
            <w:pPr>
              <w:jc w:val="right"/>
            </w:pPr>
            <w:r w:rsidRPr="006400A4">
              <w:rPr>
                <w:sz w:val="40"/>
              </w:rPr>
              <w:t>ECE</w:t>
            </w:r>
            <w:r>
              <w:t>/TRANS/WP.1/166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400A4" w:rsidP="00C97039">
            <w:pPr>
              <w:spacing w:before="240"/>
            </w:pPr>
            <w:r>
              <w:t xml:space="preserve">Distr. </w:t>
            </w:r>
            <w:proofErr w:type="gramStart"/>
            <w:r>
              <w:t>générale</w:t>
            </w:r>
            <w:proofErr w:type="gramEnd"/>
          </w:p>
          <w:p w:rsidR="006400A4" w:rsidRDefault="006400A4" w:rsidP="006400A4">
            <w:pPr>
              <w:spacing w:line="240" w:lineRule="exact"/>
            </w:pPr>
            <w:r>
              <w:t>19 décembre 2018</w:t>
            </w:r>
          </w:p>
          <w:p w:rsidR="006400A4" w:rsidRDefault="006400A4" w:rsidP="006400A4">
            <w:pPr>
              <w:spacing w:line="240" w:lineRule="exact"/>
            </w:pPr>
            <w:r>
              <w:t>Français</w:t>
            </w:r>
          </w:p>
          <w:p w:rsidR="006400A4" w:rsidRPr="00DB58B5" w:rsidRDefault="006400A4" w:rsidP="006400A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724F8">
      <w:pPr>
        <w:spacing w:before="120" w:after="120"/>
        <w:rPr>
          <w:sz w:val="28"/>
          <w:szCs w:val="28"/>
        </w:rPr>
      </w:pPr>
      <w:r w:rsidRPr="00685843">
        <w:rPr>
          <w:sz w:val="28"/>
          <w:szCs w:val="28"/>
        </w:rPr>
        <w:t>Comité des transports intérieurs</w:t>
      </w:r>
    </w:p>
    <w:p w:rsidR="00F55FC1" w:rsidRPr="007724F8" w:rsidRDefault="00A5121C" w:rsidP="007724F8">
      <w:pPr>
        <w:pStyle w:val="SingleTxtG"/>
        <w:ind w:left="0" w:right="0"/>
        <w:rPr>
          <w:sz w:val="24"/>
          <w:szCs w:val="24"/>
          <w:lang w:val="fr-FR"/>
        </w:rPr>
      </w:pPr>
      <w:r w:rsidRPr="007724F8">
        <w:rPr>
          <w:b/>
          <w:sz w:val="24"/>
          <w:szCs w:val="24"/>
          <w:lang w:val="fr-FR"/>
        </w:rPr>
        <w:t>Forum mondial de la sécurité routière</w:t>
      </w:r>
    </w:p>
    <w:p w:rsidR="00F55FC1" w:rsidRPr="007724F8" w:rsidRDefault="00A5121C" w:rsidP="007724F8">
      <w:pPr>
        <w:pStyle w:val="SingleTxtG"/>
        <w:spacing w:after="0"/>
        <w:ind w:left="0" w:right="0"/>
        <w:rPr>
          <w:b/>
          <w:bCs/>
          <w:lang w:val="fr-FR"/>
        </w:rPr>
      </w:pPr>
      <w:bookmarkStart w:id="1" w:name="_Hlk531961652"/>
      <w:r w:rsidRPr="007724F8">
        <w:rPr>
          <w:b/>
          <w:bCs/>
          <w:lang w:val="fr-FR"/>
        </w:rPr>
        <w:t>Soixante-dix-huitième session</w:t>
      </w:r>
    </w:p>
    <w:p w:rsidR="00F55FC1" w:rsidRPr="007724F8" w:rsidRDefault="00A5121C" w:rsidP="007724F8">
      <w:pPr>
        <w:pStyle w:val="SingleTxtG"/>
        <w:spacing w:after="0"/>
        <w:ind w:left="0" w:right="0"/>
        <w:rPr>
          <w:lang w:val="fr-FR"/>
        </w:rPr>
      </w:pPr>
      <w:r w:rsidRPr="007724F8">
        <w:rPr>
          <w:lang w:val="fr-FR"/>
        </w:rPr>
        <w:t>Genève, 25-29 mars 2019</w:t>
      </w:r>
    </w:p>
    <w:p w:rsidR="00F55FC1" w:rsidRPr="007724F8" w:rsidRDefault="00A5121C" w:rsidP="007724F8">
      <w:pPr>
        <w:pStyle w:val="SingleTxtG"/>
        <w:spacing w:after="0"/>
        <w:ind w:left="0" w:right="0"/>
        <w:rPr>
          <w:lang w:val="fr-FR"/>
        </w:rPr>
      </w:pPr>
      <w:r w:rsidRPr="007724F8">
        <w:rPr>
          <w:lang w:val="fr-FR"/>
        </w:rPr>
        <w:t>Point 1 de l</w:t>
      </w:r>
      <w:r w:rsidR="007724F8" w:rsidRPr="007724F8">
        <w:rPr>
          <w:lang w:val="fr-FR"/>
        </w:rPr>
        <w:t>’</w:t>
      </w:r>
      <w:r w:rsidRPr="007724F8">
        <w:rPr>
          <w:lang w:val="fr-FR"/>
        </w:rPr>
        <w:t>ordre du jour provisoire</w:t>
      </w:r>
    </w:p>
    <w:p w:rsidR="00F55FC1" w:rsidRPr="007724F8" w:rsidRDefault="00A5121C" w:rsidP="007724F8">
      <w:pPr>
        <w:pStyle w:val="SingleTxtG"/>
        <w:ind w:left="0" w:right="0"/>
        <w:rPr>
          <w:b/>
          <w:lang w:val="fr-FR"/>
        </w:rPr>
      </w:pPr>
      <w:r w:rsidRPr="007724F8">
        <w:rPr>
          <w:b/>
          <w:lang w:val="fr-FR"/>
        </w:rPr>
        <w:t>Adoption de l</w:t>
      </w:r>
      <w:r w:rsidR="007724F8" w:rsidRPr="007724F8">
        <w:rPr>
          <w:b/>
          <w:lang w:val="fr-FR"/>
        </w:rPr>
        <w:t>’</w:t>
      </w:r>
      <w:r w:rsidRPr="007724F8">
        <w:rPr>
          <w:b/>
          <w:lang w:val="fr-FR"/>
        </w:rPr>
        <w:t>ordre du jour</w:t>
      </w:r>
    </w:p>
    <w:p w:rsidR="00F55FC1" w:rsidRPr="007724F8" w:rsidRDefault="00A5121C" w:rsidP="00EE60C8">
      <w:pPr>
        <w:pStyle w:val="HChG"/>
        <w:rPr>
          <w:lang w:val="fr-FR"/>
        </w:rPr>
      </w:pPr>
      <w:bookmarkStart w:id="2" w:name="_Hlk531961665"/>
      <w:r w:rsidRPr="007724F8">
        <w:rPr>
          <w:lang w:val="fr-FR"/>
        </w:rPr>
        <w:tab/>
      </w:r>
      <w:r w:rsidRPr="007724F8">
        <w:rPr>
          <w:lang w:val="fr-FR"/>
        </w:rPr>
        <w:tab/>
        <w:t>Ordre du jour provisoire annoté de la soixante-dix-huitième session</w:t>
      </w:r>
      <w:r w:rsidR="002522BE" w:rsidRPr="002522BE">
        <w:rPr>
          <w:rStyle w:val="FootnoteReference"/>
          <w:b w:val="0"/>
          <w:sz w:val="20"/>
          <w:vertAlign w:val="baseline"/>
        </w:rPr>
        <w:footnoteReference w:customMarkFollows="1" w:id="2"/>
        <w:t>*</w:t>
      </w:r>
      <w:r w:rsidRPr="002522BE">
        <w:rPr>
          <w:b w:val="0"/>
          <w:bCs/>
          <w:sz w:val="20"/>
          <w:vertAlign w:val="superscript"/>
          <w:lang w:val="fr-FR"/>
        </w:rPr>
        <w:t>,</w:t>
      </w:r>
      <w:r w:rsidR="002522BE" w:rsidRPr="002522BE">
        <w:rPr>
          <w:b w:val="0"/>
          <w:bCs/>
          <w:sz w:val="20"/>
          <w:lang w:val="fr-FR"/>
        </w:rPr>
        <w:t xml:space="preserve"> </w:t>
      </w:r>
      <w:r w:rsidR="002522BE" w:rsidRPr="002522BE">
        <w:rPr>
          <w:rStyle w:val="FootnoteReference"/>
          <w:b w:val="0"/>
          <w:bCs/>
          <w:sz w:val="20"/>
          <w:vertAlign w:val="baseline"/>
        </w:rPr>
        <w:footnoteReference w:customMarkFollows="1" w:id="3"/>
        <w:t>**</w:t>
      </w:r>
    </w:p>
    <w:p w:rsidR="00F55FC1" w:rsidRPr="007724F8" w:rsidRDefault="00A5121C" w:rsidP="007724F8">
      <w:pPr>
        <w:pStyle w:val="SingleTxtG"/>
        <w:rPr>
          <w:lang w:val="fr-FR"/>
        </w:rPr>
      </w:pPr>
      <w:r w:rsidRPr="007724F8">
        <w:rPr>
          <w:lang w:val="fr-FR"/>
        </w:rPr>
        <w:t>Qui s</w:t>
      </w:r>
      <w:r w:rsidR="007724F8" w:rsidRPr="007724F8">
        <w:rPr>
          <w:lang w:val="fr-FR"/>
        </w:rPr>
        <w:t>’</w:t>
      </w:r>
      <w:r w:rsidRPr="007724F8">
        <w:rPr>
          <w:lang w:val="fr-FR"/>
        </w:rPr>
        <w:t>ouvrira au Palais des Nations, à Genève, le 25 mars 2019 à 9 h 30, en salle IX</w:t>
      </w:r>
    </w:p>
    <w:bookmarkEnd w:id="1"/>
    <w:bookmarkEnd w:id="2"/>
    <w:p w:rsidR="00F55FC1" w:rsidRPr="007724F8" w:rsidRDefault="00A5121C" w:rsidP="00EE60C8">
      <w:pPr>
        <w:pStyle w:val="HChG"/>
        <w:rPr>
          <w:lang w:val="fr-FR"/>
        </w:rPr>
      </w:pPr>
      <w:r w:rsidRPr="007724F8">
        <w:rPr>
          <w:lang w:val="fr-FR"/>
        </w:rPr>
        <w:tab/>
        <w:t>I.</w:t>
      </w:r>
      <w:r w:rsidRPr="007724F8">
        <w:rPr>
          <w:lang w:val="fr-FR"/>
        </w:rPr>
        <w:tab/>
        <w:t>Ordre du jour provisoire</w:t>
      </w:r>
    </w:p>
    <w:p w:rsidR="00F55FC1" w:rsidRPr="007724F8" w:rsidRDefault="00A5121C" w:rsidP="007724F8">
      <w:pPr>
        <w:pStyle w:val="SingleTxtG"/>
        <w:rPr>
          <w:lang w:val="fr-FR"/>
        </w:rPr>
      </w:pPr>
      <w:r w:rsidRPr="007724F8">
        <w:rPr>
          <w:lang w:val="fr-FR"/>
        </w:rPr>
        <w:t>1.</w:t>
      </w:r>
      <w:r w:rsidRPr="007724F8">
        <w:rPr>
          <w:lang w:val="fr-FR"/>
        </w:rPr>
        <w:tab/>
        <w:t>Adoption de l</w:t>
      </w:r>
      <w:r w:rsidR="007724F8" w:rsidRPr="007724F8">
        <w:rPr>
          <w:lang w:val="fr-FR"/>
        </w:rPr>
        <w:t>’</w:t>
      </w:r>
      <w:r w:rsidRPr="007724F8">
        <w:rPr>
          <w:lang w:val="fr-FR"/>
        </w:rPr>
        <w:t>ordre du jour.</w:t>
      </w:r>
    </w:p>
    <w:p w:rsidR="00F55FC1" w:rsidRPr="007724F8" w:rsidRDefault="00A5121C" w:rsidP="007724F8">
      <w:pPr>
        <w:pStyle w:val="SingleTxtG"/>
        <w:rPr>
          <w:lang w:val="fr-FR"/>
        </w:rPr>
      </w:pPr>
      <w:r w:rsidRPr="007724F8">
        <w:rPr>
          <w:lang w:val="fr-FR"/>
        </w:rPr>
        <w:t>2.</w:t>
      </w:r>
      <w:r w:rsidRPr="007724F8">
        <w:rPr>
          <w:lang w:val="fr-FR"/>
        </w:rPr>
        <w:tab/>
        <w:t>Activités présentant un intérêt pour le WP.1.</w:t>
      </w:r>
    </w:p>
    <w:p w:rsidR="00F55FC1" w:rsidRPr="007724F8" w:rsidRDefault="00A5121C" w:rsidP="007724F8">
      <w:pPr>
        <w:pStyle w:val="SingleTxtG"/>
        <w:rPr>
          <w:lang w:val="fr-FR"/>
        </w:rPr>
      </w:pPr>
      <w:r w:rsidRPr="007724F8">
        <w:rPr>
          <w:lang w:val="fr-FR"/>
        </w:rPr>
        <w:t>3.</w:t>
      </w:r>
      <w:r w:rsidRPr="007724F8">
        <w:rPr>
          <w:lang w:val="fr-FR"/>
        </w:rPr>
        <w:tab/>
        <w:t>Convention de 1968 sur la circulation routière :</w:t>
      </w:r>
    </w:p>
    <w:p w:rsidR="00F55FC1" w:rsidRPr="007724F8" w:rsidRDefault="00A5121C" w:rsidP="00EE60C8">
      <w:pPr>
        <w:pStyle w:val="SingleTxtG"/>
        <w:ind w:left="2268" w:hanging="567"/>
        <w:rPr>
          <w:lang w:val="fr-FR"/>
        </w:rPr>
      </w:pPr>
      <w:r w:rsidRPr="007724F8">
        <w:rPr>
          <w:lang w:val="fr-FR"/>
        </w:rPr>
        <w:t>a)</w:t>
      </w:r>
      <w:r w:rsidRPr="007724F8">
        <w:rPr>
          <w:lang w:val="fr-FR"/>
        </w:rPr>
        <w:tab/>
        <w:t>Cohérence entre la Convention de 1968 sur la circulation routière et les Règlements techniques concernant les véhicules ;</w:t>
      </w:r>
    </w:p>
    <w:p w:rsidR="00F55FC1" w:rsidRPr="007724F8" w:rsidRDefault="00A5121C" w:rsidP="00EE60C8">
      <w:pPr>
        <w:pStyle w:val="SingleTxtG"/>
        <w:ind w:left="1701"/>
        <w:rPr>
          <w:lang w:val="fr-FR"/>
        </w:rPr>
      </w:pPr>
      <w:r w:rsidRPr="007724F8">
        <w:rPr>
          <w:lang w:val="fr-FR"/>
        </w:rPr>
        <w:t>b)</w:t>
      </w:r>
      <w:r w:rsidRPr="007724F8">
        <w:rPr>
          <w:lang w:val="fr-FR"/>
        </w:rPr>
        <w:tab/>
        <w:t>Permis de conduire ;</w:t>
      </w:r>
    </w:p>
    <w:p w:rsidR="00F55FC1" w:rsidRPr="007724F8" w:rsidRDefault="00A5121C" w:rsidP="00EE60C8">
      <w:pPr>
        <w:pStyle w:val="SingleTxtG"/>
        <w:ind w:left="1701"/>
        <w:rPr>
          <w:lang w:val="fr-FR"/>
        </w:rPr>
      </w:pPr>
      <w:r w:rsidRPr="007724F8">
        <w:rPr>
          <w:lang w:val="fr-FR"/>
        </w:rPr>
        <w:lastRenderedPageBreak/>
        <w:t>c)</w:t>
      </w:r>
      <w:r w:rsidRPr="007724F8">
        <w:rPr>
          <w:lang w:val="fr-FR"/>
        </w:rPr>
        <w:tab/>
        <w:t>Conduite automatisée.</w:t>
      </w:r>
    </w:p>
    <w:p w:rsidR="00F55FC1" w:rsidRPr="007724F8" w:rsidRDefault="00A5121C" w:rsidP="007724F8">
      <w:pPr>
        <w:pStyle w:val="SingleTxtG"/>
        <w:rPr>
          <w:lang w:val="fr-FR"/>
        </w:rPr>
      </w:pPr>
      <w:r w:rsidRPr="007724F8">
        <w:rPr>
          <w:lang w:val="fr-FR"/>
        </w:rPr>
        <w:t>4.</w:t>
      </w:r>
      <w:r w:rsidRPr="007724F8">
        <w:rPr>
          <w:lang w:val="fr-FR"/>
        </w:rPr>
        <w:tab/>
        <w:t>Convention de 1968 sur la signalisation routière :</w:t>
      </w:r>
    </w:p>
    <w:p w:rsidR="00F55FC1" w:rsidRPr="007724F8" w:rsidRDefault="00A5121C" w:rsidP="00EE60C8">
      <w:pPr>
        <w:pStyle w:val="SingleTxtG"/>
        <w:ind w:left="2268" w:hanging="567"/>
        <w:rPr>
          <w:lang w:val="fr-FR"/>
        </w:rPr>
      </w:pPr>
      <w:r w:rsidRPr="007724F8">
        <w:rPr>
          <w:lang w:val="fr-FR"/>
        </w:rPr>
        <w:t>Groupe d</w:t>
      </w:r>
      <w:r w:rsidR="007724F8" w:rsidRPr="007724F8">
        <w:rPr>
          <w:lang w:val="fr-FR"/>
        </w:rPr>
        <w:t>’</w:t>
      </w:r>
      <w:r w:rsidRPr="007724F8">
        <w:rPr>
          <w:lang w:val="fr-FR"/>
        </w:rPr>
        <w:t>experts de la signalisation routière.</w:t>
      </w:r>
    </w:p>
    <w:p w:rsidR="00F55FC1" w:rsidRPr="007724F8" w:rsidRDefault="00A5121C" w:rsidP="007724F8">
      <w:pPr>
        <w:pStyle w:val="SingleTxtG"/>
        <w:rPr>
          <w:lang w:val="fr-FR"/>
        </w:rPr>
      </w:pPr>
      <w:r w:rsidRPr="007724F8">
        <w:rPr>
          <w:lang w:val="fr-FR"/>
        </w:rPr>
        <w:t>5.</w:t>
      </w:r>
      <w:r w:rsidRPr="007724F8">
        <w:rPr>
          <w:lang w:val="fr-FR"/>
        </w:rPr>
        <w:tab/>
        <w:t>Résolution d</w:t>
      </w:r>
      <w:r w:rsidR="007724F8" w:rsidRPr="007724F8">
        <w:rPr>
          <w:lang w:val="fr-FR"/>
        </w:rPr>
        <w:t>’</w:t>
      </w:r>
      <w:r w:rsidRPr="007724F8">
        <w:rPr>
          <w:lang w:val="fr-FR"/>
        </w:rPr>
        <w:t>ensemble sur la circulation routière (R.E.1) :</w:t>
      </w:r>
    </w:p>
    <w:p w:rsidR="00F55FC1" w:rsidRPr="007724F8" w:rsidRDefault="00A5121C" w:rsidP="00EE60C8">
      <w:pPr>
        <w:pStyle w:val="SingleTxtG"/>
        <w:ind w:left="2268" w:hanging="567"/>
        <w:rPr>
          <w:lang w:val="fr-FR"/>
        </w:rPr>
      </w:pPr>
      <w:r w:rsidRPr="007724F8">
        <w:rPr>
          <w:lang w:val="fr-FR"/>
        </w:rPr>
        <w:t>a)</w:t>
      </w:r>
      <w:r w:rsidRPr="007724F8">
        <w:rPr>
          <w:lang w:val="fr-FR"/>
        </w:rPr>
        <w:tab/>
        <w:t>Approche systémique de la sécurité ;</w:t>
      </w:r>
    </w:p>
    <w:p w:rsidR="00F55FC1" w:rsidRPr="007724F8" w:rsidRDefault="00A5121C" w:rsidP="00EE60C8">
      <w:pPr>
        <w:pStyle w:val="SingleTxtG"/>
        <w:ind w:left="2268" w:hanging="567"/>
        <w:rPr>
          <w:lang w:val="fr-FR"/>
        </w:rPr>
      </w:pPr>
      <w:r w:rsidRPr="007724F8">
        <w:rPr>
          <w:lang w:val="fr-FR"/>
        </w:rPr>
        <w:t>b)</w:t>
      </w:r>
      <w:r w:rsidRPr="007724F8">
        <w:rPr>
          <w:lang w:val="fr-FR"/>
        </w:rPr>
        <w:tab/>
        <w:t>Propositions d</w:t>
      </w:r>
      <w:r w:rsidR="007724F8" w:rsidRPr="007724F8">
        <w:rPr>
          <w:lang w:val="fr-FR"/>
        </w:rPr>
        <w:t>’</w:t>
      </w:r>
      <w:r w:rsidRPr="007724F8">
        <w:rPr>
          <w:lang w:val="fr-FR"/>
        </w:rPr>
        <w:t>amendements sur l</w:t>
      </w:r>
      <w:r w:rsidR="007724F8" w:rsidRPr="007724F8">
        <w:rPr>
          <w:lang w:val="fr-FR"/>
        </w:rPr>
        <w:t>’</w:t>
      </w:r>
      <w:r w:rsidRPr="007724F8">
        <w:rPr>
          <w:lang w:val="fr-FR"/>
        </w:rPr>
        <w:t>inattention au volant ;</w:t>
      </w:r>
    </w:p>
    <w:p w:rsidR="00F55FC1" w:rsidRPr="007724F8" w:rsidRDefault="00A5121C" w:rsidP="00EE60C8">
      <w:pPr>
        <w:pStyle w:val="SingleTxtG"/>
        <w:ind w:left="2268" w:hanging="567"/>
        <w:rPr>
          <w:lang w:val="fr-FR"/>
        </w:rPr>
      </w:pPr>
      <w:r w:rsidRPr="007724F8">
        <w:rPr>
          <w:lang w:val="fr-FR"/>
        </w:rPr>
        <w:t>c)</w:t>
      </w:r>
      <w:r w:rsidRPr="007724F8">
        <w:rPr>
          <w:lang w:val="fr-FR"/>
        </w:rPr>
        <w:tab/>
        <w:t>Propositions d</w:t>
      </w:r>
      <w:r w:rsidR="007724F8" w:rsidRPr="007724F8">
        <w:rPr>
          <w:lang w:val="fr-FR"/>
        </w:rPr>
        <w:t>’</w:t>
      </w:r>
      <w:r w:rsidRPr="007724F8">
        <w:rPr>
          <w:lang w:val="fr-FR"/>
        </w:rPr>
        <w:t>amendements sur les politiques concernant les deux-roues motorisés ;</w:t>
      </w:r>
    </w:p>
    <w:p w:rsidR="00F55FC1" w:rsidRPr="007724F8" w:rsidRDefault="00A5121C" w:rsidP="00EE60C8">
      <w:pPr>
        <w:pStyle w:val="SingleTxtG"/>
        <w:ind w:left="2268" w:hanging="567"/>
        <w:rPr>
          <w:lang w:val="fr-FR"/>
        </w:rPr>
      </w:pPr>
      <w:r w:rsidRPr="007724F8">
        <w:rPr>
          <w:lang w:val="fr-FR"/>
        </w:rPr>
        <w:t>d)</w:t>
      </w:r>
      <w:r w:rsidRPr="007724F8">
        <w:rPr>
          <w:lang w:val="fr-FR"/>
        </w:rPr>
        <w:tab/>
        <w:t>Propositions d</w:t>
      </w:r>
      <w:r w:rsidR="007724F8" w:rsidRPr="007724F8">
        <w:rPr>
          <w:lang w:val="fr-FR"/>
        </w:rPr>
        <w:t>’</w:t>
      </w:r>
      <w:r w:rsidRPr="007724F8">
        <w:rPr>
          <w:lang w:val="fr-FR"/>
        </w:rPr>
        <w:t>amendement</w:t>
      </w:r>
      <w:r w:rsidR="00EE60C8">
        <w:rPr>
          <w:lang w:val="fr-FR"/>
        </w:rPr>
        <w:t xml:space="preserve">s sur les usagers de la route </w:t>
      </w:r>
      <w:r w:rsidRPr="007724F8">
        <w:rPr>
          <w:lang w:val="fr-FR"/>
        </w:rPr>
        <w:t>vulnérables.</w:t>
      </w:r>
    </w:p>
    <w:p w:rsidR="00F55FC1" w:rsidRPr="007724F8" w:rsidRDefault="00A5121C" w:rsidP="007724F8">
      <w:pPr>
        <w:pStyle w:val="SingleTxtG"/>
        <w:rPr>
          <w:lang w:val="fr-FR"/>
        </w:rPr>
      </w:pPr>
      <w:r w:rsidRPr="007724F8">
        <w:rPr>
          <w:lang w:val="fr-FR"/>
        </w:rPr>
        <w:t>6.</w:t>
      </w:r>
      <w:r w:rsidRPr="007724F8">
        <w:rPr>
          <w:lang w:val="fr-FR"/>
        </w:rPr>
        <w:tab/>
        <w:t>Révision du mandat et du Règlement intérieur du WP.1.</w:t>
      </w:r>
    </w:p>
    <w:p w:rsidR="00F55FC1" w:rsidRPr="007724F8" w:rsidRDefault="00A5121C" w:rsidP="007724F8">
      <w:pPr>
        <w:pStyle w:val="SingleTxtG"/>
        <w:rPr>
          <w:lang w:val="fr-FR"/>
        </w:rPr>
      </w:pPr>
      <w:r w:rsidRPr="007724F8">
        <w:rPr>
          <w:lang w:val="fr-FR"/>
        </w:rPr>
        <w:t>7.</w:t>
      </w:r>
      <w:r w:rsidRPr="007724F8">
        <w:rPr>
          <w:lang w:val="fr-FR"/>
        </w:rPr>
        <w:tab/>
        <w:t>Objectifs de développement durable : contribution potentielle du WP.1.</w:t>
      </w:r>
    </w:p>
    <w:p w:rsidR="00F55FC1" w:rsidRPr="007724F8" w:rsidRDefault="00A5121C" w:rsidP="007724F8">
      <w:pPr>
        <w:pStyle w:val="SingleTxtG"/>
        <w:rPr>
          <w:b/>
          <w:lang w:val="fr-FR"/>
        </w:rPr>
      </w:pPr>
      <w:r w:rsidRPr="007724F8">
        <w:rPr>
          <w:lang w:val="fr-FR"/>
        </w:rPr>
        <w:t xml:space="preserve">8. </w:t>
      </w:r>
      <w:r w:rsidRPr="007724F8">
        <w:rPr>
          <w:lang w:val="fr-FR"/>
        </w:rPr>
        <w:tab/>
        <w:t>Définition de « blessure grave ».</w:t>
      </w:r>
    </w:p>
    <w:p w:rsidR="00F55FC1" w:rsidRPr="007724F8" w:rsidRDefault="00A5121C" w:rsidP="007724F8">
      <w:pPr>
        <w:pStyle w:val="SingleTxtG"/>
        <w:rPr>
          <w:lang w:val="fr-FR"/>
        </w:rPr>
      </w:pPr>
      <w:r w:rsidRPr="007724F8">
        <w:rPr>
          <w:lang w:val="fr-FR"/>
        </w:rPr>
        <w:t>9.</w:t>
      </w:r>
      <w:r w:rsidRPr="007724F8">
        <w:rPr>
          <w:lang w:val="fr-FR"/>
        </w:rPr>
        <w:tab/>
        <w:t>Questions diverses.</w:t>
      </w:r>
    </w:p>
    <w:p w:rsidR="00F55FC1" w:rsidRPr="007724F8" w:rsidRDefault="00A5121C" w:rsidP="007724F8">
      <w:pPr>
        <w:pStyle w:val="SingleTxtG"/>
        <w:rPr>
          <w:lang w:val="fr-FR"/>
        </w:rPr>
      </w:pPr>
      <w:r w:rsidRPr="007724F8">
        <w:rPr>
          <w:lang w:val="fr-FR"/>
        </w:rPr>
        <w:t>10.</w:t>
      </w:r>
      <w:r w:rsidRPr="007724F8">
        <w:rPr>
          <w:lang w:val="fr-FR"/>
        </w:rPr>
        <w:tab/>
        <w:t>Date de la prochaine session.</w:t>
      </w:r>
    </w:p>
    <w:p w:rsidR="00F55FC1" w:rsidRPr="007724F8" w:rsidRDefault="00A5121C" w:rsidP="007724F8">
      <w:pPr>
        <w:pStyle w:val="SingleTxtG"/>
        <w:rPr>
          <w:lang w:val="fr-FR"/>
        </w:rPr>
      </w:pPr>
      <w:r w:rsidRPr="007724F8">
        <w:rPr>
          <w:lang w:val="fr-FR"/>
        </w:rPr>
        <w:t>11.</w:t>
      </w:r>
      <w:r w:rsidRPr="007724F8">
        <w:rPr>
          <w:lang w:val="fr-FR"/>
        </w:rPr>
        <w:tab/>
        <w:t>Adoption du rapport de la soixante-dix-huitième session.</w:t>
      </w:r>
    </w:p>
    <w:p w:rsidR="00F55FC1" w:rsidRPr="007724F8" w:rsidRDefault="00A5121C" w:rsidP="00EE60C8">
      <w:pPr>
        <w:pStyle w:val="HChG"/>
        <w:rPr>
          <w:lang w:val="fr-FR"/>
        </w:rPr>
      </w:pPr>
      <w:r w:rsidRPr="007724F8">
        <w:rPr>
          <w:lang w:val="fr-FR"/>
        </w:rPr>
        <w:tab/>
        <w:t>II.</w:t>
      </w:r>
      <w:r w:rsidRPr="007724F8">
        <w:rPr>
          <w:lang w:val="fr-FR"/>
        </w:rPr>
        <w:tab/>
        <w:t>Annotations</w:t>
      </w:r>
    </w:p>
    <w:p w:rsidR="00F55FC1" w:rsidRPr="007724F8" w:rsidRDefault="00A5121C" w:rsidP="00EE60C8">
      <w:pPr>
        <w:pStyle w:val="H1G"/>
        <w:rPr>
          <w:lang w:val="fr-FR"/>
        </w:rPr>
      </w:pPr>
      <w:r w:rsidRPr="007724F8">
        <w:rPr>
          <w:lang w:val="fr-FR"/>
        </w:rPr>
        <w:tab/>
        <w:t>1.</w:t>
      </w:r>
      <w:r w:rsidRPr="007724F8">
        <w:rPr>
          <w:lang w:val="fr-FR"/>
        </w:rPr>
        <w:tab/>
        <w:t>Adoption de l</w:t>
      </w:r>
      <w:r w:rsidR="007724F8" w:rsidRPr="007724F8">
        <w:rPr>
          <w:lang w:val="fr-FR"/>
        </w:rPr>
        <w:t>’</w:t>
      </w:r>
      <w:r w:rsidRPr="007724F8">
        <w:rPr>
          <w:lang w:val="fr-FR"/>
        </w:rPr>
        <w:t>ordre du jour</w:t>
      </w:r>
    </w:p>
    <w:p w:rsidR="00F55FC1" w:rsidRPr="007724F8" w:rsidRDefault="00A5121C" w:rsidP="00616947">
      <w:pPr>
        <w:pStyle w:val="SingleTxtG"/>
        <w:ind w:firstLine="567"/>
        <w:rPr>
          <w:lang w:val="fr-FR"/>
        </w:rPr>
      </w:pPr>
      <w:r w:rsidRPr="007724F8">
        <w:rPr>
          <w:lang w:val="fr-FR"/>
        </w:rPr>
        <w:t>Le Forum mondial de la sécurité routière (WP.1) sera invité à adopter l</w:t>
      </w:r>
      <w:r w:rsidR="007724F8" w:rsidRPr="007724F8">
        <w:rPr>
          <w:lang w:val="fr-FR"/>
        </w:rPr>
        <w:t>’</w:t>
      </w:r>
      <w:r w:rsidRPr="007724F8">
        <w:rPr>
          <w:lang w:val="fr-FR"/>
        </w:rPr>
        <w:t>ordre du jour de la session.</w:t>
      </w:r>
    </w:p>
    <w:p w:rsidR="00F55FC1" w:rsidRPr="007724F8" w:rsidRDefault="00A5121C" w:rsidP="00616947">
      <w:pPr>
        <w:pStyle w:val="SingleTxtG"/>
        <w:ind w:left="2835" w:hanging="1701"/>
        <w:rPr>
          <w:lang w:val="fr-FR"/>
        </w:rPr>
      </w:pPr>
      <w:r w:rsidRPr="007724F8">
        <w:rPr>
          <w:b/>
          <w:lang w:val="fr-FR"/>
        </w:rPr>
        <w:t>Document(s) </w:t>
      </w:r>
      <w:r w:rsidR="00616947" w:rsidRPr="00616947">
        <w:rPr>
          <w:lang w:val="fr-FR"/>
        </w:rPr>
        <w:t>:</w:t>
      </w:r>
      <w:r w:rsidR="00C43210">
        <w:rPr>
          <w:b/>
          <w:lang w:val="fr-FR"/>
        </w:rPr>
        <w:tab/>
      </w:r>
      <w:r w:rsidRPr="007724F8">
        <w:rPr>
          <w:lang w:val="fr-FR"/>
        </w:rPr>
        <w:t>ECE/TRANS/WP.1/166.</w:t>
      </w:r>
    </w:p>
    <w:p w:rsidR="00F55FC1" w:rsidRPr="007724F8" w:rsidRDefault="00A5121C" w:rsidP="00C43210">
      <w:pPr>
        <w:pStyle w:val="H1G"/>
        <w:rPr>
          <w:lang w:val="fr-FR"/>
        </w:rPr>
      </w:pPr>
      <w:r w:rsidRPr="007724F8">
        <w:rPr>
          <w:lang w:val="fr-FR"/>
        </w:rPr>
        <w:tab/>
        <w:t>2.</w:t>
      </w:r>
      <w:r w:rsidRPr="007724F8">
        <w:rPr>
          <w:lang w:val="fr-FR"/>
        </w:rPr>
        <w:tab/>
        <w:t>Activités présentant un intérêt pour le WP.1</w:t>
      </w:r>
    </w:p>
    <w:p w:rsidR="00F55FC1" w:rsidRPr="007724F8" w:rsidRDefault="00A5121C" w:rsidP="00616947">
      <w:pPr>
        <w:pStyle w:val="SingleTxtG"/>
        <w:ind w:firstLine="567"/>
        <w:rPr>
          <w:lang w:val="fr-FR"/>
        </w:rPr>
      </w:pPr>
      <w:r w:rsidRPr="007724F8">
        <w:rPr>
          <w:lang w:val="fr-FR"/>
        </w:rPr>
        <w:t>En raison du manque de temps, aucune intervention ni aucun exposé ne sont prévus au titre de ce point de l</w:t>
      </w:r>
      <w:r w:rsidR="007724F8" w:rsidRPr="007724F8">
        <w:rPr>
          <w:lang w:val="fr-FR"/>
        </w:rPr>
        <w:t>’</w:t>
      </w:r>
      <w:r w:rsidRPr="007724F8">
        <w:rPr>
          <w:lang w:val="fr-FR"/>
        </w:rPr>
        <w:t xml:space="preserve">ordre du jour. Les délégations nationales et les organisations internationales auront la possibilité de communiquer par écrit des informations sur les activités et initiatives nationales ou internationales en matière de sécurité routière, y compris sur les changements intervenus récemment ou les changements à venir prochainement dans leur législation concernant la circulation routière, ainsi que sur les manifestations qui se dérouleront avant la prochaine session du WP.1. </w:t>
      </w:r>
    </w:p>
    <w:p w:rsidR="00F55FC1" w:rsidRPr="007724F8" w:rsidRDefault="00C43210" w:rsidP="009374B6">
      <w:pPr>
        <w:pStyle w:val="H1G"/>
        <w:rPr>
          <w:lang w:val="fr-FR"/>
        </w:rPr>
      </w:pPr>
      <w:r>
        <w:rPr>
          <w:lang w:val="fr-FR"/>
        </w:rPr>
        <w:tab/>
        <w:t>3.</w:t>
      </w:r>
      <w:r>
        <w:rPr>
          <w:lang w:val="fr-FR"/>
        </w:rPr>
        <w:tab/>
      </w:r>
      <w:r w:rsidR="00A5121C" w:rsidRPr="007724F8">
        <w:rPr>
          <w:lang w:val="fr-FR"/>
        </w:rPr>
        <w:t>Convention de 1968 sur la circulation routière</w:t>
      </w:r>
    </w:p>
    <w:p w:rsidR="00F55FC1" w:rsidRPr="007724F8" w:rsidRDefault="00A5121C" w:rsidP="00C43210">
      <w:pPr>
        <w:pStyle w:val="H23G"/>
        <w:rPr>
          <w:lang w:val="fr-FR"/>
        </w:rPr>
      </w:pPr>
      <w:r w:rsidRPr="007724F8">
        <w:rPr>
          <w:lang w:val="fr-FR"/>
        </w:rPr>
        <w:tab/>
        <w:t>a)</w:t>
      </w:r>
      <w:r w:rsidRPr="007724F8">
        <w:rPr>
          <w:lang w:val="fr-FR"/>
        </w:rPr>
        <w:tab/>
        <w:t xml:space="preserve">Cohérence entre la Convention de 1968 sur la circulation routière </w:t>
      </w:r>
      <w:r w:rsidR="00C43210">
        <w:rPr>
          <w:lang w:val="fr-FR"/>
        </w:rPr>
        <w:br/>
      </w:r>
      <w:r w:rsidRPr="007724F8">
        <w:rPr>
          <w:lang w:val="fr-FR"/>
        </w:rPr>
        <w:t>et les Règlements techniques concernant les véhicules</w:t>
      </w:r>
    </w:p>
    <w:p w:rsidR="00F55FC1" w:rsidRPr="007724F8" w:rsidRDefault="00A5121C" w:rsidP="00616947">
      <w:pPr>
        <w:pStyle w:val="SingleTxtG"/>
        <w:ind w:firstLine="567"/>
        <w:rPr>
          <w:lang w:val="fr-FR"/>
        </w:rPr>
      </w:pPr>
      <w:r w:rsidRPr="007724F8">
        <w:rPr>
          <w:lang w:val="fr-FR"/>
        </w:rPr>
        <w:t>À sa dernière session, le WP.1 a examiné le document ECE/TRANS/WP.1/2017/1/Rev.1 (France, Italie et Laser Europe), qui contient une synthèse des dispositions applicables de la Convention, ainsi que les propositions d</w:t>
      </w:r>
      <w:r w:rsidR="007724F8" w:rsidRPr="007724F8">
        <w:rPr>
          <w:lang w:val="fr-FR"/>
        </w:rPr>
        <w:t>’</w:t>
      </w:r>
      <w:r w:rsidRPr="007724F8">
        <w:rPr>
          <w:lang w:val="fr-FR"/>
        </w:rPr>
        <w:t>amendements adoptées et celles qui doivent encore l</w:t>
      </w:r>
      <w:r w:rsidR="007724F8" w:rsidRPr="007724F8">
        <w:rPr>
          <w:lang w:val="fr-FR"/>
        </w:rPr>
        <w:t>’</w:t>
      </w:r>
      <w:r w:rsidRPr="007724F8">
        <w:rPr>
          <w:lang w:val="fr-FR"/>
        </w:rPr>
        <w:t>être. Il a corrigé ce document jusqu</w:t>
      </w:r>
      <w:r w:rsidR="007724F8" w:rsidRPr="007724F8">
        <w:rPr>
          <w:lang w:val="fr-FR"/>
        </w:rPr>
        <w:t>’</w:t>
      </w:r>
      <w:r w:rsidRPr="007724F8">
        <w:rPr>
          <w:lang w:val="fr-FR"/>
        </w:rPr>
        <w:t>au point 61 c) du chapitre IV (Dérogations). À la session en cours, le WP.1 devrait poursuivre l</w:t>
      </w:r>
      <w:r w:rsidR="007724F8" w:rsidRPr="007724F8">
        <w:rPr>
          <w:lang w:val="fr-FR"/>
        </w:rPr>
        <w:t>’</w:t>
      </w:r>
      <w:r w:rsidRPr="007724F8">
        <w:rPr>
          <w:lang w:val="fr-FR"/>
        </w:rPr>
        <w:t>examen du chapitre IV et prendre une décision sur toutes les autres dispositions en suspens, en s</w:t>
      </w:r>
      <w:r w:rsidR="007724F8" w:rsidRPr="007724F8">
        <w:rPr>
          <w:lang w:val="fr-FR"/>
        </w:rPr>
        <w:t>’</w:t>
      </w:r>
      <w:r w:rsidRPr="007724F8">
        <w:rPr>
          <w:lang w:val="fr-FR"/>
        </w:rPr>
        <w:t>appuyant sur le document ECE/TRANS/WP.1/2017/1/Rev.1. L</w:t>
      </w:r>
      <w:r w:rsidR="007724F8" w:rsidRPr="007724F8">
        <w:rPr>
          <w:lang w:val="fr-FR"/>
        </w:rPr>
        <w:t>’</w:t>
      </w:r>
      <w:r w:rsidRPr="007724F8">
        <w:rPr>
          <w:lang w:val="fr-FR"/>
        </w:rPr>
        <w:t>Allemagne sera invitée à présenter deux propositions d</w:t>
      </w:r>
      <w:r w:rsidR="007724F8" w:rsidRPr="007724F8">
        <w:rPr>
          <w:lang w:val="fr-FR"/>
        </w:rPr>
        <w:t>’</w:t>
      </w:r>
      <w:r w:rsidRPr="007724F8">
        <w:rPr>
          <w:lang w:val="fr-FR"/>
        </w:rPr>
        <w:t>amendements à incorporer à celui-ci.</w:t>
      </w:r>
    </w:p>
    <w:p w:rsidR="00F55FC1" w:rsidRPr="007724F8" w:rsidRDefault="00A5121C" w:rsidP="00616947">
      <w:pPr>
        <w:pStyle w:val="SingleTxtG"/>
        <w:ind w:left="2835" w:hanging="1701"/>
        <w:rPr>
          <w:lang w:val="en-US"/>
        </w:rPr>
      </w:pPr>
      <w:r w:rsidRPr="007724F8">
        <w:rPr>
          <w:b/>
          <w:bCs/>
          <w:lang w:val="en-US"/>
        </w:rPr>
        <w:t>Document(s</w:t>
      </w:r>
      <w:proofErr w:type="gramStart"/>
      <w:r w:rsidRPr="007724F8">
        <w:rPr>
          <w:b/>
          <w:bCs/>
          <w:lang w:val="en-US"/>
        </w:rPr>
        <w:t>) </w:t>
      </w:r>
      <w:r w:rsidR="00616947" w:rsidRPr="00616947">
        <w:rPr>
          <w:bCs/>
          <w:lang w:val="en-US"/>
        </w:rPr>
        <w:t>:</w:t>
      </w:r>
      <w:proofErr w:type="gramEnd"/>
      <w:r w:rsidR="00C43210">
        <w:rPr>
          <w:b/>
          <w:bCs/>
          <w:lang w:val="en-US"/>
        </w:rPr>
        <w:tab/>
      </w:r>
      <w:r w:rsidRPr="007724F8">
        <w:rPr>
          <w:lang w:val="en-US"/>
        </w:rPr>
        <w:t>ECE/TRANS/WP.1/2017/1/Rev.1.</w:t>
      </w:r>
    </w:p>
    <w:p w:rsidR="00F55FC1" w:rsidRPr="007724F8" w:rsidRDefault="00A5121C" w:rsidP="00C43210">
      <w:pPr>
        <w:pStyle w:val="H23G"/>
        <w:rPr>
          <w:lang w:val="fr-FR"/>
        </w:rPr>
      </w:pPr>
      <w:r w:rsidRPr="007724F8">
        <w:rPr>
          <w:lang w:val="en-US"/>
        </w:rPr>
        <w:lastRenderedPageBreak/>
        <w:tab/>
      </w:r>
      <w:r w:rsidRPr="007724F8">
        <w:rPr>
          <w:lang w:val="fr-FR"/>
        </w:rPr>
        <w:t>b)</w:t>
      </w:r>
      <w:r w:rsidRPr="007724F8">
        <w:rPr>
          <w:lang w:val="fr-FR"/>
        </w:rPr>
        <w:tab/>
        <w:t>Permis de conduire</w:t>
      </w:r>
    </w:p>
    <w:p w:rsidR="00F55FC1" w:rsidRPr="007724F8" w:rsidRDefault="00A5121C" w:rsidP="00616947">
      <w:pPr>
        <w:pStyle w:val="SingleTxtG"/>
        <w:ind w:firstLine="567"/>
        <w:rPr>
          <w:lang w:val="fr-FR"/>
        </w:rPr>
      </w:pPr>
      <w:r w:rsidRPr="007724F8">
        <w:rPr>
          <w:lang w:val="fr-FR"/>
        </w:rPr>
        <w:t>À la dernière session, le groupe informel d</w:t>
      </w:r>
      <w:r w:rsidR="007724F8" w:rsidRPr="007724F8">
        <w:rPr>
          <w:lang w:val="fr-FR"/>
        </w:rPr>
        <w:t>’</w:t>
      </w:r>
      <w:r w:rsidRPr="007724F8">
        <w:rPr>
          <w:lang w:val="fr-FR"/>
        </w:rPr>
        <w:t>experts sur les permis de conduire a présenté le document ECE/TRANS/WP.1/2018/1/Rev.1, qui compare trois options envisageables pour les permis de conduire, notamment quant à leurs avantages et à leurs inconvénients. Le WP.1 a débattu de ces trois options, a noté que plusieurs délégations avaient une préférence pour l</w:t>
      </w:r>
      <w:r w:rsidR="007724F8" w:rsidRPr="007724F8">
        <w:rPr>
          <w:lang w:val="fr-FR"/>
        </w:rPr>
        <w:t>’</w:t>
      </w:r>
      <w:r w:rsidRPr="007724F8">
        <w:rPr>
          <w:lang w:val="fr-FR"/>
        </w:rPr>
        <w:t>option B, et a demandé au groupe informel d</w:t>
      </w:r>
      <w:r w:rsidR="007724F8" w:rsidRPr="007724F8">
        <w:rPr>
          <w:lang w:val="fr-FR"/>
        </w:rPr>
        <w:t>’</w:t>
      </w:r>
      <w:r w:rsidRPr="007724F8">
        <w:rPr>
          <w:lang w:val="fr-FR"/>
        </w:rPr>
        <w:t>experts d</w:t>
      </w:r>
      <w:r w:rsidR="007724F8" w:rsidRPr="007724F8">
        <w:rPr>
          <w:lang w:val="fr-FR"/>
        </w:rPr>
        <w:t>’</w:t>
      </w:r>
      <w:r w:rsidRPr="007724F8">
        <w:rPr>
          <w:lang w:val="fr-FR"/>
        </w:rPr>
        <w:t>étudier les observations formulées et, dans la mesure du possible, d</w:t>
      </w:r>
      <w:r w:rsidR="007724F8" w:rsidRPr="007724F8">
        <w:rPr>
          <w:lang w:val="fr-FR"/>
        </w:rPr>
        <w:t>’</w:t>
      </w:r>
      <w:r w:rsidRPr="007724F8">
        <w:rPr>
          <w:lang w:val="fr-FR"/>
        </w:rPr>
        <w:t>en tenir compte dans le document ECE/TRANS/WP.1/2018/1/Rev.2, qui serait soumis à la session en cours. Le WP.1 sera invité à examiner ce document.</w:t>
      </w:r>
    </w:p>
    <w:p w:rsidR="00F55FC1" w:rsidRPr="007724F8" w:rsidRDefault="00A5121C" w:rsidP="00616947">
      <w:pPr>
        <w:pStyle w:val="SingleTxtG"/>
        <w:ind w:left="2835" w:hanging="1701"/>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ECE/TRANS/WP.1/2018/1, Rev.1 et Rev.2.</w:t>
      </w:r>
    </w:p>
    <w:p w:rsidR="00F55FC1" w:rsidRPr="007724F8" w:rsidRDefault="00A5121C" w:rsidP="009374B6">
      <w:pPr>
        <w:pStyle w:val="H23G"/>
        <w:rPr>
          <w:lang w:val="fr-FR"/>
        </w:rPr>
      </w:pPr>
      <w:r w:rsidRPr="007724F8">
        <w:rPr>
          <w:lang w:val="fr-FR"/>
        </w:rPr>
        <w:tab/>
        <w:t>c)</w:t>
      </w:r>
      <w:r w:rsidRPr="007724F8">
        <w:rPr>
          <w:lang w:val="fr-FR"/>
        </w:rPr>
        <w:tab/>
        <w:t>Conduite automatisée</w:t>
      </w:r>
    </w:p>
    <w:p w:rsidR="00F55FC1" w:rsidRPr="007724F8" w:rsidRDefault="00A5121C" w:rsidP="00C43210">
      <w:pPr>
        <w:pStyle w:val="H4G"/>
        <w:rPr>
          <w:lang w:val="fr-FR"/>
        </w:rPr>
      </w:pPr>
      <w:r w:rsidRPr="007724F8">
        <w:rPr>
          <w:lang w:val="fr-FR"/>
        </w:rPr>
        <w:tab/>
        <w:t>i)</w:t>
      </w:r>
      <w:r w:rsidRPr="007724F8">
        <w:rPr>
          <w:lang w:val="fr-FR"/>
        </w:rPr>
        <w:tab/>
        <w:t>Véhicules équipés de systèmes de conduite automatisés : les activités autres que la conduite</w:t>
      </w:r>
    </w:p>
    <w:p w:rsidR="00F55FC1" w:rsidRPr="007724F8" w:rsidRDefault="00A5121C" w:rsidP="00616947">
      <w:pPr>
        <w:pStyle w:val="SingleTxtG"/>
        <w:ind w:firstLine="567"/>
        <w:rPr>
          <w:lang w:val="fr-FR"/>
        </w:rPr>
      </w:pPr>
      <w:r w:rsidRPr="007724F8">
        <w:rPr>
          <w:lang w:val="fr-FR"/>
        </w:rPr>
        <w:t>À la dernière session, le représentant de la France, s</w:t>
      </w:r>
      <w:r w:rsidR="007724F8" w:rsidRPr="007724F8">
        <w:rPr>
          <w:lang w:val="fr-FR"/>
        </w:rPr>
        <w:t>’</w:t>
      </w:r>
      <w:r w:rsidRPr="007724F8">
        <w:rPr>
          <w:lang w:val="fr-FR"/>
        </w:rPr>
        <w:t>exprimant en sa qualité de Président du groupe informel d</w:t>
      </w:r>
      <w:r w:rsidR="007724F8" w:rsidRPr="007724F8">
        <w:rPr>
          <w:lang w:val="fr-FR"/>
        </w:rPr>
        <w:t>’</w:t>
      </w:r>
      <w:r w:rsidRPr="007724F8">
        <w:rPr>
          <w:lang w:val="fr-FR"/>
        </w:rPr>
        <w:t>experts de la conduite automatisée, a informé le WP.1 qu</w:t>
      </w:r>
      <w:r w:rsidR="007724F8" w:rsidRPr="007724F8">
        <w:rPr>
          <w:lang w:val="fr-FR"/>
        </w:rPr>
        <w:t>’</w:t>
      </w:r>
      <w:r w:rsidRPr="007724F8">
        <w:rPr>
          <w:lang w:val="fr-FR"/>
        </w:rPr>
        <w:t>un document traitant des « activités autres que la conduite », fondé sur les documents informels n</w:t>
      </w:r>
      <w:r w:rsidRPr="007724F8">
        <w:rPr>
          <w:vertAlign w:val="superscript"/>
          <w:lang w:val="fr-FR"/>
        </w:rPr>
        <w:t>o</w:t>
      </w:r>
      <w:r w:rsidR="00D95F34" w:rsidRPr="00D95F34">
        <w:rPr>
          <w:lang w:val="fr-FR"/>
        </w:rPr>
        <w:t> </w:t>
      </w:r>
      <w:r w:rsidRPr="007724F8">
        <w:rPr>
          <w:lang w:val="fr-FR"/>
        </w:rPr>
        <w:t>1 (mai 2018) et n</w:t>
      </w:r>
      <w:r w:rsidRPr="007724F8">
        <w:rPr>
          <w:vertAlign w:val="superscript"/>
          <w:lang w:val="fr-FR"/>
        </w:rPr>
        <w:t>o</w:t>
      </w:r>
      <w:r w:rsidRPr="007724F8">
        <w:rPr>
          <w:lang w:val="fr-FR"/>
        </w:rPr>
        <w:t> 4 (mai 2018), serait soumis à la session en cours, sous la cote ECE/TRANS/WP.1/2018/2/Rev.1. Le WP.1 sera invité à l</w:t>
      </w:r>
      <w:r w:rsidR="007724F8" w:rsidRPr="007724F8">
        <w:rPr>
          <w:lang w:val="fr-FR"/>
        </w:rPr>
        <w:t>’</w:t>
      </w:r>
      <w:r w:rsidRPr="007724F8">
        <w:rPr>
          <w:lang w:val="fr-FR"/>
        </w:rPr>
        <w:t>examiner.</w:t>
      </w:r>
    </w:p>
    <w:p w:rsidR="00F55FC1" w:rsidRPr="007724F8" w:rsidRDefault="00A5121C" w:rsidP="008D176C">
      <w:pPr>
        <w:pStyle w:val="SingleTxtG"/>
        <w:ind w:left="2835" w:hanging="1701"/>
        <w:jc w:val="left"/>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ECE/TRANS/WP.1/2018/2/Rev.1, document informel n</w:t>
      </w:r>
      <w:r w:rsidRPr="007724F8">
        <w:rPr>
          <w:vertAlign w:val="superscript"/>
          <w:lang w:val="fr-FR"/>
        </w:rPr>
        <w:t>o</w:t>
      </w:r>
      <w:r w:rsidR="00D95F34">
        <w:rPr>
          <w:lang w:val="fr-FR"/>
        </w:rPr>
        <w:t> </w:t>
      </w:r>
      <w:r w:rsidRPr="007724F8">
        <w:rPr>
          <w:lang w:val="fr-FR"/>
        </w:rPr>
        <w:t>1 (mai 2018) et document informel n</w:t>
      </w:r>
      <w:r w:rsidRPr="007724F8">
        <w:rPr>
          <w:vertAlign w:val="superscript"/>
          <w:lang w:val="fr-FR"/>
        </w:rPr>
        <w:t>o</w:t>
      </w:r>
      <w:r w:rsidRPr="007724F8">
        <w:rPr>
          <w:lang w:val="fr-FR"/>
        </w:rPr>
        <w:t> 4 (mai 2018).</w:t>
      </w:r>
    </w:p>
    <w:p w:rsidR="00F55FC1" w:rsidRPr="007724F8" w:rsidRDefault="00A5121C" w:rsidP="00C43210">
      <w:pPr>
        <w:pStyle w:val="H4G"/>
        <w:rPr>
          <w:lang w:val="fr-FR"/>
        </w:rPr>
      </w:pPr>
      <w:r w:rsidRPr="007724F8">
        <w:rPr>
          <w:lang w:val="fr-FR"/>
        </w:rPr>
        <w:tab/>
        <w:t>ii)</w:t>
      </w:r>
      <w:r w:rsidRPr="007724F8">
        <w:rPr>
          <w:lang w:val="fr-FR"/>
        </w:rPr>
        <w:tab/>
        <w:t>Situations dans lesquelles le conducteur manœuvre son véhicule depuis l</w:t>
      </w:r>
      <w:r w:rsidR="007724F8" w:rsidRPr="007724F8">
        <w:rPr>
          <w:lang w:val="fr-FR"/>
        </w:rPr>
        <w:t>’</w:t>
      </w:r>
      <w:r w:rsidRPr="007724F8">
        <w:rPr>
          <w:lang w:val="fr-FR"/>
        </w:rPr>
        <w:t xml:space="preserve">extérieur </w:t>
      </w:r>
    </w:p>
    <w:p w:rsidR="00F55FC1" w:rsidRPr="007724F8" w:rsidRDefault="00A5121C" w:rsidP="00616947">
      <w:pPr>
        <w:pStyle w:val="SingleTxtG"/>
        <w:ind w:firstLine="567"/>
        <w:rPr>
          <w:lang w:val="fr-FR"/>
        </w:rPr>
      </w:pPr>
      <w:r w:rsidRPr="007724F8">
        <w:rPr>
          <w:lang w:val="fr-FR"/>
        </w:rPr>
        <w:t>À la session extraordinaire de mai 2018, le représentant de la France, s</w:t>
      </w:r>
      <w:r w:rsidR="007724F8" w:rsidRPr="007724F8">
        <w:rPr>
          <w:lang w:val="fr-FR"/>
        </w:rPr>
        <w:t>’</w:t>
      </w:r>
      <w:r w:rsidRPr="007724F8">
        <w:rPr>
          <w:lang w:val="fr-FR"/>
        </w:rPr>
        <w:t>exprimant au nom du Japon, des Pays-Bas et du Royaume-Uni de Grande-Bretagne et d</w:t>
      </w:r>
      <w:r w:rsidR="007724F8" w:rsidRPr="007724F8">
        <w:rPr>
          <w:lang w:val="fr-FR"/>
        </w:rPr>
        <w:t>’</w:t>
      </w:r>
      <w:r w:rsidRPr="007724F8">
        <w:rPr>
          <w:lang w:val="fr-FR"/>
        </w:rPr>
        <w:t>Irlande du Nord, a fait le point sur le document ECE/TRANS/WP.1/2018/3. À la dernière session, il a informé le WP.1 que le groupe informel d</w:t>
      </w:r>
      <w:r w:rsidR="007724F8" w:rsidRPr="007724F8">
        <w:rPr>
          <w:lang w:val="fr-FR"/>
        </w:rPr>
        <w:t>’</w:t>
      </w:r>
      <w:r w:rsidRPr="007724F8">
        <w:rPr>
          <w:lang w:val="fr-FR"/>
        </w:rPr>
        <w:t>experts prévoyait d</w:t>
      </w:r>
      <w:r w:rsidR="007724F8" w:rsidRPr="007724F8">
        <w:rPr>
          <w:lang w:val="fr-FR"/>
        </w:rPr>
        <w:t>’</w:t>
      </w:r>
      <w:r w:rsidRPr="007724F8">
        <w:rPr>
          <w:lang w:val="fr-FR"/>
        </w:rPr>
        <w:t>élaborer un document, fondé sur le document ECE/TRANS/WP.1/2018/3, qui traiterait des situations dans lesquelles le conducteur manœuvre son véhicule depuis l</w:t>
      </w:r>
      <w:r w:rsidR="007724F8" w:rsidRPr="007724F8">
        <w:rPr>
          <w:lang w:val="fr-FR"/>
        </w:rPr>
        <w:t>’</w:t>
      </w:r>
      <w:r w:rsidRPr="007724F8">
        <w:rPr>
          <w:lang w:val="fr-FR"/>
        </w:rPr>
        <w:t>extérieur. Le WP.1 sera invité à examiner ce document, publié sous la cote ECE/TRANS/WP.1/2018/3/Rev.1.</w:t>
      </w:r>
    </w:p>
    <w:p w:rsidR="00F55FC1" w:rsidRPr="007724F8" w:rsidRDefault="00A5121C" w:rsidP="00616947">
      <w:pPr>
        <w:pStyle w:val="SingleTxtG"/>
        <w:ind w:left="2835" w:hanging="1701"/>
        <w:rPr>
          <w:lang w:val="en-US"/>
        </w:rPr>
      </w:pPr>
      <w:r w:rsidRPr="007724F8">
        <w:rPr>
          <w:b/>
          <w:bCs/>
          <w:lang w:val="en-US"/>
        </w:rPr>
        <w:t>Document(s</w:t>
      </w:r>
      <w:proofErr w:type="gramStart"/>
      <w:r w:rsidRPr="007724F8">
        <w:rPr>
          <w:b/>
          <w:bCs/>
          <w:lang w:val="en-US"/>
        </w:rPr>
        <w:t>) </w:t>
      </w:r>
      <w:r w:rsidR="00616947" w:rsidRPr="00616947">
        <w:rPr>
          <w:bCs/>
          <w:lang w:val="en-US"/>
        </w:rPr>
        <w:t>:</w:t>
      </w:r>
      <w:proofErr w:type="gramEnd"/>
      <w:r w:rsidR="00C43210">
        <w:rPr>
          <w:b/>
          <w:bCs/>
          <w:lang w:val="en-US"/>
        </w:rPr>
        <w:tab/>
      </w:r>
      <w:r w:rsidRPr="007724F8">
        <w:rPr>
          <w:lang w:val="en-US"/>
        </w:rPr>
        <w:t>ECE/TRANS/WP.1/2018/3/Rev.1.</w:t>
      </w:r>
    </w:p>
    <w:p w:rsidR="00F55FC1" w:rsidRPr="007724F8" w:rsidRDefault="00A5121C" w:rsidP="00C43210">
      <w:pPr>
        <w:pStyle w:val="H4G"/>
        <w:rPr>
          <w:lang w:val="fr-FR"/>
        </w:rPr>
      </w:pPr>
      <w:r w:rsidRPr="007724F8">
        <w:rPr>
          <w:lang w:val="en-US"/>
        </w:rPr>
        <w:tab/>
      </w:r>
      <w:r w:rsidRPr="007724F8">
        <w:rPr>
          <w:lang w:val="fr-FR"/>
        </w:rPr>
        <w:t>iii)</w:t>
      </w:r>
      <w:r w:rsidRPr="007724F8">
        <w:rPr>
          <w:lang w:val="fr-FR"/>
        </w:rPr>
        <w:tab/>
        <w:t>Véhicules hautement ou entièrement automatisés</w:t>
      </w:r>
    </w:p>
    <w:p w:rsidR="00F55FC1" w:rsidRPr="007724F8" w:rsidRDefault="00A5121C" w:rsidP="00616947">
      <w:pPr>
        <w:pStyle w:val="SingleTxtG"/>
        <w:ind w:firstLine="567"/>
        <w:rPr>
          <w:lang w:val="fr-FR"/>
        </w:rPr>
      </w:pPr>
      <w:r w:rsidRPr="007724F8">
        <w:rPr>
          <w:lang w:val="fr-FR"/>
        </w:rPr>
        <w:t>À sa dernière session, le WP.1 a examiné et adopté avec quelques modifications le document ECE/TRANS/WP.1/2018/4/Rev.2. Le texte final adopté est reproduit dans l</w:t>
      </w:r>
      <w:r w:rsidR="007724F8" w:rsidRPr="007724F8">
        <w:rPr>
          <w:lang w:val="fr-FR"/>
        </w:rPr>
        <w:t>’</w:t>
      </w:r>
      <w:r w:rsidRPr="007724F8">
        <w:rPr>
          <w:lang w:val="fr-FR"/>
        </w:rPr>
        <w:t>annexe I (« Résolution du Forum mondial de la sécurité routière (WP.1) sur le déploiement de véhicules hautement et entièrement automatisés dans la circulation routière ») du document ECE/TRANS/WP.1/165. À la session en cours, le secrétariat soumettra cette annexe sous la cote ECE/TRANS/WP.1/2018/4/Rev.3, pour information uniquement. Le WP.1 sera en outre invité à réfléchir aux moyens de faire connaître la Résolution.</w:t>
      </w:r>
    </w:p>
    <w:p w:rsidR="00F55FC1" w:rsidRPr="007724F8" w:rsidRDefault="00A5121C" w:rsidP="00C43210">
      <w:pPr>
        <w:pStyle w:val="H4G"/>
        <w:rPr>
          <w:lang w:val="fr-FR"/>
        </w:rPr>
      </w:pPr>
      <w:r w:rsidRPr="007724F8">
        <w:rPr>
          <w:lang w:val="fr-FR"/>
        </w:rPr>
        <w:tab/>
        <w:t>iv)</w:t>
      </w:r>
      <w:r w:rsidRPr="007724F8">
        <w:rPr>
          <w:lang w:val="fr-FR"/>
        </w:rPr>
        <w:tab/>
        <w:t>Proposition d</w:t>
      </w:r>
      <w:r w:rsidR="007724F8" w:rsidRPr="007724F8">
        <w:rPr>
          <w:lang w:val="fr-FR"/>
        </w:rPr>
        <w:t>’</w:t>
      </w:r>
      <w:r w:rsidRPr="007724F8">
        <w:rPr>
          <w:lang w:val="fr-FR"/>
        </w:rPr>
        <w:t>amendement à l</w:t>
      </w:r>
      <w:r w:rsidR="007724F8" w:rsidRPr="007724F8">
        <w:rPr>
          <w:lang w:val="fr-FR"/>
        </w:rPr>
        <w:t>’</w:t>
      </w:r>
      <w:r w:rsidRPr="007724F8">
        <w:rPr>
          <w:lang w:val="fr-FR"/>
        </w:rPr>
        <w:t xml:space="preserve">article 8 de la Convention de 1968 </w:t>
      </w:r>
      <w:r w:rsidR="00C43210">
        <w:rPr>
          <w:lang w:val="fr-FR"/>
        </w:rPr>
        <w:br/>
      </w:r>
      <w:r w:rsidRPr="007724F8">
        <w:rPr>
          <w:lang w:val="fr-FR"/>
        </w:rPr>
        <w:t xml:space="preserve">sur la circulation routière </w:t>
      </w:r>
    </w:p>
    <w:p w:rsidR="00F55FC1" w:rsidRPr="007724F8" w:rsidRDefault="00A5121C" w:rsidP="00616947">
      <w:pPr>
        <w:pStyle w:val="SingleTxtG"/>
        <w:ind w:firstLine="567"/>
        <w:rPr>
          <w:lang w:val="fr-FR"/>
        </w:rPr>
      </w:pPr>
      <w:r w:rsidRPr="007724F8">
        <w:rPr>
          <w:lang w:val="fr-FR"/>
        </w:rPr>
        <w:t>À la dernière session, la France a présenté le document informel n</w:t>
      </w:r>
      <w:r w:rsidRPr="007724F8">
        <w:rPr>
          <w:vertAlign w:val="superscript"/>
          <w:lang w:val="fr-FR"/>
        </w:rPr>
        <w:t>o</w:t>
      </w:r>
      <w:r w:rsidR="00A459B0">
        <w:rPr>
          <w:lang w:val="fr-FR"/>
        </w:rPr>
        <w:t> </w:t>
      </w:r>
      <w:r w:rsidRPr="007724F8">
        <w:rPr>
          <w:lang w:val="fr-FR"/>
        </w:rPr>
        <w:t>6 (septembre 2018), contenant un avant-projet d</w:t>
      </w:r>
      <w:r w:rsidR="007724F8" w:rsidRPr="007724F8">
        <w:rPr>
          <w:lang w:val="fr-FR"/>
        </w:rPr>
        <w:t>’</w:t>
      </w:r>
      <w:r w:rsidRPr="007724F8">
        <w:rPr>
          <w:lang w:val="fr-FR"/>
        </w:rPr>
        <w:t>amendement à l</w:t>
      </w:r>
      <w:r w:rsidR="007724F8" w:rsidRPr="007724F8">
        <w:rPr>
          <w:lang w:val="fr-FR"/>
        </w:rPr>
        <w:t>’</w:t>
      </w:r>
      <w:r w:rsidRPr="007724F8">
        <w:rPr>
          <w:lang w:val="fr-FR"/>
        </w:rPr>
        <w:t>article 8 de la Convention de 1968 sur la circulation routière. Elle a informé le WP.1 qu</w:t>
      </w:r>
      <w:r w:rsidR="007724F8" w:rsidRPr="007724F8">
        <w:rPr>
          <w:lang w:val="fr-FR"/>
        </w:rPr>
        <w:t>’</w:t>
      </w:r>
      <w:r w:rsidRPr="007724F8">
        <w:rPr>
          <w:lang w:val="fr-FR"/>
        </w:rPr>
        <w:t>elle prévoyait de réviser ce document et de le soumettre à la session en cours. Le WP.1 sera invité à en examiner la version actualisée.</w:t>
      </w:r>
    </w:p>
    <w:p w:rsidR="00F55FC1" w:rsidRPr="007724F8" w:rsidRDefault="00A5121C" w:rsidP="00C43210">
      <w:pPr>
        <w:pStyle w:val="H4G"/>
        <w:rPr>
          <w:lang w:val="fr-FR"/>
        </w:rPr>
      </w:pPr>
      <w:r w:rsidRPr="007724F8">
        <w:rPr>
          <w:lang w:val="fr-FR"/>
        </w:rPr>
        <w:tab/>
        <w:t>v)</w:t>
      </w:r>
      <w:r w:rsidRPr="007724F8">
        <w:rPr>
          <w:lang w:val="fr-FR"/>
        </w:rPr>
        <w:tab/>
        <w:t>Manifestation organisée conjointement par le WP.1 et le WP.29 sur le thème « L</w:t>
      </w:r>
      <w:r w:rsidR="007724F8" w:rsidRPr="007724F8">
        <w:rPr>
          <w:lang w:val="fr-FR"/>
        </w:rPr>
        <w:t>’</w:t>
      </w:r>
      <w:r w:rsidRPr="007724F8">
        <w:rPr>
          <w:lang w:val="fr-FR"/>
        </w:rPr>
        <w:t xml:space="preserve">automatisation dans les transports : déploiement en toute sécurité </w:t>
      </w:r>
      <w:r w:rsidR="00C43210">
        <w:rPr>
          <w:lang w:val="fr-FR"/>
        </w:rPr>
        <w:br/>
      </w:r>
      <w:r w:rsidRPr="007724F8">
        <w:rPr>
          <w:lang w:val="fr-FR"/>
        </w:rPr>
        <w:t>de véhicules automatisés dans la circulation routière »</w:t>
      </w:r>
    </w:p>
    <w:p w:rsidR="00F55FC1" w:rsidRPr="007724F8" w:rsidRDefault="00A5121C" w:rsidP="00616947">
      <w:pPr>
        <w:pStyle w:val="SingleTxtG"/>
        <w:ind w:firstLine="567"/>
        <w:rPr>
          <w:lang w:val="fr-FR"/>
        </w:rPr>
      </w:pPr>
      <w:r w:rsidRPr="007724F8">
        <w:rPr>
          <w:lang w:val="fr-FR"/>
        </w:rPr>
        <w:t>Le WP.1 sera informé et invité à débattre des résultats de la session extraordinaire qu</w:t>
      </w:r>
      <w:r w:rsidR="007724F8" w:rsidRPr="007724F8">
        <w:rPr>
          <w:lang w:val="fr-FR"/>
        </w:rPr>
        <w:t>’</w:t>
      </w:r>
      <w:r w:rsidRPr="007724F8">
        <w:rPr>
          <w:lang w:val="fr-FR"/>
        </w:rPr>
        <w:t xml:space="preserve">il aura tenue le 18 février 2019, pendant la quatre-vingt-unième session du Comité des </w:t>
      </w:r>
      <w:r w:rsidRPr="007724F8">
        <w:rPr>
          <w:lang w:val="fr-FR"/>
        </w:rPr>
        <w:lastRenderedPageBreak/>
        <w:t>transports intérieurs, sous la forme d</w:t>
      </w:r>
      <w:r w:rsidR="007724F8" w:rsidRPr="007724F8">
        <w:rPr>
          <w:lang w:val="fr-FR"/>
        </w:rPr>
        <w:t>’</w:t>
      </w:r>
      <w:r w:rsidRPr="007724F8">
        <w:rPr>
          <w:lang w:val="fr-FR"/>
        </w:rPr>
        <w:t>une manifestation organisée conjointement avec le Forum mondial de l</w:t>
      </w:r>
      <w:r w:rsidR="007724F8" w:rsidRPr="007724F8">
        <w:rPr>
          <w:lang w:val="fr-FR"/>
        </w:rPr>
        <w:t>’</w:t>
      </w:r>
      <w:r w:rsidRPr="007724F8">
        <w:rPr>
          <w:lang w:val="fr-FR"/>
        </w:rPr>
        <w:t>harmonisation des Règlements concernant les véhicules (WP.29).</w:t>
      </w:r>
    </w:p>
    <w:p w:rsidR="00F55FC1" w:rsidRPr="007724F8" w:rsidRDefault="00A5121C" w:rsidP="008D176C">
      <w:pPr>
        <w:pStyle w:val="SingleTxtG"/>
        <w:ind w:left="2835" w:hanging="1701"/>
        <w:jc w:val="left"/>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ECE/TRANS/WP.1/2018/4/Rev.3 et document informel n</w:t>
      </w:r>
      <w:r w:rsidRPr="007724F8">
        <w:rPr>
          <w:vertAlign w:val="superscript"/>
          <w:lang w:val="fr-FR"/>
        </w:rPr>
        <w:t>o</w:t>
      </w:r>
      <w:r w:rsidR="008D176C">
        <w:rPr>
          <w:lang w:val="fr-FR"/>
        </w:rPr>
        <w:t xml:space="preserve"> 6 </w:t>
      </w:r>
      <w:r w:rsidRPr="007724F8">
        <w:rPr>
          <w:lang w:val="fr-FR"/>
        </w:rPr>
        <w:t>(septembre 2018).</w:t>
      </w:r>
    </w:p>
    <w:p w:rsidR="00F55FC1" w:rsidRPr="007724F8" w:rsidRDefault="00A5121C" w:rsidP="00C43210">
      <w:pPr>
        <w:pStyle w:val="H1G"/>
        <w:rPr>
          <w:lang w:val="fr-FR"/>
        </w:rPr>
      </w:pPr>
      <w:r w:rsidRPr="007724F8">
        <w:rPr>
          <w:lang w:val="fr-FR"/>
        </w:rPr>
        <w:tab/>
        <w:t>4.</w:t>
      </w:r>
      <w:r w:rsidRPr="007724F8">
        <w:rPr>
          <w:lang w:val="fr-FR"/>
        </w:rPr>
        <w:tab/>
        <w:t>Convention de 1968 sur la signalisation routière</w:t>
      </w:r>
    </w:p>
    <w:p w:rsidR="00F55FC1" w:rsidRPr="007724F8" w:rsidRDefault="00A5121C" w:rsidP="00C43210">
      <w:pPr>
        <w:pStyle w:val="H23G"/>
        <w:rPr>
          <w:lang w:val="fr-FR"/>
        </w:rPr>
      </w:pPr>
      <w:r w:rsidRPr="007724F8">
        <w:rPr>
          <w:lang w:val="fr-FR"/>
        </w:rPr>
        <w:tab/>
      </w:r>
      <w:r w:rsidRPr="007724F8">
        <w:rPr>
          <w:lang w:val="fr-FR"/>
        </w:rPr>
        <w:tab/>
        <w:t>Groupe d</w:t>
      </w:r>
      <w:r w:rsidR="007724F8" w:rsidRPr="007724F8">
        <w:rPr>
          <w:lang w:val="fr-FR"/>
        </w:rPr>
        <w:t>’</w:t>
      </w:r>
      <w:r w:rsidRPr="007724F8">
        <w:rPr>
          <w:lang w:val="fr-FR"/>
        </w:rPr>
        <w:t>experts de la signalisation routière</w:t>
      </w:r>
    </w:p>
    <w:p w:rsidR="00F55FC1" w:rsidRPr="00F5161A" w:rsidRDefault="00A5121C" w:rsidP="00F5161A">
      <w:pPr>
        <w:pStyle w:val="SingleTxtG"/>
        <w:spacing w:line="220" w:lineRule="atLeast"/>
        <w:ind w:firstLine="567"/>
        <w:rPr>
          <w:spacing w:val="-2"/>
          <w:lang w:val="fr-FR"/>
        </w:rPr>
      </w:pPr>
      <w:r w:rsidRPr="00F5161A">
        <w:rPr>
          <w:spacing w:val="-2"/>
          <w:lang w:val="fr-FR"/>
        </w:rPr>
        <w:t>À la dernière session, le Président du Groupe d</w:t>
      </w:r>
      <w:r w:rsidR="007724F8" w:rsidRPr="00F5161A">
        <w:rPr>
          <w:spacing w:val="-2"/>
          <w:lang w:val="fr-FR"/>
        </w:rPr>
        <w:t>’</w:t>
      </w:r>
      <w:r w:rsidRPr="00F5161A">
        <w:rPr>
          <w:spacing w:val="-2"/>
          <w:lang w:val="fr-FR"/>
        </w:rPr>
        <w:t>experts de la signalisation routière a fait part des progrès réalisés par son groupe dans la révision de la Convention de 1968 sur la signalisation routière et de l</w:t>
      </w:r>
      <w:r w:rsidR="007724F8" w:rsidRPr="00F5161A">
        <w:rPr>
          <w:spacing w:val="-2"/>
          <w:lang w:val="fr-FR"/>
        </w:rPr>
        <w:t>’</w:t>
      </w:r>
      <w:r w:rsidRPr="00F5161A">
        <w:rPr>
          <w:spacing w:val="-2"/>
          <w:lang w:val="fr-FR"/>
        </w:rPr>
        <w:t>Accord européen de 1971 qui la complète ; il a présenté le document informel n</w:t>
      </w:r>
      <w:r w:rsidRPr="00F5161A">
        <w:rPr>
          <w:spacing w:val="-2"/>
          <w:vertAlign w:val="superscript"/>
          <w:lang w:val="fr-FR"/>
        </w:rPr>
        <w:t>o</w:t>
      </w:r>
      <w:r w:rsidR="008D176C" w:rsidRPr="00F5161A">
        <w:rPr>
          <w:spacing w:val="-2"/>
          <w:lang w:val="fr-FR"/>
        </w:rPr>
        <w:t> </w:t>
      </w:r>
      <w:r w:rsidRPr="00F5161A">
        <w:rPr>
          <w:spacing w:val="-2"/>
          <w:lang w:val="fr-FR"/>
        </w:rPr>
        <w:t>1 (septembre 2018), qui contient la première ébauche du rapport final du Groupe. À la session en cours, il présentera le projet de rapport final du Groupe (document informel n</w:t>
      </w:r>
      <w:r w:rsidRPr="00F5161A">
        <w:rPr>
          <w:spacing w:val="-2"/>
          <w:vertAlign w:val="superscript"/>
          <w:lang w:val="fr-FR"/>
        </w:rPr>
        <w:t>o</w:t>
      </w:r>
      <w:r w:rsidR="008D176C" w:rsidRPr="00F5161A">
        <w:rPr>
          <w:spacing w:val="-2"/>
          <w:lang w:val="fr-FR"/>
        </w:rPr>
        <w:t> </w:t>
      </w:r>
      <w:r w:rsidRPr="00F5161A">
        <w:rPr>
          <w:spacing w:val="-2"/>
          <w:lang w:val="fr-FR"/>
        </w:rPr>
        <w:t>1 de mars 2019) et les recommandations concernant les signaux ne figurant pas dans la Convention, et fera le point des progrès d</w:t>
      </w:r>
      <w:r w:rsidR="007724F8" w:rsidRPr="00F5161A">
        <w:rPr>
          <w:spacing w:val="-2"/>
          <w:lang w:val="fr-FR"/>
        </w:rPr>
        <w:t>’</w:t>
      </w:r>
      <w:r w:rsidRPr="00F5161A">
        <w:rPr>
          <w:spacing w:val="-2"/>
          <w:lang w:val="fr-FR"/>
        </w:rPr>
        <w:t xml:space="preserve">ensemble qui auront été accomplis. Comme </w:t>
      </w:r>
      <w:proofErr w:type="gramStart"/>
      <w:r w:rsidRPr="00F5161A">
        <w:rPr>
          <w:spacing w:val="-2"/>
          <w:lang w:val="fr-FR"/>
        </w:rPr>
        <w:t>suite aux</w:t>
      </w:r>
      <w:proofErr w:type="gramEnd"/>
      <w:r w:rsidRPr="00F5161A">
        <w:rPr>
          <w:spacing w:val="-2"/>
          <w:lang w:val="fr-FR"/>
        </w:rPr>
        <w:t xml:space="preserve"> débats qui ont eu lieu à la dernière session (ECE/TRANS/WP.1/165, par. 30), le WP.1 souhaitera peut-être examiner la question des combinaisons de couleurs incohérentes qu</w:t>
      </w:r>
      <w:r w:rsidR="007724F8" w:rsidRPr="00F5161A">
        <w:rPr>
          <w:spacing w:val="-2"/>
          <w:lang w:val="fr-FR"/>
        </w:rPr>
        <w:t>’</w:t>
      </w:r>
      <w:r w:rsidRPr="00F5161A">
        <w:rPr>
          <w:spacing w:val="-2"/>
          <w:lang w:val="fr-FR"/>
        </w:rPr>
        <w:t>autorise la Convention de 1968 sur la signalisation routière (association du rouge et du blanc dans les signaux d</w:t>
      </w:r>
      <w:r w:rsidR="007724F8" w:rsidRPr="00F5161A">
        <w:rPr>
          <w:spacing w:val="-2"/>
          <w:lang w:val="fr-FR"/>
        </w:rPr>
        <w:t>’</w:t>
      </w:r>
      <w:r w:rsidRPr="00F5161A">
        <w:rPr>
          <w:spacing w:val="-2"/>
          <w:lang w:val="fr-FR"/>
        </w:rPr>
        <w:t>obligation ronds).</w:t>
      </w:r>
    </w:p>
    <w:p w:rsidR="00F55FC1" w:rsidRPr="007724F8" w:rsidRDefault="00A5121C" w:rsidP="00F5161A">
      <w:pPr>
        <w:pStyle w:val="SingleTxtG"/>
        <w:spacing w:line="220" w:lineRule="atLeast"/>
        <w:ind w:firstLine="567"/>
        <w:rPr>
          <w:lang w:val="fr-FR"/>
        </w:rPr>
      </w:pPr>
      <w:r w:rsidRPr="007724F8">
        <w:rPr>
          <w:lang w:val="fr-FR"/>
        </w:rPr>
        <w:t>Le secrétariat rendra compte au WP.1 de l</w:t>
      </w:r>
      <w:r w:rsidR="007724F8" w:rsidRPr="007724F8">
        <w:rPr>
          <w:lang w:val="fr-FR"/>
        </w:rPr>
        <w:t>’</w:t>
      </w:r>
      <w:r w:rsidRPr="007724F8">
        <w:rPr>
          <w:lang w:val="fr-FR"/>
        </w:rPr>
        <w:t>état d</w:t>
      </w:r>
      <w:r w:rsidR="007724F8" w:rsidRPr="007724F8">
        <w:rPr>
          <w:lang w:val="fr-FR"/>
        </w:rPr>
        <w:t>’</w:t>
      </w:r>
      <w:r w:rsidRPr="007724F8">
        <w:rPr>
          <w:lang w:val="fr-FR"/>
        </w:rPr>
        <w:t>avancement des travaux d</w:t>
      </w:r>
      <w:r w:rsidR="007724F8" w:rsidRPr="007724F8">
        <w:rPr>
          <w:lang w:val="fr-FR"/>
        </w:rPr>
        <w:t>’</w:t>
      </w:r>
      <w:r w:rsidRPr="007724F8">
        <w:rPr>
          <w:lang w:val="fr-FR"/>
        </w:rPr>
        <w:t>élaboration de la version électronique de la Convention de 1968 sur la signalisation routière (e-</w:t>
      </w:r>
      <w:proofErr w:type="spellStart"/>
      <w:r w:rsidRPr="007724F8">
        <w:rPr>
          <w:lang w:val="fr-FR"/>
        </w:rPr>
        <w:t>C</w:t>
      </w:r>
      <w:r w:rsidR="00BE2B53">
        <w:rPr>
          <w:lang w:val="fr-FR"/>
        </w:rPr>
        <w:t>o</w:t>
      </w:r>
      <w:r w:rsidRPr="007724F8">
        <w:rPr>
          <w:lang w:val="fr-FR"/>
        </w:rPr>
        <w:t>RSS</w:t>
      </w:r>
      <w:proofErr w:type="spellEnd"/>
      <w:r w:rsidRPr="007724F8">
        <w:rPr>
          <w:lang w:val="fr-FR"/>
        </w:rPr>
        <w:t>).</w:t>
      </w:r>
    </w:p>
    <w:p w:rsidR="00F55FC1" w:rsidRPr="007724F8" w:rsidRDefault="00A5121C" w:rsidP="00F5161A">
      <w:pPr>
        <w:pStyle w:val="SingleTxtG"/>
        <w:spacing w:line="220" w:lineRule="atLeast"/>
        <w:ind w:left="2835" w:hanging="1701"/>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Document informel n</w:t>
      </w:r>
      <w:r w:rsidRPr="007724F8">
        <w:rPr>
          <w:vertAlign w:val="superscript"/>
          <w:lang w:val="fr-FR"/>
        </w:rPr>
        <w:t>o</w:t>
      </w:r>
      <w:r w:rsidRPr="007724F8">
        <w:rPr>
          <w:lang w:val="fr-FR"/>
        </w:rPr>
        <w:t xml:space="preserve"> 1 (septembre 2018) et document informel n</w:t>
      </w:r>
      <w:r w:rsidRPr="007724F8">
        <w:rPr>
          <w:vertAlign w:val="superscript"/>
          <w:lang w:val="fr-FR"/>
        </w:rPr>
        <w:t>o</w:t>
      </w:r>
      <w:r w:rsidR="008D176C">
        <w:rPr>
          <w:lang w:val="fr-FR"/>
        </w:rPr>
        <w:t> </w:t>
      </w:r>
      <w:r w:rsidRPr="007724F8">
        <w:rPr>
          <w:lang w:val="fr-FR"/>
        </w:rPr>
        <w:t>1 (mars 2019).</w:t>
      </w:r>
    </w:p>
    <w:p w:rsidR="00F55FC1" w:rsidRPr="007724F8" w:rsidRDefault="00A5121C" w:rsidP="00C43210">
      <w:pPr>
        <w:pStyle w:val="H1G"/>
        <w:rPr>
          <w:lang w:val="fr-FR"/>
        </w:rPr>
      </w:pPr>
      <w:r w:rsidRPr="007724F8">
        <w:rPr>
          <w:lang w:val="fr-FR"/>
        </w:rPr>
        <w:tab/>
        <w:t>5.</w:t>
      </w:r>
      <w:r w:rsidRPr="007724F8">
        <w:rPr>
          <w:lang w:val="fr-FR"/>
        </w:rPr>
        <w:tab/>
        <w:t>Résolution d</w:t>
      </w:r>
      <w:r w:rsidR="007724F8" w:rsidRPr="007724F8">
        <w:rPr>
          <w:lang w:val="fr-FR"/>
        </w:rPr>
        <w:t>’</w:t>
      </w:r>
      <w:r w:rsidRPr="007724F8">
        <w:rPr>
          <w:lang w:val="fr-FR"/>
        </w:rPr>
        <w:t xml:space="preserve">ensemble sur </w:t>
      </w:r>
      <w:r w:rsidR="00F5161A">
        <w:rPr>
          <w:lang w:val="fr-FR"/>
        </w:rPr>
        <w:t>la circulation routière (R.E.1)</w:t>
      </w:r>
    </w:p>
    <w:p w:rsidR="00F55FC1" w:rsidRPr="007724F8" w:rsidRDefault="00A5121C" w:rsidP="00C43210">
      <w:pPr>
        <w:pStyle w:val="H23G"/>
        <w:rPr>
          <w:lang w:val="fr-FR"/>
        </w:rPr>
      </w:pPr>
      <w:r w:rsidRPr="007724F8">
        <w:rPr>
          <w:lang w:val="fr-FR"/>
        </w:rPr>
        <w:tab/>
        <w:t>a)</w:t>
      </w:r>
      <w:r w:rsidRPr="007724F8">
        <w:rPr>
          <w:lang w:val="fr-FR"/>
        </w:rPr>
        <w:tab/>
        <w:t>Approche systémique de la sécurité</w:t>
      </w:r>
    </w:p>
    <w:p w:rsidR="00F55FC1" w:rsidRPr="007724F8" w:rsidRDefault="00A5121C" w:rsidP="00F5161A">
      <w:pPr>
        <w:pStyle w:val="SingleTxtG"/>
        <w:spacing w:line="220" w:lineRule="atLeast"/>
        <w:ind w:firstLine="567"/>
        <w:rPr>
          <w:lang w:val="fr-FR"/>
        </w:rPr>
      </w:pPr>
      <w:r w:rsidRPr="007724F8">
        <w:rPr>
          <w:lang w:val="fr-FR"/>
        </w:rPr>
        <w:t>À la dernière session, le WP.1 a poursuivi l</w:t>
      </w:r>
      <w:r w:rsidR="007724F8" w:rsidRPr="007724F8">
        <w:rPr>
          <w:lang w:val="fr-FR"/>
        </w:rPr>
        <w:t>’</w:t>
      </w:r>
      <w:r w:rsidRPr="007724F8">
        <w:rPr>
          <w:lang w:val="fr-FR"/>
        </w:rPr>
        <w:t>examen du document ECE/TRANS/WP.1/2014/6/Rev.1, contenant les propositions d</w:t>
      </w:r>
      <w:r w:rsidR="007724F8" w:rsidRPr="007724F8">
        <w:rPr>
          <w:lang w:val="fr-FR"/>
        </w:rPr>
        <w:t>’</w:t>
      </w:r>
      <w:r w:rsidRPr="007724F8">
        <w:rPr>
          <w:lang w:val="fr-FR"/>
        </w:rPr>
        <w:t>amendements de la Suède, dont l</w:t>
      </w:r>
      <w:r w:rsidR="007724F8" w:rsidRPr="007724F8">
        <w:rPr>
          <w:lang w:val="fr-FR"/>
        </w:rPr>
        <w:t>’</w:t>
      </w:r>
      <w:r w:rsidRPr="007724F8">
        <w:rPr>
          <w:lang w:val="fr-FR"/>
        </w:rPr>
        <w:t>objet est la prise en compte de l</w:t>
      </w:r>
      <w:r w:rsidR="007724F8" w:rsidRPr="007724F8">
        <w:rPr>
          <w:lang w:val="fr-FR"/>
        </w:rPr>
        <w:t>’</w:t>
      </w:r>
      <w:r w:rsidRPr="007724F8">
        <w:rPr>
          <w:lang w:val="fr-FR"/>
        </w:rPr>
        <w:t>approche systémique de la sécurité dans la Résolution d</w:t>
      </w:r>
      <w:r w:rsidR="007724F8" w:rsidRPr="007724F8">
        <w:rPr>
          <w:lang w:val="fr-FR"/>
        </w:rPr>
        <w:t>’</w:t>
      </w:r>
      <w:r w:rsidRPr="007724F8">
        <w:rPr>
          <w:lang w:val="fr-FR"/>
        </w:rPr>
        <w:t>ensemble sur la circulation routière (R.E.1). À la session en cours, le WP.1 devrait continuer d</w:t>
      </w:r>
      <w:r w:rsidR="007724F8" w:rsidRPr="007724F8">
        <w:rPr>
          <w:lang w:val="fr-FR"/>
        </w:rPr>
        <w:t>’</w:t>
      </w:r>
      <w:r w:rsidRPr="007724F8">
        <w:rPr>
          <w:lang w:val="fr-FR"/>
        </w:rPr>
        <w:t>examiner ce document à partir du paragraphe 11.1.4.</w:t>
      </w:r>
    </w:p>
    <w:p w:rsidR="00F55FC1" w:rsidRPr="007724F8" w:rsidRDefault="00A5121C" w:rsidP="00F5161A">
      <w:pPr>
        <w:pStyle w:val="SingleTxtG"/>
        <w:spacing w:line="220" w:lineRule="atLeast"/>
        <w:ind w:firstLine="567"/>
        <w:rPr>
          <w:lang w:val="fr-FR"/>
        </w:rPr>
      </w:pPr>
      <w:r w:rsidRPr="007724F8">
        <w:rPr>
          <w:lang w:val="fr-FR"/>
        </w:rPr>
        <w:t>À la dernière session, le WP.1 a également examiné une partie du document ECE/TRANS/WP.1/2018/5/Rev.1, soumis par</w:t>
      </w:r>
      <w:r w:rsidR="00782F22">
        <w:rPr>
          <w:lang w:val="fr-FR"/>
        </w:rPr>
        <w:t xml:space="preserve"> </w:t>
      </w:r>
      <w:r w:rsidR="00782F22" w:rsidRPr="007724F8">
        <w:rPr>
          <w:lang w:val="fr-FR"/>
        </w:rPr>
        <w:t>l’Espagne</w:t>
      </w:r>
      <w:r w:rsidR="00BE2B53">
        <w:rPr>
          <w:lang w:val="fr-FR"/>
        </w:rPr>
        <w:t xml:space="preserve">, </w:t>
      </w:r>
      <w:r w:rsidR="00782F22" w:rsidRPr="007724F8">
        <w:rPr>
          <w:lang w:val="fr-FR"/>
        </w:rPr>
        <w:t xml:space="preserve">les États-Unis d’Amérique </w:t>
      </w:r>
      <w:r w:rsidRPr="007724F8">
        <w:rPr>
          <w:lang w:val="fr-FR"/>
        </w:rPr>
        <w:t>et</w:t>
      </w:r>
      <w:r w:rsidR="00BE2B53">
        <w:rPr>
          <w:lang w:val="fr-FR"/>
        </w:rPr>
        <w:t xml:space="preserve"> </w:t>
      </w:r>
      <w:r w:rsidR="00BE2B53" w:rsidRPr="007724F8">
        <w:rPr>
          <w:lang w:val="fr-FR"/>
        </w:rPr>
        <w:t>l’Italie</w:t>
      </w:r>
      <w:r w:rsidRPr="007724F8">
        <w:rPr>
          <w:lang w:val="fr-FR"/>
        </w:rPr>
        <w:t>, qui porte sur le rôle de la sanction et d</w:t>
      </w:r>
      <w:r w:rsidR="007724F8" w:rsidRPr="007724F8">
        <w:rPr>
          <w:lang w:val="fr-FR"/>
        </w:rPr>
        <w:t>’</w:t>
      </w:r>
      <w:r w:rsidRPr="007724F8">
        <w:rPr>
          <w:lang w:val="fr-FR"/>
        </w:rPr>
        <w:t>autres mesures à caractère contraignant. À la session en cours, le WP.1 devrait poursuivre l</w:t>
      </w:r>
      <w:r w:rsidR="007724F8" w:rsidRPr="007724F8">
        <w:rPr>
          <w:lang w:val="fr-FR"/>
        </w:rPr>
        <w:t>’</w:t>
      </w:r>
      <w:r w:rsidRPr="007724F8">
        <w:rPr>
          <w:lang w:val="fr-FR"/>
        </w:rPr>
        <w:t>examen de ce document à partir du paragraphe 3 du point 2.4.1.3.</w:t>
      </w:r>
    </w:p>
    <w:p w:rsidR="00F55FC1" w:rsidRPr="007724F8" w:rsidRDefault="00A5121C" w:rsidP="00F5161A">
      <w:pPr>
        <w:pStyle w:val="SingleTxtG"/>
        <w:spacing w:line="220" w:lineRule="atLeast"/>
        <w:ind w:left="2835" w:hanging="1701"/>
        <w:jc w:val="left"/>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ECE/TRANS/WP.1/2014/6/Rev.1, ECE/TRANS/WP.1/2018/5 et ECE/TRANS/WP.1/2018/5/Rev.1.</w:t>
      </w:r>
    </w:p>
    <w:p w:rsidR="00F55FC1" w:rsidRPr="007724F8" w:rsidRDefault="00A5121C" w:rsidP="00C43210">
      <w:pPr>
        <w:pStyle w:val="H23G"/>
        <w:rPr>
          <w:lang w:val="fr-FR"/>
        </w:rPr>
      </w:pPr>
      <w:r w:rsidRPr="007724F8">
        <w:rPr>
          <w:lang w:val="fr-FR"/>
        </w:rPr>
        <w:tab/>
        <w:t>b)</w:t>
      </w:r>
      <w:r w:rsidRPr="007724F8">
        <w:rPr>
          <w:lang w:val="fr-FR"/>
        </w:rPr>
        <w:tab/>
        <w:t>Propositions d</w:t>
      </w:r>
      <w:r w:rsidR="007724F8" w:rsidRPr="007724F8">
        <w:rPr>
          <w:lang w:val="fr-FR"/>
        </w:rPr>
        <w:t>’</w:t>
      </w:r>
      <w:r w:rsidRPr="007724F8">
        <w:rPr>
          <w:lang w:val="fr-FR"/>
        </w:rPr>
        <w:t>amendements sur l</w:t>
      </w:r>
      <w:r w:rsidR="007724F8" w:rsidRPr="007724F8">
        <w:rPr>
          <w:lang w:val="fr-FR"/>
        </w:rPr>
        <w:t>’</w:t>
      </w:r>
      <w:r w:rsidRPr="007724F8">
        <w:rPr>
          <w:lang w:val="fr-FR"/>
        </w:rPr>
        <w:t>inattention au volant </w:t>
      </w:r>
    </w:p>
    <w:p w:rsidR="00F55FC1" w:rsidRPr="007724F8" w:rsidRDefault="00A5121C" w:rsidP="00616947">
      <w:pPr>
        <w:pStyle w:val="SingleTxtG"/>
        <w:ind w:firstLine="567"/>
        <w:rPr>
          <w:lang w:val="fr-FR"/>
        </w:rPr>
      </w:pPr>
      <w:r w:rsidRPr="007724F8">
        <w:rPr>
          <w:lang w:val="fr-FR"/>
        </w:rPr>
        <w:t>Le WP.1 sera invité à poursuivre l</w:t>
      </w:r>
      <w:r w:rsidR="007724F8" w:rsidRPr="007724F8">
        <w:rPr>
          <w:lang w:val="fr-FR"/>
        </w:rPr>
        <w:t>’</w:t>
      </w:r>
      <w:r w:rsidRPr="007724F8">
        <w:rPr>
          <w:lang w:val="fr-FR"/>
        </w:rPr>
        <w:t>examen du document ECE/TRANS/WP.1/2017/2/Rev.1 à partir du point 1.5.2.1.</w:t>
      </w:r>
    </w:p>
    <w:p w:rsidR="00F55FC1" w:rsidRPr="007724F8" w:rsidRDefault="00A5121C" w:rsidP="008D176C">
      <w:pPr>
        <w:pStyle w:val="SingleTxtG"/>
        <w:ind w:left="2835" w:hanging="1701"/>
        <w:jc w:val="left"/>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ECE/TRANS/WP.1/2017/2 et ECE/TRANS/WP.1/2017/2/Rev.1.</w:t>
      </w:r>
    </w:p>
    <w:p w:rsidR="00F55FC1" w:rsidRPr="007724F8" w:rsidRDefault="00A5121C" w:rsidP="00C43210">
      <w:pPr>
        <w:pStyle w:val="H23G"/>
        <w:rPr>
          <w:lang w:val="fr-FR"/>
        </w:rPr>
      </w:pPr>
      <w:r w:rsidRPr="007724F8">
        <w:rPr>
          <w:lang w:val="fr-FR"/>
        </w:rPr>
        <w:tab/>
        <w:t>c)</w:t>
      </w:r>
      <w:r w:rsidRPr="007724F8">
        <w:rPr>
          <w:lang w:val="fr-FR"/>
        </w:rPr>
        <w:tab/>
        <w:t>Propositions d</w:t>
      </w:r>
      <w:r w:rsidR="007724F8" w:rsidRPr="007724F8">
        <w:rPr>
          <w:lang w:val="fr-FR"/>
        </w:rPr>
        <w:t>’</w:t>
      </w:r>
      <w:r w:rsidRPr="007724F8">
        <w:rPr>
          <w:lang w:val="fr-FR"/>
        </w:rPr>
        <w:t xml:space="preserve">amendements sur les politiques concernant les deux-roues motorisés </w:t>
      </w:r>
    </w:p>
    <w:p w:rsidR="00F55FC1" w:rsidRPr="007724F8" w:rsidRDefault="00A5121C" w:rsidP="00F5161A">
      <w:pPr>
        <w:pStyle w:val="SingleTxtG"/>
        <w:spacing w:line="220" w:lineRule="atLeast"/>
        <w:ind w:firstLine="567"/>
        <w:rPr>
          <w:lang w:val="fr-FR"/>
        </w:rPr>
      </w:pPr>
      <w:r w:rsidRPr="007724F8">
        <w:rPr>
          <w:lang w:val="fr-FR"/>
        </w:rPr>
        <w:t>À sa dernière session, le WP.1 a réfléchi à la manière dont il allait traiter le document ECE/TRANS/WP.1/2018/6 (fondé sur le document informel n</w:t>
      </w:r>
      <w:r w:rsidRPr="007724F8">
        <w:rPr>
          <w:vertAlign w:val="superscript"/>
          <w:lang w:val="fr-FR"/>
        </w:rPr>
        <w:t>o</w:t>
      </w:r>
      <w:r w:rsidR="008D176C">
        <w:rPr>
          <w:lang w:val="fr-FR"/>
        </w:rPr>
        <w:t> </w:t>
      </w:r>
      <w:r w:rsidRPr="007724F8">
        <w:rPr>
          <w:lang w:val="fr-FR"/>
        </w:rPr>
        <w:t xml:space="preserve">4 de mars 2018), et a invité les représentants à faire part de leurs observations aux auteurs. La version révisée de ce document devrait être soumise à la session en cours, sous la cote ECE/TRANS/WP.1/2018/6/Rev.1. </w:t>
      </w:r>
    </w:p>
    <w:p w:rsidR="00F55FC1" w:rsidRPr="007724F8" w:rsidRDefault="00A5121C" w:rsidP="00F5161A">
      <w:pPr>
        <w:pStyle w:val="SingleTxtG"/>
        <w:spacing w:line="220" w:lineRule="atLeast"/>
        <w:ind w:left="2835" w:hanging="1701"/>
        <w:jc w:val="left"/>
        <w:rPr>
          <w:lang w:val="fr-FR"/>
        </w:rPr>
      </w:pPr>
      <w:r w:rsidRPr="007724F8">
        <w:rPr>
          <w:b/>
          <w:bCs/>
          <w:lang w:val="fr-FR"/>
        </w:rPr>
        <w:t>Document(s) </w:t>
      </w:r>
      <w:r w:rsidR="00616947" w:rsidRPr="00616947">
        <w:rPr>
          <w:bCs/>
          <w:lang w:val="fr-FR"/>
        </w:rPr>
        <w:t>:</w:t>
      </w:r>
      <w:r w:rsidR="00C43210">
        <w:rPr>
          <w:b/>
          <w:bCs/>
          <w:lang w:val="fr-FR"/>
        </w:rPr>
        <w:tab/>
      </w:r>
      <w:r w:rsidRPr="007724F8">
        <w:rPr>
          <w:lang w:val="fr-FR"/>
        </w:rPr>
        <w:t>Document informel n</w:t>
      </w:r>
      <w:r w:rsidRPr="007724F8">
        <w:rPr>
          <w:vertAlign w:val="superscript"/>
          <w:lang w:val="fr-FR"/>
        </w:rPr>
        <w:t>o</w:t>
      </w:r>
      <w:r w:rsidRPr="007724F8">
        <w:rPr>
          <w:lang w:val="fr-FR"/>
        </w:rPr>
        <w:t> 4 (mars 2018), ECE/TRANS/WP.1</w:t>
      </w:r>
      <w:r w:rsidR="00F5161A">
        <w:rPr>
          <w:lang w:val="fr-FR"/>
        </w:rPr>
        <w:t>/</w:t>
      </w:r>
      <w:r w:rsidRPr="007724F8">
        <w:rPr>
          <w:lang w:val="fr-FR"/>
        </w:rPr>
        <w:t>2018/6 et</w:t>
      </w:r>
      <w:r w:rsidR="008D176C">
        <w:rPr>
          <w:lang w:val="fr-FR"/>
        </w:rPr>
        <w:t> </w:t>
      </w:r>
      <w:r w:rsidRPr="007724F8">
        <w:rPr>
          <w:lang w:val="fr-FR"/>
        </w:rPr>
        <w:t>Rev.1.</w:t>
      </w:r>
    </w:p>
    <w:p w:rsidR="00F55FC1" w:rsidRPr="007724F8" w:rsidRDefault="00A5121C" w:rsidP="00C43210">
      <w:pPr>
        <w:pStyle w:val="H23G"/>
        <w:rPr>
          <w:lang w:val="fr-FR"/>
        </w:rPr>
      </w:pPr>
      <w:r w:rsidRPr="007724F8">
        <w:rPr>
          <w:lang w:val="fr-FR"/>
        </w:rPr>
        <w:lastRenderedPageBreak/>
        <w:tab/>
        <w:t>d)</w:t>
      </w:r>
      <w:r w:rsidRPr="007724F8">
        <w:rPr>
          <w:lang w:val="fr-FR"/>
        </w:rPr>
        <w:tab/>
        <w:t>Propositions d</w:t>
      </w:r>
      <w:r w:rsidR="007724F8" w:rsidRPr="007724F8">
        <w:rPr>
          <w:lang w:val="fr-FR"/>
        </w:rPr>
        <w:t>’</w:t>
      </w:r>
      <w:r w:rsidRPr="007724F8">
        <w:rPr>
          <w:lang w:val="fr-FR"/>
        </w:rPr>
        <w:t>amendements sur les usagers de la route vulnérables</w:t>
      </w:r>
    </w:p>
    <w:p w:rsidR="00F55FC1" w:rsidRPr="007724F8" w:rsidRDefault="00A5121C" w:rsidP="00616947">
      <w:pPr>
        <w:pStyle w:val="SingleTxtG"/>
        <w:ind w:firstLine="567"/>
        <w:rPr>
          <w:lang w:val="fr-FR"/>
        </w:rPr>
      </w:pPr>
      <w:r w:rsidRPr="007724F8">
        <w:rPr>
          <w:lang w:val="fr-FR"/>
        </w:rPr>
        <w:t>À sa dernière session, le WP.1 a pris note de l</w:t>
      </w:r>
      <w:r w:rsidR="007724F8" w:rsidRPr="007724F8">
        <w:rPr>
          <w:lang w:val="fr-FR"/>
        </w:rPr>
        <w:t>’</w:t>
      </w:r>
      <w:r w:rsidRPr="007724F8">
        <w:rPr>
          <w:lang w:val="fr-FR"/>
        </w:rPr>
        <w:t>invitation adressée par l</w:t>
      </w:r>
      <w:r w:rsidR="007724F8" w:rsidRPr="007724F8">
        <w:rPr>
          <w:lang w:val="fr-FR"/>
        </w:rPr>
        <w:t>’</w:t>
      </w:r>
      <w:r w:rsidRPr="007724F8">
        <w:rPr>
          <w:lang w:val="fr-FR"/>
        </w:rPr>
        <w:t>Institute of Road Traffic Education (IRTE) à participer début 2019 à une manifestation qui sera consacrée aux enquêtes sur les accidents et à la conception des systèmes de gestion des données dans les pays d</w:t>
      </w:r>
      <w:r w:rsidR="007724F8" w:rsidRPr="007724F8">
        <w:rPr>
          <w:lang w:val="fr-FR"/>
        </w:rPr>
        <w:t>’</w:t>
      </w:r>
      <w:r w:rsidRPr="007724F8">
        <w:rPr>
          <w:lang w:val="fr-FR"/>
        </w:rPr>
        <w:t>Asie du Sud-Est. À la session en cours, la Présidente du WP.1 et l</w:t>
      </w:r>
      <w:r w:rsidR="007724F8" w:rsidRPr="007724F8">
        <w:rPr>
          <w:lang w:val="fr-FR"/>
        </w:rPr>
        <w:t>’</w:t>
      </w:r>
      <w:r w:rsidRPr="007724F8">
        <w:rPr>
          <w:lang w:val="fr-FR"/>
        </w:rPr>
        <w:t>IRTE seront invités à faire le point sur cette manifestation.</w:t>
      </w:r>
    </w:p>
    <w:p w:rsidR="00F55FC1" w:rsidRPr="007724F8" w:rsidRDefault="00A5121C" w:rsidP="00C43210">
      <w:pPr>
        <w:pStyle w:val="H1G"/>
        <w:rPr>
          <w:lang w:val="fr-FR"/>
        </w:rPr>
      </w:pPr>
      <w:r w:rsidRPr="007724F8">
        <w:rPr>
          <w:lang w:val="fr-FR"/>
        </w:rPr>
        <w:tab/>
        <w:t>6.</w:t>
      </w:r>
      <w:r w:rsidRPr="007724F8">
        <w:rPr>
          <w:lang w:val="fr-FR"/>
        </w:rPr>
        <w:tab/>
        <w:t>Révision du mandat et du Règlement intérieur du WP.1</w:t>
      </w:r>
    </w:p>
    <w:p w:rsidR="00F55FC1" w:rsidRPr="007724F8" w:rsidRDefault="00A5121C" w:rsidP="00616947">
      <w:pPr>
        <w:pStyle w:val="SingleTxtG"/>
        <w:ind w:firstLine="567"/>
        <w:rPr>
          <w:lang w:val="fr-FR"/>
        </w:rPr>
      </w:pPr>
      <w:r w:rsidRPr="007724F8">
        <w:rPr>
          <w:lang w:val="fr-FR"/>
        </w:rPr>
        <w:t>À sa dernière session, le WP.1 a poursuivi l</w:t>
      </w:r>
      <w:r w:rsidR="007724F8" w:rsidRPr="007724F8">
        <w:rPr>
          <w:lang w:val="fr-FR"/>
        </w:rPr>
        <w:t>’</w:t>
      </w:r>
      <w:r w:rsidRPr="007724F8">
        <w:rPr>
          <w:lang w:val="fr-FR"/>
        </w:rPr>
        <w:t>examen du document ECE/TRANS/WP.1/100/Add.1/Rev.4 et a révisé jusqu</w:t>
      </w:r>
      <w:r w:rsidR="007724F8" w:rsidRPr="007724F8">
        <w:rPr>
          <w:lang w:val="fr-FR"/>
        </w:rPr>
        <w:t>’</w:t>
      </w:r>
      <w:r w:rsidR="008D176C">
        <w:rPr>
          <w:lang w:val="fr-FR"/>
        </w:rPr>
        <w:t>au paragraphe 1 </w:t>
      </w:r>
      <w:r w:rsidRPr="007724F8">
        <w:rPr>
          <w:lang w:val="fr-FR"/>
        </w:rPr>
        <w:t>h) la section énonçant son mandat. À la session en cours, il devrait continuer de réviser ce document.</w:t>
      </w:r>
    </w:p>
    <w:p w:rsidR="00F55FC1" w:rsidRPr="007724F8" w:rsidRDefault="00A5121C" w:rsidP="00616947">
      <w:pPr>
        <w:pStyle w:val="SingleTxtG"/>
        <w:ind w:left="2835" w:hanging="1701"/>
        <w:rPr>
          <w:lang w:val="en-US"/>
        </w:rPr>
      </w:pPr>
      <w:r w:rsidRPr="007724F8">
        <w:rPr>
          <w:b/>
          <w:bCs/>
          <w:lang w:val="en-US"/>
        </w:rPr>
        <w:t>Document(s</w:t>
      </w:r>
      <w:proofErr w:type="gramStart"/>
      <w:r w:rsidRPr="007724F8">
        <w:rPr>
          <w:b/>
          <w:bCs/>
          <w:lang w:val="en-US"/>
        </w:rPr>
        <w:t>) </w:t>
      </w:r>
      <w:r w:rsidR="00616947" w:rsidRPr="00616947">
        <w:rPr>
          <w:bCs/>
          <w:lang w:val="en-US"/>
        </w:rPr>
        <w:t>:</w:t>
      </w:r>
      <w:proofErr w:type="gramEnd"/>
      <w:r w:rsidR="00C43210">
        <w:rPr>
          <w:b/>
          <w:bCs/>
          <w:lang w:val="en-US"/>
        </w:rPr>
        <w:tab/>
      </w:r>
      <w:r w:rsidRPr="007724F8">
        <w:rPr>
          <w:lang w:val="en-US"/>
        </w:rPr>
        <w:t>ECE/TRANS/WP.1/100/Add.1/Rev.4.</w:t>
      </w:r>
    </w:p>
    <w:p w:rsidR="00F55FC1" w:rsidRPr="007724F8" w:rsidRDefault="00A5121C" w:rsidP="00C43210">
      <w:pPr>
        <w:pStyle w:val="H1G"/>
        <w:rPr>
          <w:lang w:val="fr-FR"/>
        </w:rPr>
      </w:pPr>
      <w:r w:rsidRPr="007724F8">
        <w:rPr>
          <w:lang w:val="en-US"/>
        </w:rPr>
        <w:tab/>
      </w:r>
      <w:r w:rsidRPr="007724F8">
        <w:rPr>
          <w:lang w:val="fr-FR"/>
        </w:rPr>
        <w:t>7.</w:t>
      </w:r>
      <w:r w:rsidRPr="007724F8">
        <w:rPr>
          <w:lang w:val="fr-FR"/>
        </w:rPr>
        <w:tab/>
        <w:t>Objectifs de développement durable : contribution potentielle du WP.1</w:t>
      </w:r>
    </w:p>
    <w:p w:rsidR="00F55FC1" w:rsidRPr="007724F8" w:rsidRDefault="00A5121C" w:rsidP="00616947">
      <w:pPr>
        <w:pStyle w:val="SingleTxtG"/>
        <w:ind w:firstLine="567"/>
        <w:rPr>
          <w:lang w:val="fr-FR"/>
        </w:rPr>
      </w:pPr>
      <w:r w:rsidRPr="007724F8">
        <w:rPr>
          <w:lang w:val="fr-FR"/>
        </w:rPr>
        <w:t>À la dernière session, l</w:t>
      </w:r>
      <w:r w:rsidR="007724F8" w:rsidRPr="007724F8">
        <w:rPr>
          <w:lang w:val="fr-FR"/>
        </w:rPr>
        <w:t>’</w:t>
      </w:r>
      <w:r w:rsidRPr="007724F8">
        <w:rPr>
          <w:lang w:val="fr-FR"/>
        </w:rPr>
        <w:t>Algérie, l</w:t>
      </w:r>
      <w:r w:rsidR="007724F8" w:rsidRPr="007724F8">
        <w:rPr>
          <w:lang w:val="fr-FR"/>
        </w:rPr>
        <w:t>’</w:t>
      </w:r>
      <w:r w:rsidRPr="007724F8">
        <w:rPr>
          <w:lang w:val="fr-FR"/>
        </w:rPr>
        <w:t>État de Palestine, la Jordanie, le Liban, le Maroc et la Tunisie, soit la plupart des pays participant au projet d</w:t>
      </w:r>
      <w:r w:rsidR="007724F8" w:rsidRPr="007724F8">
        <w:rPr>
          <w:lang w:val="fr-FR"/>
        </w:rPr>
        <w:t>’</w:t>
      </w:r>
      <w:r w:rsidRPr="007724F8">
        <w:rPr>
          <w:lang w:val="fr-FR"/>
        </w:rPr>
        <w:t>appui aux transports du Partenariat euro-méditerranéen (Euro-Med), ont présenté des exposés décrivant leurs initiatives en matière de sécurité routière, ainsi que les mesures qu</w:t>
      </w:r>
      <w:r w:rsidR="007724F8" w:rsidRPr="007724F8">
        <w:rPr>
          <w:lang w:val="fr-FR"/>
        </w:rPr>
        <w:t>’</w:t>
      </w:r>
      <w:r w:rsidRPr="007724F8">
        <w:rPr>
          <w:lang w:val="fr-FR"/>
        </w:rPr>
        <w:t>ils entendaient prendre à l</w:t>
      </w:r>
      <w:r w:rsidR="007724F8" w:rsidRPr="007724F8">
        <w:rPr>
          <w:lang w:val="fr-FR"/>
        </w:rPr>
        <w:t>’</w:t>
      </w:r>
      <w:r w:rsidRPr="007724F8">
        <w:rPr>
          <w:lang w:val="fr-FR"/>
        </w:rPr>
        <w:t>appui des objectifs de développement durable relatifs à celle-ci (cibles 3.6 et 11.2).</w:t>
      </w:r>
    </w:p>
    <w:p w:rsidR="00F55FC1" w:rsidRPr="007724F8" w:rsidRDefault="00A5121C" w:rsidP="00616947">
      <w:pPr>
        <w:pStyle w:val="SingleTxtG"/>
        <w:ind w:firstLine="567"/>
        <w:rPr>
          <w:lang w:val="fr-FR"/>
        </w:rPr>
      </w:pPr>
      <w:r w:rsidRPr="007724F8">
        <w:rPr>
          <w:lang w:val="fr-FR"/>
        </w:rPr>
        <w:t>Le WP.1 poursuivra ses discussions et réfléchira aux moyens d</w:t>
      </w:r>
      <w:r w:rsidR="007724F8" w:rsidRPr="007724F8">
        <w:rPr>
          <w:lang w:val="fr-FR"/>
        </w:rPr>
        <w:t>’</w:t>
      </w:r>
      <w:r w:rsidRPr="007724F8">
        <w:rPr>
          <w:lang w:val="fr-FR"/>
        </w:rPr>
        <w:t xml:space="preserve">accroître sa contribution à la réalisation des objectifs de développement durable relatifs à la sécurité routière. </w:t>
      </w:r>
    </w:p>
    <w:p w:rsidR="00F55FC1" w:rsidRPr="007724F8" w:rsidRDefault="00A5121C" w:rsidP="00C43210">
      <w:pPr>
        <w:pStyle w:val="H1G"/>
        <w:rPr>
          <w:lang w:val="fr-FR"/>
        </w:rPr>
      </w:pPr>
      <w:r w:rsidRPr="007724F8">
        <w:rPr>
          <w:lang w:val="fr-FR"/>
        </w:rPr>
        <w:tab/>
        <w:t>8.</w:t>
      </w:r>
      <w:r w:rsidRPr="007724F8">
        <w:rPr>
          <w:lang w:val="fr-FR"/>
        </w:rPr>
        <w:tab/>
        <w:t>Définition de « blessure grave »</w:t>
      </w:r>
    </w:p>
    <w:p w:rsidR="00F55FC1" w:rsidRPr="007724F8" w:rsidRDefault="00A5121C" w:rsidP="00616947">
      <w:pPr>
        <w:pStyle w:val="SingleTxtG"/>
        <w:ind w:firstLine="567"/>
        <w:rPr>
          <w:lang w:val="fr-FR"/>
        </w:rPr>
      </w:pPr>
      <w:r w:rsidRPr="007724F8">
        <w:rPr>
          <w:lang w:val="fr-FR"/>
        </w:rPr>
        <w:t>À sa dernière session, le WP.1 a pris note des informations concernant l</w:t>
      </w:r>
      <w:r w:rsidR="007724F8" w:rsidRPr="007724F8">
        <w:rPr>
          <w:lang w:val="fr-FR"/>
        </w:rPr>
        <w:t>’</w:t>
      </w:r>
      <w:r w:rsidRPr="007724F8">
        <w:rPr>
          <w:lang w:val="fr-FR"/>
        </w:rPr>
        <w:t>état d</w:t>
      </w:r>
      <w:r w:rsidR="007724F8" w:rsidRPr="007724F8">
        <w:rPr>
          <w:lang w:val="fr-FR"/>
        </w:rPr>
        <w:t>’</w:t>
      </w:r>
      <w:r w:rsidRPr="007724F8">
        <w:rPr>
          <w:lang w:val="fr-FR"/>
        </w:rPr>
        <w:t>avancement des travaux d</w:t>
      </w:r>
      <w:r w:rsidR="007724F8" w:rsidRPr="007724F8">
        <w:rPr>
          <w:lang w:val="fr-FR"/>
        </w:rPr>
        <w:t>’</w:t>
      </w:r>
      <w:r w:rsidRPr="007724F8">
        <w:rPr>
          <w:lang w:val="fr-FR"/>
        </w:rPr>
        <w:t>élaboration d</w:t>
      </w:r>
      <w:r w:rsidR="007724F8" w:rsidRPr="007724F8">
        <w:rPr>
          <w:lang w:val="fr-FR"/>
        </w:rPr>
        <w:t>’</w:t>
      </w:r>
      <w:r w:rsidRPr="007724F8">
        <w:rPr>
          <w:lang w:val="fr-FR"/>
        </w:rPr>
        <w:t>une nouvelle version du Glossaire des statistiques de transport, et en particulier l</w:t>
      </w:r>
      <w:r w:rsidR="007724F8" w:rsidRPr="007724F8">
        <w:rPr>
          <w:lang w:val="fr-FR"/>
        </w:rPr>
        <w:t>’</w:t>
      </w:r>
      <w:r w:rsidRPr="007724F8">
        <w:rPr>
          <w:lang w:val="fr-FR"/>
        </w:rPr>
        <w:t>incorporation d</w:t>
      </w:r>
      <w:r w:rsidR="007724F8" w:rsidRPr="007724F8">
        <w:rPr>
          <w:lang w:val="fr-FR"/>
        </w:rPr>
        <w:t>’</w:t>
      </w:r>
      <w:r w:rsidRPr="007724F8">
        <w:rPr>
          <w:lang w:val="fr-FR"/>
        </w:rPr>
        <w:t>une nouvelle définition des blessures graves fondée sur le barème MAIS (</w:t>
      </w:r>
      <w:r w:rsidRPr="007724F8">
        <w:rPr>
          <w:i/>
          <w:lang w:val="fr-FR"/>
        </w:rPr>
        <w:t>Maximum Abbreviated Injury Scale</w:t>
      </w:r>
      <w:r w:rsidRPr="007724F8">
        <w:rPr>
          <w:lang w:val="fr-FR"/>
        </w:rPr>
        <w:t>). À la session en cours, la Suède sera invitée à communiquer des informations au sujet de l</w:t>
      </w:r>
      <w:r w:rsidR="007724F8" w:rsidRPr="007724F8">
        <w:rPr>
          <w:lang w:val="fr-FR"/>
        </w:rPr>
        <w:t>’</w:t>
      </w:r>
      <w:r w:rsidRPr="007724F8">
        <w:rPr>
          <w:lang w:val="fr-FR"/>
        </w:rPr>
        <w:t>application sur le territoire national de la définition figurant dans le MAIS.</w:t>
      </w:r>
    </w:p>
    <w:p w:rsidR="00F55FC1" w:rsidRPr="007724F8" w:rsidRDefault="00A5121C" w:rsidP="00C43210">
      <w:pPr>
        <w:pStyle w:val="H1G"/>
        <w:rPr>
          <w:lang w:val="fr-FR"/>
        </w:rPr>
      </w:pPr>
      <w:r w:rsidRPr="007724F8">
        <w:rPr>
          <w:lang w:val="fr-FR"/>
        </w:rPr>
        <w:tab/>
        <w:t>9.</w:t>
      </w:r>
      <w:r w:rsidRPr="007724F8">
        <w:rPr>
          <w:lang w:val="fr-FR"/>
        </w:rPr>
        <w:tab/>
        <w:t>Questions diverses</w:t>
      </w:r>
    </w:p>
    <w:p w:rsidR="00F55FC1" w:rsidRPr="007724F8" w:rsidRDefault="00A5121C" w:rsidP="00616947">
      <w:pPr>
        <w:pStyle w:val="SingleTxtG"/>
        <w:ind w:firstLine="567"/>
        <w:rPr>
          <w:lang w:val="fr-FR"/>
        </w:rPr>
      </w:pPr>
      <w:r w:rsidRPr="007724F8">
        <w:rPr>
          <w:lang w:val="fr-FR"/>
        </w:rPr>
        <w:t>Le WP.1 célébrera avec l</w:t>
      </w:r>
      <w:r w:rsidR="007724F8" w:rsidRPr="007724F8">
        <w:rPr>
          <w:lang w:val="fr-FR"/>
        </w:rPr>
        <w:t>’</w:t>
      </w:r>
      <w:r w:rsidRPr="007724F8">
        <w:rPr>
          <w:lang w:val="fr-FR"/>
        </w:rPr>
        <w:t>Envoyé spécial du Secrétaire général de l</w:t>
      </w:r>
      <w:r w:rsidR="007724F8" w:rsidRPr="007724F8">
        <w:rPr>
          <w:lang w:val="fr-FR"/>
        </w:rPr>
        <w:t>’</w:t>
      </w:r>
      <w:r w:rsidRPr="007724F8">
        <w:rPr>
          <w:lang w:val="fr-FR"/>
        </w:rPr>
        <w:t xml:space="preserve">ONU pour la sécurité routière le cinquantième anniversaire des </w:t>
      </w:r>
      <w:r w:rsidR="00F5161A">
        <w:rPr>
          <w:lang w:val="fr-FR"/>
        </w:rPr>
        <w:t>C</w:t>
      </w:r>
      <w:r w:rsidRPr="007724F8">
        <w:rPr>
          <w:lang w:val="fr-FR"/>
        </w:rPr>
        <w:t>onventions de 1968 sur la circulation routière et la signalisation routière.</w:t>
      </w:r>
    </w:p>
    <w:p w:rsidR="00F55FC1" w:rsidRPr="007724F8" w:rsidRDefault="00A5121C" w:rsidP="00616947">
      <w:pPr>
        <w:pStyle w:val="SingleTxtG"/>
        <w:ind w:firstLine="567"/>
        <w:rPr>
          <w:lang w:val="fr-FR"/>
        </w:rPr>
      </w:pPr>
      <w:r w:rsidRPr="007724F8">
        <w:rPr>
          <w:lang w:val="fr-FR"/>
        </w:rPr>
        <w:t>La Présidente du WP.1 et le secrétariat communiqueront au WP.1 des informations concernant le Fonds d</w:t>
      </w:r>
      <w:r w:rsidR="007724F8" w:rsidRPr="007724F8">
        <w:rPr>
          <w:lang w:val="fr-FR"/>
        </w:rPr>
        <w:t>’</w:t>
      </w:r>
      <w:r w:rsidRPr="007724F8">
        <w:rPr>
          <w:lang w:val="fr-FR"/>
        </w:rPr>
        <w:t>affectation spéciale des Nations Unies pour la sécurité routière, notamment les efforts déployés pour le rendre opérationnel.</w:t>
      </w:r>
    </w:p>
    <w:p w:rsidR="00F55FC1" w:rsidRPr="007724F8" w:rsidRDefault="00A5121C" w:rsidP="00616947">
      <w:pPr>
        <w:pStyle w:val="SingleTxtG"/>
        <w:ind w:firstLine="567"/>
        <w:rPr>
          <w:lang w:val="fr-FR"/>
        </w:rPr>
      </w:pPr>
      <w:r w:rsidRPr="007724F8">
        <w:rPr>
          <w:lang w:val="fr-FR"/>
        </w:rPr>
        <w:t>Le WP.1 voudra sans doute réfléchir à la contribution qu</w:t>
      </w:r>
      <w:r w:rsidR="007724F8" w:rsidRPr="007724F8">
        <w:rPr>
          <w:lang w:val="fr-FR"/>
        </w:rPr>
        <w:t>’</w:t>
      </w:r>
      <w:r w:rsidRPr="007724F8">
        <w:rPr>
          <w:lang w:val="fr-FR"/>
        </w:rPr>
        <w:t>il pourrait apporter à l</w:t>
      </w:r>
      <w:r w:rsidR="007724F8" w:rsidRPr="007724F8">
        <w:rPr>
          <w:lang w:val="fr-FR"/>
        </w:rPr>
        <w:t>’</w:t>
      </w:r>
      <w:r w:rsidRPr="007724F8">
        <w:rPr>
          <w:lang w:val="fr-FR"/>
        </w:rPr>
        <w:t>occasion de la prochaine Semaine mondiale de la sécurité routière, qui se tiendra en mai 2019.</w:t>
      </w:r>
    </w:p>
    <w:p w:rsidR="00F55FC1" w:rsidRPr="007724F8" w:rsidRDefault="00A5121C" w:rsidP="00616947">
      <w:pPr>
        <w:pStyle w:val="SingleTxtG"/>
        <w:ind w:firstLine="567"/>
        <w:rPr>
          <w:lang w:val="fr-FR"/>
        </w:rPr>
      </w:pPr>
      <w:r w:rsidRPr="007724F8">
        <w:rPr>
          <w:lang w:val="fr-FR"/>
        </w:rPr>
        <w:t>La Présidente du WP.1 rendra compte des réunions de l</w:t>
      </w:r>
      <w:r w:rsidR="007724F8" w:rsidRPr="007724F8">
        <w:rPr>
          <w:lang w:val="fr-FR"/>
        </w:rPr>
        <w:t>’</w:t>
      </w:r>
      <w:r w:rsidRPr="007724F8">
        <w:rPr>
          <w:lang w:val="fr-FR"/>
        </w:rPr>
        <w:t>équipe spéciale exécutive WP.1/WP.29. Les membres du WP.1 seront invités à échanger leurs vues, notamment sur l</w:t>
      </w:r>
      <w:r w:rsidR="007724F8" w:rsidRPr="007724F8">
        <w:rPr>
          <w:lang w:val="fr-FR"/>
        </w:rPr>
        <w:t>’</w:t>
      </w:r>
      <w:r w:rsidRPr="007724F8">
        <w:rPr>
          <w:lang w:val="fr-FR"/>
        </w:rPr>
        <w:t>utilité de l</w:t>
      </w:r>
      <w:r w:rsidR="007724F8" w:rsidRPr="007724F8">
        <w:rPr>
          <w:lang w:val="fr-FR"/>
        </w:rPr>
        <w:t>’</w:t>
      </w:r>
      <w:r w:rsidRPr="007724F8">
        <w:rPr>
          <w:lang w:val="fr-FR"/>
        </w:rPr>
        <w:t>équipe spéciale en tant qu</w:t>
      </w:r>
      <w:r w:rsidR="007724F8" w:rsidRPr="007724F8">
        <w:rPr>
          <w:lang w:val="fr-FR"/>
        </w:rPr>
        <w:t>’</w:t>
      </w:r>
      <w:r w:rsidRPr="007724F8">
        <w:rPr>
          <w:lang w:val="fr-FR"/>
        </w:rPr>
        <w:t>entité chargée de centraliser l</w:t>
      </w:r>
      <w:r w:rsidR="007724F8" w:rsidRPr="007724F8">
        <w:rPr>
          <w:lang w:val="fr-FR"/>
        </w:rPr>
        <w:t>’</w:t>
      </w:r>
      <w:r w:rsidRPr="007724F8">
        <w:rPr>
          <w:lang w:val="fr-FR"/>
        </w:rPr>
        <w:t>information et d</w:t>
      </w:r>
      <w:r w:rsidR="007724F8" w:rsidRPr="007724F8">
        <w:rPr>
          <w:lang w:val="fr-FR"/>
        </w:rPr>
        <w:t>’</w:t>
      </w:r>
      <w:r w:rsidRPr="007724F8">
        <w:rPr>
          <w:lang w:val="fr-FR"/>
        </w:rPr>
        <w:t>assurer la coordination sur les sujets d</w:t>
      </w:r>
      <w:r w:rsidR="007724F8" w:rsidRPr="007724F8">
        <w:rPr>
          <w:lang w:val="fr-FR"/>
        </w:rPr>
        <w:t>’</w:t>
      </w:r>
      <w:r w:rsidRPr="007724F8">
        <w:rPr>
          <w:lang w:val="fr-FR"/>
        </w:rPr>
        <w:t>intérêt commun.</w:t>
      </w:r>
    </w:p>
    <w:p w:rsidR="00F55FC1" w:rsidRPr="007724F8" w:rsidRDefault="00A5121C" w:rsidP="00616947">
      <w:pPr>
        <w:pStyle w:val="SingleTxtG"/>
        <w:ind w:firstLine="567"/>
        <w:rPr>
          <w:lang w:val="fr-FR"/>
        </w:rPr>
      </w:pPr>
      <w:r w:rsidRPr="007724F8">
        <w:rPr>
          <w:lang w:val="fr-FR"/>
        </w:rPr>
        <w:t>Le WP.1 souhaitera peut-être examiner d</w:t>
      </w:r>
      <w:r w:rsidR="007724F8" w:rsidRPr="007724F8">
        <w:rPr>
          <w:lang w:val="fr-FR"/>
        </w:rPr>
        <w:t>’</w:t>
      </w:r>
      <w:r w:rsidRPr="007724F8">
        <w:rPr>
          <w:lang w:val="fr-FR"/>
        </w:rPr>
        <w:t>autres questions.</w:t>
      </w:r>
    </w:p>
    <w:p w:rsidR="00F55FC1" w:rsidRPr="007724F8" w:rsidRDefault="00A5121C" w:rsidP="00C43210">
      <w:pPr>
        <w:pStyle w:val="H1G"/>
        <w:rPr>
          <w:lang w:val="fr-FR"/>
        </w:rPr>
      </w:pPr>
      <w:r w:rsidRPr="007724F8">
        <w:rPr>
          <w:lang w:val="fr-FR"/>
        </w:rPr>
        <w:lastRenderedPageBreak/>
        <w:tab/>
        <w:t>10.</w:t>
      </w:r>
      <w:r w:rsidRPr="007724F8">
        <w:rPr>
          <w:lang w:val="fr-FR"/>
        </w:rPr>
        <w:tab/>
        <w:t>Date de la prochaine session</w:t>
      </w:r>
    </w:p>
    <w:p w:rsidR="00F55FC1" w:rsidRPr="007724F8" w:rsidRDefault="00A5121C" w:rsidP="00616947">
      <w:pPr>
        <w:pStyle w:val="SingleTxtG"/>
        <w:ind w:firstLine="567"/>
        <w:rPr>
          <w:lang w:val="fr-FR"/>
        </w:rPr>
      </w:pPr>
      <w:r w:rsidRPr="007724F8">
        <w:rPr>
          <w:lang w:val="fr-FR"/>
        </w:rPr>
        <w:t>La prochaine session du WP.1 se tiendra du 17 au 20 septembre 2019 à Genève.</w:t>
      </w:r>
    </w:p>
    <w:p w:rsidR="00F55FC1" w:rsidRPr="007724F8" w:rsidRDefault="00A5121C" w:rsidP="00C43210">
      <w:pPr>
        <w:pStyle w:val="H1G"/>
        <w:rPr>
          <w:lang w:val="fr-FR"/>
        </w:rPr>
      </w:pPr>
      <w:r w:rsidRPr="007724F8">
        <w:rPr>
          <w:lang w:val="fr-FR"/>
        </w:rPr>
        <w:tab/>
        <w:t>11.</w:t>
      </w:r>
      <w:r w:rsidRPr="007724F8">
        <w:rPr>
          <w:lang w:val="fr-FR"/>
        </w:rPr>
        <w:tab/>
        <w:t>Adoption du rapport de la soixante-dix-huitième session</w:t>
      </w:r>
    </w:p>
    <w:p w:rsidR="00F9573C" w:rsidRDefault="00A5121C" w:rsidP="00616947">
      <w:pPr>
        <w:pStyle w:val="SingleTxtG"/>
        <w:ind w:firstLine="567"/>
        <w:rPr>
          <w:lang w:val="fr-FR"/>
        </w:rPr>
      </w:pPr>
      <w:r w:rsidRPr="007724F8">
        <w:rPr>
          <w:lang w:val="fr-FR"/>
        </w:rPr>
        <w:t>Le WP.1 adoptera le rapport de sa soixante-dix-huitième session.</w:t>
      </w:r>
    </w:p>
    <w:p w:rsidR="007724F8" w:rsidRPr="007724F8" w:rsidRDefault="007724F8" w:rsidP="007724F8">
      <w:pPr>
        <w:pStyle w:val="SingleTxtG"/>
        <w:spacing w:before="240" w:after="0"/>
        <w:jc w:val="center"/>
        <w:rPr>
          <w:u w:val="single"/>
        </w:rPr>
      </w:pPr>
      <w:r>
        <w:rPr>
          <w:u w:val="single"/>
        </w:rPr>
        <w:tab/>
      </w:r>
      <w:r>
        <w:rPr>
          <w:u w:val="single"/>
        </w:rPr>
        <w:tab/>
      </w:r>
      <w:r>
        <w:rPr>
          <w:u w:val="single"/>
        </w:rPr>
        <w:tab/>
      </w:r>
    </w:p>
    <w:sectPr w:rsidR="007724F8" w:rsidRPr="007724F8" w:rsidSect="006400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71C" w:rsidRDefault="0051771C" w:rsidP="00F95C08">
      <w:pPr>
        <w:spacing w:line="240" w:lineRule="auto"/>
      </w:pPr>
    </w:p>
  </w:endnote>
  <w:endnote w:type="continuationSeparator" w:id="0">
    <w:p w:rsidR="0051771C" w:rsidRPr="00AC3823" w:rsidRDefault="0051771C" w:rsidP="00AC3823">
      <w:pPr>
        <w:pStyle w:val="Footer"/>
      </w:pPr>
    </w:p>
  </w:endnote>
  <w:endnote w:type="continuationNotice" w:id="1">
    <w:p w:rsidR="0051771C" w:rsidRDefault="005177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A4" w:rsidRPr="006400A4" w:rsidRDefault="006400A4" w:rsidP="006400A4">
    <w:pPr>
      <w:pStyle w:val="Footer"/>
      <w:tabs>
        <w:tab w:val="right" w:pos="9638"/>
      </w:tabs>
    </w:pPr>
    <w:r w:rsidRPr="006400A4">
      <w:rPr>
        <w:b/>
        <w:sz w:val="18"/>
      </w:rPr>
      <w:fldChar w:fldCharType="begin"/>
    </w:r>
    <w:r w:rsidRPr="006400A4">
      <w:rPr>
        <w:b/>
        <w:sz w:val="18"/>
      </w:rPr>
      <w:instrText xml:space="preserve"> PAGE  \* MERGEFORMAT </w:instrText>
    </w:r>
    <w:r w:rsidRPr="006400A4">
      <w:rPr>
        <w:b/>
        <w:sz w:val="18"/>
      </w:rPr>
      <w:fldChar w:fldCharType="separate"/>
    </w:r>
    <w:r w:rsidRPr="006400A4">
      <w:rPr>
        <w:b/>
        <w:noProof/>
        <w:sz w:val="18"/>
      </w:rPr>
      <w:t>2</w:t>
    </w:r>
    <w:r w:rsidRPr="006400A4">
      <w:rPr>
        <w:b/>
        <w:sz w:val="18"/>
      </w:rPr>
      <w:fldChar w:fldCharType="end"/>
    </w:r>
    <w:r>
      <w:rPr>
        <w:b/>
        <w:sz w:val="18"/>
      </w:rPr>
      <w:tab/>
    </w:r>
    <w:r>
      <w:t>GE.18-22331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A4" w:rsidRPr="006400A4" w:rsidRDefault="006400A4" w:rsidP="006400A4">
    <w:pPr>
      <w:pStyle w:val="Footer"/>
      <w:tabs>
        <w:tab w:val="right" w:pos="9638"/>
      </w:tabs>
      <w:rPr>
        <w:b/>
        <w:sz w:val="18"/>
      </w:rPr>
    </w:pPr>
    <w:r>
      <w:t>GE.18-22331</w:t>
    </w:r>
    <w:r>
      <w:tab/>
    </w:r>
    <w:r w:rsidRPr="006400A4">
      <w:rPr>
        <w:b/>
        <w:sz w:val="18"/>
      </w:rPr>
      <w:fldChar w:fldCharType="begin"/>
    </w:r>
    <w:r w:rsidRPr="006400A4">
      <w:rPr>
        <w:b/>
        <w:sz w:val="18"/>
      </w:rPr>
      <w:instrText xml:space="preserve"> PAGE  \* MERGEFORMAT </w:instrText>
    </w:r>
    <w:r w:rsidRPr="006400A4">
      <w:rPr>
        <w:b/>
        <w:sz w:val="18"/>
      </w:rPr>
      <w:fldChar w:fldCharType="separate"/>
    </w:r>
    <w:r w:rsidRPr="006400A4">
      <w:rPr>
        <w:b/>
        <w:noProof/>
        <w:sz w:val="18"/>
      </w:rPr>
      <w:t>3</w:t>
    </w:r>
    <w:r w:rsidRPr="006400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400A4" w:rsidRDefault="006400A4" w:rsidP="006400A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22331  (</w:t>
    </w:r>
    <w:proofErr w:type="gramEnd"/>
    <w:r>
      <w:rPr>
        <w:sz w:val="20"/>
      </w:rPr>
      <w:t>F)</w:t>
    </w:r>
    <w:r w:rsidR="00155DE8">
      <w:rPr>
        <w:sz w:val="20"/>
      </w:rPr>
      <w:t xml:space="preserve">    211218    211218</w:t>
    </w:r>
    <w:r>
      <w:rPr>
        <w:sz w:val="20"/>
      </w:rPr>
      <w:br/>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sidRPr="006400A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71C" w:rsidRPr="00AC3823" w:rsidRDefault="0051771C" w:rsidP="00AC3823">
      <w:pPr>
        <w:pStyle w:val="Footer"/>
        <w:tabs>
          <w:tab w:val="right" w:pos="2155"/>
        </w:tabs>
        <w:spacing w:after="80" w:line="240" w:lineRule="atLeast"/>
        <w:ind w:left="680"/>
        <w:rPr>
          <w:u w:val="single"/>
        </w:rPr>
      </w:pPr>
      <w:r>
        <w:rPr>
          <w:u w:val="single"/>
        </w:rPr>
        <w:tab/>
      </w:r>
    </w:p>
  </w:footnote>
  <w:footnote w:type="continuationSeparator" w:id="0">
    <w:p w:rsidR="0051771C" w:rsidRPr="00AC3823" w:rsidRDefault="0051771C" w:rsidP="00AC3823">
      <w:pPr>
        <w:pStyle w:val="Footer"/>
        <w:tabs>
          <w:tab w:val="right" w:pos="2155"/>
        </w:tabs>
        <w:spacing w:after="80" w:line="240" w:lineRule="atLeast"/>
        <w:ind w:left="680"/>
        <w:rPr>
          <w:u w:val="single"/>
        </w:rPr>
      </w:pPr>
      <w:r>
        <w:rPr>
          <w:u w:val="single"/>
        </w:rPr>
        <w:tab/>
      </w:r>
    </w:p>
  </w:footnote>
  <w:footnote w:type="continuationNotice" w:id="1">
    <w:p w:rsidR="0051771C" w:rsidRPr="00AC3823" w:rsidRDefault="0051771C">
      <w:pPr>
        <w:spacing w:line="240" w:lineRule="auto"/>
        <w:rPr>
          <w:sz w:val="2"/>
          <w:szCs w:val="2"/>
        </w:rPr>
      </w:pPr>
    </w:p>
  </w:footnote>
  <w:footnote w:id="2">
    <w:p w:rsidR="002522BE" w:rsidRPr="002522BE" w:rsidRDefault="002522BE" w:rsidP="008D176C">
      <w:pPr>
        <w:pStyle w:val="FootnoteText"/>
      </w:pPr>
      <w:r>
        <w:rPr>
          <w:rStyle w:val="FootnoteReference"/>
        </w:rPr>
        <w:tab/>
      </w:r>
      <w:r w:rsidRPr="002522BE">
        <w:rPr>
          <w:rStyle w:val="FootnoteReference"/>
          <w:sz w:val="20"/>
          <w:vertAlign w:val="baseline"/>
        </w:rPr>
        <w:t>*</w:t>
      </w:r>
      <w:r>
        <w:rPr>
          <w:rStyle w:val="FootnoteReference"/>
          <w:sz w:val="20"/>
          <w:vertAlign w:val="baseline"/>
        </w:rPr>
        <w:tab/>
      </w:r>
      <w:r>
        <w:t xml:space="preserve">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durables de la CEE </w:t>
      </w:r>
      <w:r w:rsidRPr="009F79C1">
        <w:t>(</w:t>
      </w:r>
      <w:hyperlink r:id="rId1" w:history="1">
        <w:r w:rsidRPr="00B53613">
          <w:rPr>
            <w:color w:val="0000FF"/>
          </w:rPr>
          <w:t>www.unece.org/trans/main/welcwp1.html</w:t>
        </w:r>
      </w:hyperlink>
      <w:r w:rsidRPr="00B53613">
        <w:rPr>
          <w:color w:val="0000FF"/>
        </w:rPr>
        <w:t>)</w:t>
      </w:r>
      <w:r w:rsidRPr="009F79C1">
        <w:t>.</w:t>
      </w:r>
      <w:r>
        <w:t xml:space="preserve"> À titre exceptionnel, ils peuvent également être obtenus par courrier électronique </w:t>
      </w:r>
      <w:r w:rsidRPr="009F79C1">
        <w:t>(</w:t>
      </w:r>
      <w:r w:rsidRPr="009F79C1">
        <w:rPr>
          <w:color w:val="0000FF"/>
        </w:rPr>
        <w:t>roadsafety@unece.org</w:t>
      </w:r>
      <w:r w:rsidRPr="009F79C1">
        <w:t>).</w:t>
      </w:r>
      <w:r>
        <w:t xml:space="preserve"> Durant la session, les documents officiels peuvent être obtenus auprès de la Section de la distribution des documents de l’ONUG </w:t>
      </w:r>
      <w:r w:rsidRPr="009F79C1">
        <w:t>(</w:t>
      </w:r>
      <w:r>
        <w:t>bureau C.337 au 3</w:t>
      </w:r>
      <w:r w:rsidRPr="00B53613">
        <w:rPr>
          <w:vertAlign w:val="superscript"/>
        </w:rPr>
        <w:t>e</w:t>
      </w:r>
      <w:r w:rsidR="00D95F34">
        <w:t> </w:t>
      </w:r>
      <w:r>
        <w:t>étage du Palais des Nations</w:t>
      </w:r>
      <w:r w:rsidRPr="009F79C1">
        <w:t>).</w:t>
      </w:r>
      <w:r>
        <w:t xml:space="preserve"> Les versions traduites de ces documents sont disponibles en accès public sur le Système de diffusion électronique des documents (SEDOC), à l’adresse </w:t>
      </w:r>
      <w:hyperlink r:id="rId2" w:history="1">
        <w:r w:rsidRPr="00150C4E">
          <w:rPr>
            <w:color w:val="0000FF"/>
          </w:rPr>
          <w:t>http://documents.un.org/</w:t>
        </w:r>
      </w:hyperlink>
      <w:r>
        <w:t>.</w:t>
      </w:r>
    </w:p>
  </w:footnote>
  <w:footnote w:id="3">
    <w:p w:rsidR="002522BE" w:rsidRPr="00F55FC1" w:rsidRDefault="002522BE" w:rsidP="008D176C">
      <w:pPr>
        <w:pStyle w:val="FootnoteText"/>
      </w:pPr>
      <w:r>
        <w:rPr>
          <w:rStyle w:val="FootnoteReference"/>
        </w:rPr>
        <w:tab/>
      </w:r>
      <w:r w:rsidRPr="002522BE">
        <w:rPr>
          <w:rStyle w:val="FootnoteReference"/>
          <w:sz w:val="20"/>
          <w:vertAlign w:val="baseline"/>
        </w:rPr>
        <w:t>**</w:t>
      </w:r>
      <w:r>
        <w:rPr>
          <w:rStyle w:val="FootnoteReference"/>
          <w:sz w:val="20"/>
          <w:vertAlign w:val="baseline"/>
        </w:rPr>
        <w:tab/>
      </w:r>
      <w:r>
        <w:t xml:space="preserve">Les représentants sont priés de s’inscrire en ligne, à l’adresse </w:t>
      </w:r>
      <w:hyperlink r:id="rId3" w:history="1">
        <w:r w:rsidRPr="00150C4E">
          <w:rPr>
            <w:color w:val="0000FF"/>
          </w:rPr>
          <w:t>https://uncdb.unece.org/app/ext/</w:t>
        </w:r>
        <w:r w:rsidR="00995EBE">
          <w:rPr>
            <w:color w:val="0000FF"/>
          </w:rPr>
          <w:t xml:space="preserve"> </w:t>
        </w:r>
        <w:r w:rsidRPr="00150C4E">
          <w:rPr>
            <w:color w:val="0000FF"/>
          </w:rPr>
          <w:t>meeting-registration?id=SpDBrY</w:t>
        </w:r>
      </w:hyperlink>
      <w:r>
        <w:t>, ou de remplir le formulaire d’inscription qui peut être téléchargé sur le site Web de la Division des transports durables de la CEE</w:t>
      </w:r>
      <w:r w:rsidRPr="009F79C1">
        <w:t xml:space="preserve"> (</w:t>
      </w:r>
      <w:hyperlink r:id="rId4" w:history="1">
        <w:r>
          <w:rPr>
            <w:color w:val="0000FF"/>
          </w:rPr>
          <w:t>www.unece.org/trans/registfr.html</w:t>
        </w:r>
      </w:hyperlink>
      <w:r>
        <w:t xml:space="preserve">), puis de le renvoyer au secrétariat de la CEE une semaine au plus tard avant la session, par courrier électronique </w:t>
      </w:r>
      <w:r w:rsidRPr="009F79C1">
        <w:t>(</w:t>
      </w:r>
      <w:hyperlink r:id="rId5" w:history="1">
        <w:r w:rsidRPr="00150C4E">
          <w:rPr>
            <w:color w:val="0000FF"/>
          </w:rPr>
          <w:t>roadsafety@unece.org</w:t>
        </w:r>
      </w:hyperlink>
      <w:r w:rsidRPr="009F79C1">
        <w:t>).</w:t>
      </w:r>
    </w:p>
    <w:p w:rsidR="002522BE" w:rsidRPr="002522BE" w:rsidRDefault="002522BE" w:rsidP="008D176C">
      <w:pPr>
        <w:pStyle w:val="FootnoteText"/>
      </w:pPr>
      <w:r w:rsidRPr="009F79C1">
        <w:rPr>
          <w:color w:val="000000"/>
        </w:rPr>
        <w:tab/>
      </w:r>
      <w:r w:rsidRPr="009F79C1">
        <w:rPr>
          <w:color w:val="000000"/>
        </w:rPr>
        <w:tab/>
      </w:r>
      <w:r>
        <w:rPr>
          <w:color w:val="000000"/>
        </w:rPr>
        <w:t>À leur arrivée au Palais des Nations, les représentants doivent retirer un badge à la Section de la sécurité et de la sûreté, située au Portail de Pregny (14, avenue de la Paix). En cas de difficulté, ils sont invités à contacter le secrétariat par téléphone (poste 75716 ou</w:t>
      </w:r>
      <w:r w:rsidRPr="009F79C1">
        <w:rPr>
          <w:color w:val="000000"/>
        </w:rPr>
        <w:t xml:space="preserve"> 75964).</w:t>
      </w:r>
      <w:r>
        <w:rPr>
          <w:color w:val="000000"/>
        </w:rPr>
        <w:t xml:space="preserve"> Un plan du Palais des Nations et d’autres renseignements utiles sont disponibles à l’adresse </w:t>
      </w:r>
      <w:hyperlink r:id="rId6" w:history="1">
        <w:r w:rsidRPr="0031457F">
          <w:rPr>
            <w:color w:val="0000FF"/>
          </w:rPr>
          <w:t>www.unece.org/meetings/</w:t>
        </w:r>
        <w:r w:rsidR="00995EBE">
          <w:rPr>
            <w:color w:val="0000FF"/>
          </w:rPr>
          <w:t xml:space="preserve"> </w:t>
        </w:r>
        <w:r w:rsidRPr="0031457F">
          <w:rPr>
            <w:color w:val="0000FF"/>
          </w:rPr>
          <w:t>practical.htm</w:t>
        </w:r>
      </w:hyperlink>
      <w:r w:rsidRPr="009F79C1">
        <w:rPr>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A4" w:rsidRPr="006400A4" w:rsidRDefault="004E3BBD">
    <w:pPr>
      <w:pStyle w:val="Header"/>
    </w:pPr>
    <w:r>
      <w:fldChar w:fldCharType="begin"/>
    </w:r>
    <w:r>
      <w:instrText xml:space="preserve"> TITLE  \* MERGEFORMAT </w:instrText>
    </w:r>
    <w:r>
      <w:fldChar w:fldCharType="separate"/>
    </w:r>
    <w:r>
      <w:t>ECE/TRANS/WP.1/166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A4" w:rsidRPr="006400A4" w:rsidRDefault="004E3BBD" w:rsidP="006400A4">
    <w:pPr>
      <w:pStyle w:val="Header"/>
      <w:jc w:val="right"/>
    </w:pPr>
    <w:r>
      <w:fldChar w:fldCharType="begin"/>
    </w:r>
    <w:r>
      <w:instrText xml:space="preserve"> TITLE  \* MERGEFORMAT </w:instrText>
    </w:r>
    <w:r>
      <w:fldChar w:fldCharType="separate"/>
    </w:r>
    <w:r>
      <w:t>ECE/TRANS/WP.1/166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771C"/>
    <w:rsid w:val="00017F94"/>
    <w:rsid w:val="00023842"/>
    <w:rsid w:val="00025C18"/>
    <w:rsid w:val="000334F9"/>
    <w:rsid w:val="00045FEB"/>
    <w:rsid w:val="0007796D"/>
    <w:rsid w:val="000B7790"/>
    <w:rsid w:val="00111F2F"/>
    <w:rsid w:val="0014365E"/>
    <w:rsid w:val="00143C66"/>
    <w:rsid w:val="00155DE8"/>
    <w:rsid w:val="00176178"/>
    <w:rsid w:val="001F525A"/>
    <w:rsid w:val="00223272"/>
    <w:rsid w:val="0024779E"/>
    <w:rsid w:val="002522BE"/>
    <w:rsid w:val="00257168"/>
    <w:rsid w:val="002744B8"/>
    <w:rsid w:val="002832AC"/>
    <w:rsid w:val="002D7C93"/>
    <w:rsid w:val="00305801"/>
    <w:rsid w:val="003916DE"/>
    <w:rsid w:val="00421996"/>
    <w:rsid w:val="00441C3B"/>
    <w:rsid w:val="00446FE5"/>
    <w:rsid w:val="00452396"/>
    <w:rsid w:val="004837D8"/>
    <w:rsid w:val="004E2EED"/>
    <w:rsid w:val="004E3BBD"/>
    <w:rsid w:val="004E468C"/>
    <w:rsid w:val="0051771C"/>
    <w:rsid w:val="005505B7"/>
    <w:rsid w:val="00573BE5"/>
    <w:rsid w:val="00586ED3"/>
    <w:rsid w:val="00596AA9"/>
    <w:rsid w:val="00616947"/>
    <w:rsid w:val="006400A4"/>
    <w:rsid w:val="0071601D"/>
    <w:rsid w:val="007724F8"/>
    <w:rsid w:val="00782F22"/>
    <w:rsid w:val="007A62E6"/>
    <w:rsid w:val="007F20FA"/>
    <w:rsid w:val="0080684C"/>
    <w:rsid w:val="00871C75"/>
    <w:rsid w:val="008776DC"/>
    <w:rsid w:val="008D176C"/>
    <w:rsid w:val="009374B6"/>
    <w:rsid w:val="009446C0"/>
    <w:rsid w:val="009705C8"/>
    <w:rsid w:val="00995EBE"/>
    <w:rsid w:val="009C1CF4"/>
    <w:rsid w:val="009F6B74"/>
    <w:rsid w:val="00A3029F"/>
    <w:rsid w:val="00A30353"/>
    <w:rsid w:val="00A459B0"/>
    <w:rsid w:val="00A5121C"/>
    <w:rsid w:val="00AC3823"/>
    <w:rsid w:val="00AE323C"/>
    <w:rsid w:val="00AF0CB5"/>
    <w:rsid w:val="00B00181"/>
    <w:rsid w:val="00B00B0D"/>
    <w:rsid w:val="00B45F2E"/>
    <w:rsid w:val="00B765F7"/>
    <w:rsid w:val="00BA0CA9"/>
    <w:rsid w:val="00BE2B53"/>
    <w:rsid w:val="00C02897"/>
    <w:rsid w:val="00C43210"/>
    <w:rsid w:val="00C97039"/>
    <w:rsid w:val="00D3439C"/>
    <w:rsid w:val="00D80433"/>
    <w:rsid w:val="00D95F34"/>
    <w:rsid w:val="00DB1831"/>
    <w:rsid w:val="00DD3BFD"/>
    <w:rsid w:val="00DF6678"/>
    <w:rsid w:val="00E0299A"/>
    <w:rsid w:val="00E85C74"/>
    <w:rsid w:val="00EA6547"/>
    <w:rsid w:val="00EE60C8"/>
    <w:rsid w:val="00EF2E22"/>
    <w:rsid w:val="00F1417E"/>
    <w:rsid w:val="00F35BAF"/>
    <w:rsid w:val="00F5161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ED62BA-8413-4F86-951C-4DAC7C2A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SpDBrY" TargetMode="External"/><Relationship Id="rId2" Type="http://schemas.openxmlformats.org/officeDocument/2006/relationships/hyperlink" Target="http://documents.un.org/" TargetMode="External"/><Relationship Id="rId1" Type="http://schemas.openxmlformats.org/officeDocument/2006/relationships/hyperlink" Target="http://www.unece.org/trans/main/welcwp1.html" TargetMode="External"/><Relationship Id="rId6" Type="http://schemas.openxmlformats.org/officeDocument/2006/relationships/hyperlink" Target="http://www.unece.org/meetings/practical.htm" TargetMode="External"/><Relationship Id="rId5" Type="http://schemas.openxmlformats.org/officeDocument/2006/relationships/hyperlink" Target="mailto:roadsafety@unece.org" TargetMode="External"/><Relationship Id="rId4" Type="http://schemas.openxmlformats.org/officeDocument/2006/relationships/hyperlink" Target="http://www.unece.org/trans/regist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11396</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ECE/TRANS/WP.1/166</vt:lpstr>
      <vt:lpstr>ECE/TRANS/WP.1/166</vt:lpstr>
    </vt:vector>
  </TitlesOfParts>
  <Company>DCM</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ECE/TRANS/WP.1/166</dc:title>
  <dc:subject/>
  <dc:creator>Maud DARICHE</dc:creator>
  <cp:keywords/>
  <cp:lastModifiedBy>Josephine Ayiku</cp:lastModifiedBy>
  <cp:revision>2</cp:revision>
  <cp:lastPrinted>2018-12-21T14:12:00Z</cp:lastPrinted>
  <dcterms:created xsi:type="dcterms:W3CDTF">2019-01-17T10:03:00Z</dcterms:created>
  <dcterms:modified xsi:type="dcterms:W3CDTF">2019-01-17T10:03:00Z</dcterms:modified>
</cp:coreProperties>
</file>